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DC3917">
      <w:pPr>
        <w:ind w:firstLine="420" w:firstLineChars="0"/>
        <w:rPr>
          <w:rFonts w:hint="default" w:eastAsia="宋体"/>
          <w:color w:val="auto"/>
          <w:sz w:val="36"/>
          <w:szCs w:val="36"/>
          <w:lang w:val="en-US" w:eastAsia="zh-CN"/>
        </w:rPr>
      </w:pPr>
    </w:p>
    <w:p w14:paraId="3D64957B">
      <w:pPr>
        <w:rPr>
          <w:color w:val="auto"/>
          <w:sz w:val="36"/>
          <w:szCs w:val="36"/>
        </w:rPr>
      </w:pPr>
      <w:r>
        <w:rPr>
          <w:color w:val="auto"/>
          <w:sz w:val="36"/>
          <w:szCs w:val="36"/>
        </w:rPr>
        <w:tab/>
      </w:r>
      <w:r>
        <w:rPr>
          <w:color w:val="auto"/>
          <w:sz w:val="36"/>
          <w:szCs w:val="36"/>
        </w:rPr>
        <w:tab/>
      </w:r>
    </w:p>
    <w:p w14:paraId="0765ABEF">
      <w:pPr>
        <w:adjustRightInd w:val="0"/>
        <w:snapToGrid w:val="0"/>
        <w:jc w:val="center"/>
        <w:rPr>
          <w:bCs/>
          <w:color w:val="auto"/>
          <w:sz w:val="72"/>
          <w:szCs w:val="72"/>
        </w:rPr>
      </w:pPr>
      <w:bookmarkStart w:id="0" w:name="_Toc69388160"/>
      <w:r>
        <w:rPr>
          <w:rFonts w:hAnsi="宋体"/>
          <w:bCs/>
          <w:color w:val="auto"/>
          <w:sz w:val="72"/>
          <w:szCs w:val="72"/>
        </w:rPr>
        <w:t>建设项目环境影响报告表</w:t>
      </w:r>
      <w:bookmarkEnd w:id="0"/>
    </w:p>
    <w:p w14:paraId="29EE2555">
      <w:pPr>
        <w:adjustRightInd w:val="0"/>
        <w:snapToGrid w:val="0"/>
        <w:spacing w:before="192" w:beforeLines="80"/>
        <w:jc w:val="center"/>
        <w:rPr>
          <w:bCs/>
          <w:color w:val="auto"/>
          <w:sz w:val="48"/>
          <w:szCs w:val="48"/>
        </w:rPr>
      </w:pPr>
      <w:r>
        <w:rPr>
          <w:rFonts w:hAnsi="宋体"/>
          <w:bCs/>
          <w:color w:val="auto"/>
          <w:sz w:val="48"/>
          <w:szCs w:val="48"/>
        </w:rPr>
        <w:t>（污染影响类）</w:t>
      </w:r>
    </w:p>
    <w:p w14:paraId="55C36540">
      <w:pPr>
        <w:rPr>
          <w:color w:val="auto"/>
        </w:rPr>
      </w:pPr>
    </w:p>
    <w:p w14:paraId="669EB726">
      <w:pPr>
        <w:jc w:val="center"/>
        <w:rPr>
          <w:color w:val="auto"/>
          <w:sz w:val="52"/>
          <w:szCs w:val="52"/>
        </w:rPr>
      </w:pPr>
    </w:p>
    <w:p w14:paraId="7A5C57B5">
      <w:pPr>
        <w:ind w:firstLine="1040"/>
        <w:rPr>
          <w:color w:val="auto"/>
          <w:sz w:val="44"/>
          <w:szCs w:val="44"/>
        </w:rPr>
      </w:pPr>
    </w:p>
    <w:p w14:paraId="1E65F4AC">
      <w:pPr>
        <w:ind w:firstLine="1040"/>
        <w:rPr>
          <w:color w:val="auto"/>
          <w:sz w:val="44"/>
          <w:szCs w:val="44"/>
        </w:rPr>
      </w:pPr>
    </w:p>
    <w:p w14:paraId="5C85E579">
      <w:pPr>
        <w:ind w:firstLine="1040"/>
        <w:rPr>
          <w:color w:val="auto"/>
          <w:sz w:val="44"/>
          <w:szCs w:val="44"/>
        </w:rPr>
      </w:pPr>
    </w:p>
    <w:p w14:paraId="3FCD938E">
      <w:pPr>
        <w:ind w:firstLine="1040"/>
        <w:rPr>
          <w:color w:val="auto"/>
          <w:sz w:val="44"/>
          <w:szCs w:val="44"/>
        </w:rPr>
      </w:pPr>
    </w:p>
    <w:p w14:paraId="1133CC9C">
      <w:pPr>
        <w:adjustRightInd w:val="0"/>
        <w:snapToGrid w:val="0"/>
        <w:spacing w:line="360" w:lineRule="auto"/>
        <w:ind w:left="1039" w:leftChars="495"/>
        <w:jc w:val="center"/>
        <w:rPr>
          <w:rFonts w:hint="eastAsia" w:hAnsi="宋体"/>
          <w:color w:val="auto"/>
          <w:sz w:val="30"/>
          <w:szCs w:val="30"/>
          <w:u w:val="single"/>
        </w:rPr>
      </w:pPr>
      <w:bookmarkStart w:id="1" w:name="_Hlk57884087"/>
      <w:r>
        <w:rPr>
          <w:rFonts w:hAnsi="宋体"/>
          <w:color w:val="auto"/>
          <w:spacing w:val="150"/>
          <w:sz w:val="30"/>
          <w:szCs w:val="30"/>
        </w:rPr>
        <w:t>项目名称</w:t>
      </w:r>
      <w:r>
        <w:rPr>
          <w:rFonts w:hAnsi="宋体"/>
          <w:color w:val="auto"/>
          <w:sz w:val="30"/>
          <w:szCs w:val="30"/>
        </w:rPr>
        <w:t>：</w:t>
      </w:r>
      <w:r>
        <w:rPr>
          <w:rFonts w:hint="eastAsia" w:hAnsi="宋体"/>
          <w:color w:val="auto"/>
          <w:sz w:val="30"/>
          <w:szCs w:val="30"/>
          <w:u w:val="single"/>
          <w:lang w:val="en-US" w:eastAsia="zh-CN"/>
        </w:rPr>
        <w:t>盖世食品（江苏）有限公司年产3000吨调味鱼皮及其他预制水产品项目</w:t>
      </w:r>
    </w:p>
    <w:p w14:paraId="77E91B46">
      <w:pPr>
        <w:adjustRightInd w:val="0"/>
        <w:snapToGrid w:val="0"/>
        <w:spacing w:line="360" w:lineRule="auto"/>
        <w:ind w:left="1039" w:leftChars="495"/>
        <w:rPr>
          <w:color w:val="auto"/>
          <w:sz w:val="30"/>
          <w:szCs w:val="30"/>
          <w:u w:val="single"/>
        </w:rPr>
      </w:pPr>
      <w:r>
        <w:rPr>
          <w:rFonts w:hAnsi="宋体"/>
          <w:color w:val="auto"/>
          <w:sz w:val="30"/>
          <w:szCs w:val="30"/>
        </w:rPr>
        <w:t>建设单位（盖章）：</w:t>
      </w:r>
      <w:bookmarkStart w:id="2" w:name="OLE_LINK24"/>
      <w:bookmarkStart w:id="3" w:name="OLE_LINK25"/>
      <w:r>
        <w:rPr>
          <w:rFonts w:ascii="Times New Roman" w:hAnsi="Times New Roman" w:cs="Times New Roman"/>
          <w:color w:val="auto"/>
          <w:sz w:val="30"/>
          <w:szCs w:val="30"/>
          <w:u w:val="single"/>
        </w:rPr>
        <w:t>盖世食品（江苏）有限公司</w:t>
      </w:r>
      <w:bookmarkEnd w:id="2"/>
      <w:bookmarkEnd w:id="3"/>
    </w:p>
    <w:p w14:paraId="0298A110">
      <w:pPr>
        <w:adjustRightInd w:val="0"/>
        <w:snapToGrid w:val="0"/>
        <w:spacing w:line="360" w:lineRule="auto"/>
        <w:ind w:left="1039" w:leftChars="495"/>
        <w:rPr>
          <w:rFonts w:hint="eastAsia" w:eastAsia="宋体"/>
          <w:color w:val="auto"/>
          <w:sz w:val="30"/>
          <w:szCs w:val="30"/>
          <w:u w:val="single"/>
          <w:lang w:eastAsia="zh-CN"/>
        </w:rPr>
      </w:pPr>
      <w:r>
        <w:rPr>
          <w:rFonts w:hAnsi="宋体"/>
          <w:color w:val="auto"/>
          <w:spacing w:val="150"/>
          <w:sz w:val="30"/>
          <w:szCs w:val="30"/>
        </w:rPr>
        <w:t>编制日期</w:t>
      </w:r>
      <w:r>
        <w:rPr>
          <w:rFonts w:hAnsi="宋体"/>
          <w:color w:val="auto"/>
          <w:sz w:val="30"/>
          <w:szCs w:val="30"/>
        </w:rPr>
        <w:t>：</w:t>
      </w:r>
      <w:r>
        <w:rPr>
          <w:color w:val="auto"/>
          <w:sz w:val="30"/>
          <w:szCs w:val="30"/>
          <w:u w:val="single"/>
        </w:rPr>
        <w:t>202</w:t>
      </w:r>
      <w:r>
        <w:rPr>
          <w:rFonts w:hint="eastAsia"/>
          <w:color w:val="auto"/>
          <w:sz w:val="30"/>
          <w:szCs w:val="30"/>
          <w:u w:val="single"/>
          <w:lang w:val="en-US" w:eastAsia="zh-CN"/>
        </w:rPr>
        <w:t>5</w:t>
      </w:r>
      <w:r>
        <w:rPr>
          <w:rFonts w:hAnsi="宋体"/>
          <w:color w:val="auto"/>
          <w:sz w:val="30"/>
          <w:szCs w:val="30"/>
          <w:u w:val="single"/>
        </w:rPr>
        <w:t>年</w:t>
      </w:r>
      <w:r>
        <w:rPr>
          <w:rFonts w:hint="eastAsia"/>
          <w:color w:val="auto"/>
          <w:sz w:val="30"/>
          <w:szCs w:val="30"/>
          <w:u w:val="single"/>
          <w:lang w:val="en-US" w:eastAsia="zh-CN"/>
        </w:rPr>
        <w:t>10</w:t>
      </w:r>
      <w:r>
        <w:rPr>
          <w:rFonts w:hAnsi="宋体"/>
          <w:color w:val="auto"/>
          <w:sz w:val="30"/>
          <w:szCs w:val="30"/>
          <w:u w:val="single"/>
        </w:rPr>
        <w:t>月</w:t>
      </w:r>
    </w:p>
    <w:p w14:paraId="583927F7">
      <w:pPr>
        <w:adjustRightInd w:val="0"/>
        <w:snapToGrid w:val="0"/>
        <w:spacing w:line="288" w:lineRule="auto"/>
        <w:ind w:firstLine="1040"/>
        <w:rPr>
          <w:color w:val="auto"/>
          <w:sz w:val="36"/>
          <w:szCs w:val="36"/>
          <w:u w:val="single"/>
        </w:rPr>
      </w:pPr>
    </w:p>
    <w:p w14:paraId="690AF985">
      <w:pPr>
        <w:adjustRightInd w:val="0"/>
        <w:snapToGrid w:val="0"/>
        <w:spacing w:line="288" w:lineRule="auto"/>
        <w:ind w:firstLine="1040"/>
        <w:rPr>
          <w:color w:val="auto"/>
          <w:sz w:val="36"/>
          <w:szCs w:val="36"/>
        </w:rPr>
      </w:pPr>
    </w:p>
    <w:p w14:paraId="618DB147">
      <w:pPr>
        <w:ind w:firstLine="1040"/>
        <w:rPr>
          <w:color w:val="auto"/>
          <w:sz w:val="44"/>
          <w:szCs w:val="44"/>
        </w:rPr>
      </w:pPr>
    </w:p>
    <w:p w14:paraId="73D0295C">
      <w:pPr>
        <w:ind w:firstLine="1040"/>
        <w:rPr>
          <w:color w:val="auto"/>
          <w:sz w:val="44"/>
          <w:szCs w:val="44"/>
        </w:rPr>
      </w:pPr>
    </w:p>
    <w:p w14:paraId="665FE05C">
      <w:pPr>
        <w:ind w:firstLine="1040"/>
        <w:rPr>
          <w:color w:val="auto"/>
          <w:sz w:val="44"/>
          <w:szCs w:val="44"/>
        </w:rPr>
      </w:pPr>
    </w:p>
    <w:p w14:paraId="4D0C6A5F">
      <w:pPr>
        <w:rPr>
          <w:color w:val="auto"/>
          <w:sz w:val="44"/>
          <w:szCs w:val="44"/>
        </w:rPr>
      </w:pPr>
    </w:p>
    <w:p w14:paraId="172FF14E">
      <w:pPr>
        <w:pStyle w:val="7"/>
        <w:rPr>
          <w:color w:val="auto"/>
        </w:rPr>
      </w:pPr>
    </w:p>
    <w:p w14:paraId="3E9AA1D6">
      <w:pPr>
        <w:ind w:firstLine="1040"/>
        <w:rPr>
          <w:color w:val="auto"/>
          <w:sz w:val="44"/>
          <w:szCs w:val="44"/>
        </w:rPr>
      </w:pPr>
    </w:p>
    <w:bookmarkEnd w:id="1"/>
    <w:p w14:paraId="137AC370">
      <w:pPr>
        <w:adjustRightInd w:val="0"/>
        <w:snapToGrid w:val="0"/>
        <w:spacing w:line="288" w:lineRule="auto"/>
        <w:jc w:val="center"/>
        <w:rPr>
          <w:color w:val="auto"/>
          <w:sz w:val="36"/>
          <w:szCs w:val="36"/>
        </w:rPr>
      </w:pPr>
      <w:r>
        <w:rPr>
          <w:rFonts w:hAnsi="宋体"/>
          <w:color w:val="auto"/>
          <w:sz w:val="36"/>
          <w:szCs w:val="36"/>
        </w:rPr>
        <w:t>中华人民共和国生态环境部制</w:t>
      </w:r>
    </w:p>
    <w:p w14:paraId="75284A54">
      <w:pPr>
        <w:adjustRightInd w:val="0"/>
        <w:snapToGrid w:val="0"/>
        <w:spacing w:line="288" w:lineRule="auto"/>
        <w:ind w:firstLine="1040"/>
        <w:rPr>
          <w:color w:val="auto"/>
          <w:sz w:val="36"/>
          <w:szCs w:val="36"/>
        </w:rPr>
        <w:sectPr>
          <w:headerReference r:id="rId3" w:type="default"/>
          <w:footerReference r:id="rId5" w:type="default"/>
          <w:headerReference r:id="rId4" w:type="even"/>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5FDC30A">
      <w:pPr>
        <w:adjustRightInd w:val="0"/>
        <w:snapToGrid w:val="0"/>
        <w:spacing w:line="360" w:lineRule="auto"/>
        <w:jc w:val="center"/>
        <w:rPr>
          <w:b/>
          <w:color w:val="auto"/>
          <w:sz w:val="30"/>
          <w:szCs w:val="30"/>
        </w:rPr>
      </w:pPr>
      <w:r>
        <w:rPr>
          <w:rFonts w:hAnsi="宋体"/>
          <w:b/>
          <w:color w:val="auto"/>
          <w:sz w:val="30"/>
          <w:szCs w:val="30"/>
        </w:rPr>
        <w:t>目录</w:t>
      </w:r>
    </w:p>
    <w:p w14:paraId="6B784C07">
      <w:pPr>
        <w:pStyle w:val="23"/>
        <w:tabs>
          <w:tab w:val="right" w:leader="dot" w:pos="8844"/>
        </w:tabs>
        <w:rPr>
          <w:color w:val="auto"/>
        </w:rPr>
      </w:pPr>
      <w:r>
        <w:rPr>
          <w:color w:val="auto"/>
          <w:sz w:val="24"/>
        </w:rPr>
        <w:fldChar w:fldCharType="begin"/>
      </w:r>
      <w:r>
        <w:rPr>
          <w:color w:val="auto"/>
          <w:sz w:val="24"/>
        </w:rPr>
        <w:instrText xml:space="preserve"> TOC \o "1-3" \h \z \u </w:instrText>
      </w:r>
      <w:r>
        <w:rPr>
          <w:color w:val="auto"/>
          <w:sz w:val="24"/>
        </w:rPr>
        <w:fldChar w:fldCharType="separate"/>
      </w:r>
      <w:r>
        <w:rPr>
          <w:color w:val="auto"/>
        </w:rPr>
        <w:fldChar w:fldCharType="begin"/>
      </w:r>
      <w:r>
        <w:rPr>
          <w:color w:val="auto"/>
        </w:rPr>
        <w:instrText xml:space="preserve"> HYPERLINK \l _Toc28317 </w:instrText>
      </w:r>
      <w:r>
        <w:rPr>
          <w:color w:val="auto"/>
        </w:rPr>
        <w:fldChar w:fldCharType="separate"/>
      </w:r>
      <w:r>
        <w:rPr>
          <w:rFonts w:ascii="Times New Roman"/>
          <w:snapToGrid w:val="0"/>
          <w:color w:val="auto"/>
          <w:szCs w:val="30"/>
        </w:rPr>
        <w:t>一、建设项目基本情况</w:t>
      </w:r>
      <w:r>
        <w:rPr>
          <w:color w:val="auto"/>
        </w:rPr>
        <w:tab/>
      </w:r>
      <w:r>
        <w:rPr>
          <w:color w:val="auto"/>
        </w:rPr>
        <w:fldChar w:fldCharType="begin"/>
      </w:r>
      <w:r>
        <w:rPr>
          <w:color w:val="auto"/>
        </w:rPr>
        <w:instrText xml:space="preserve"> PAGEREF _Toc28317 \h </w:instrText>
      </w:r>
      <w:r>
        <w:rPr>
          <w:color w:val="auto"/>
        </w:rPr>
        <w:fldChar w:fldCharType="separate"/>
      </w:r>
      <w:r>
        <w:rPr>
          <w:color w:val="auto"/>
        </w:rPr>
        <w:t>1</w:t>
      </w:r>
      <w:r>
        <w:rPr>
          <w:color w:val="auto"/>
        </w:rPr>
        <w:fldChar w:fldCharType="end"/>
      </w:r>
      <w:r>
        <w:rPr>
          <w:color w:val="auto"/>
        </w:rPr>
        <w:fldChar w:fldCharType="end"/>
      </w:r>
    </w:p>
    <w:p w14:paraId="03571478">
      <w:pPr>
        <w:pStyle w:val="23"/>
        <w:tabs>
          <w:tab w:val="right" w:leader="dot" w:pos="8844"/>
        </w:tabs>
        <w:rPr>
          <w:color w:val="auto"/>
        </w:rPr>
      </w:pPr>
      <w:r>
        <w:rPr>
          <w:color w:val="auto"/>
        </w:rPr>
        <w:fldChar w:fldCharType="begin"/>
      </w:r>
      <w:r>
        <w:rPr>
          <w:color w:val="auto"/>
        </w:rPr>
        <w:instrText xml:space="preserve"> HYPERLINK \l _Toc7534 </w:instrText>
      </w:r>
      <w:r>
        <w:rPr>
          <w:color w:val="auto"/>
        </w:rPr>
        <w:fldChar w:fldCharType="separate"/>
      </w:r>
      <w:r>
        <w:rPr>
          <w:rFonts w:ascii="Times New Roman"/>
          <w:snapToGrid w:val="0"/>
          <w:color w:val="auto"/>
          <w:szCs w:val="30"/>
        </w:rPr>
        <w:t>二、建设项目工程分析</w:t>
      </w:r>
      <w:r>
        <w:rPr>
          <w:color w:val="auto"/>
        </w:rPr>
        <w:tab/>
      </w:r>
      <w:r>
        <w:rPr>
          <w:color w:val="auto"/>
        </w:rPr>
        <w:fldChar w:fldCharType="begin"/>
      </w:r>
      <w:r>
        <w:rPr>
          <w:color w:val="auto"/>
        </w:rPr>
        <w:instrText xml:space="preserve"> PAGEREF _Toc7534 \h </w:instrText>
      </w:r>
      <w:r>
        <w:rPr>
          <w:color w:val="auto"/>
        </w:rPr>
        <w:fldChar w:fldCharType="separate"/>
      </w:r>
      <w:r>
        <w:rPr>
          <w:color w:val="auto"/>
        </w:rPr>
        <w:t>26</w:t>
      </w:r>
      <w:r>
        <w:rPr>
          <w:color w:val="auto"/>
        </w:rPr>
        <w:fldChar w:fldCharType="end"/>
      </w:r>
      <w:r>
        <w:rPr>
          <w:color w:val="auto"/>
        </w:rPr>
        <w:fldChar w:fldCharType="end"/>
      </w:r>
    </w:p>
    <w:p w14:paraId="32362951">
      <w:pPr>
        <w:pStyle w:val="23"/>
        <w:tabs>
          <w:tab w:val="right" w:leader="dot" w:pos="8844"/>
        </w:tabs>
        <w:rPr>
          <w:color w:val="auto"/>
        </w:rPr>
      </w:pPr>
      <w:r>
        <w:rPr>
          <w:color w:val="auto"/>
        </w:rPr>
        <w:fldChar w:fldCharType="begin"/>
      </w:r>
      <w:r>
        <w:rPr>
          <w:color w:val="auto"/>
        </w:rPr>
        <w:instrText xml:space="preserve"> HYPERLINK \l _Toc22431 </w:instrText>
      </w:r>
      <w:r>
        <w:rPr>
          <w:color w:val="auto"/>
        </w:rPr>
        <w:fldChar w:fldCharType="separate"/>
      </w:r>
      <w:r>
        <w:rPr>
          <w:rFonts w:hAnsi="宋体"/>
          <w:snapToGrid w:val="0"/>
          <w:color w:val="auto"/>
          <w:szCs w:val="30"/>
        </w:rPr>
        <w:t>三、区域环境质量现状、环境保护目标及评价标准</w:t>
      </w:r>
      <w:r>
        <w:rPr>
          <w:color w:val="auto"/>
        </w:rPr>
        <w:tab/>
      </w:r>
      <w:r>
        <w:rPr>
          <w:color w:val="auto"/>
        </w:rPr>
        <w:fldChar w:fldCharType="begin"/>
      </w:r>
      <w:r>
        <w:rPr>
          <w:color w:val="auto"/>
        </w:rPr>
        <w:instrText xml:space="preserve"> PAGEREF _Toc22431 \h </w:instrText>
      </w:r>
      <w:r>
        <w:rPr>
          <w:color w:val="auto"/>
        </w:rPr>
        <w:fldChar w:fldCharType="separate"/>
      </w:r>
      <w:r>
        <w:rPr>
          <w:color w:val="auto"/>
        </w:rPr>
        <w:t>54</w:t>
      </w:r>
      <w:r>
        <w:rPr>
          <w:color w:val="auto"/>
        </w:rPr>
        <w:fldChar w:fldCharType="end"/>
      </w:r>
      <w:r>
        <w:rPr>
          <w:color w:val="auto"/>
        </w:rPr>
        <w:fldChar w:fldCharType="end"/>
      </w:r>
    </w:p>
    <w:p w14:paraId="46CD5D8F">
      <w:pPr>
        <w:pStyle w:val="23"/>
        <w:tabs>
          <w:tab w:val="right" w:leader="dot" w:pos="8844"/>
        </w:tabs>
        <w:rPr>
          <w:color w:val="auto"/>
        </w:rPr>
      </w:pPr>
      <w:r>
        <w:rPr>
          <w:color w:val="auto"/>
        </w:rPr>
        <w:fldChar w:fldCharType="begin"/>
      </w:r>
      <w:r>
        <w:rPr>
          <w:color w:val="auto"/>
        </w:rPr>
        <w:instrText xml:space="preserve"> HYPERLINK \l _Toc31692 </w:instrText>
      </w:r>
      <w:r>
        <w:rPr>
          <w:color w:val="auto"/>
        </w:rPr>
        <w:fldChar w:fldCharType="separate"/>
      </w:r>
      <w:r>
        <w:rPr>
          <w:rFonts w:hint="eastAsia" w:hAnsi="宋体"/>
          <w:snapToGrid w:val="0"/>
          <w:color w:val="auto"/>
          <w:szCs w:val="30"/>
          <w:lang w:eastAsia="zh-CN"/>
        </w:rPr>
        <w:t>四、</w:t>
      </w:r>
      <w:r>
        <w:rPr>
          <w:rFonts w:hAnsi="宋体"/>
          <w:snapToGrid w:val="0"/>
          <w:color w:val="auto"/>
          <w:szCs w:val="30"/>
        </w:rPr>
        <w:t>主要环境影响和保护措施</w:t>
      </w:r>
      <w:r>
        <w:rPr>
          <w:color w:val="auto"/>
        </w:rPr>
        <w:tab/>
      </w:r>
      <w:r>
        <w:rPr>
          <w:color w:val="auto"/>
        </w:rPr>
        <w:fldChar w:fldCharType="begin"/>
      </w:r>
      <w:r>
        <w:rPr>
          <w:color w:val="auto"/>
        </w:rPr>
        <w:instrText xml:space="preserve"> PAGEREF _Toc31692 \h </w:instrText>
      </w:r>
      <w:r>
        <w:rPr>
          <w:color w:val="auto"/>
        </w:rPr>
        <w:fldChar w:fldCharType="separate"/>
      </w:r>
      <w:r>
        <w:rPr>
          <w:color w:val="auto"/>
        </w:rPr>
        <w:t>62</w:t>
      </w:r>
      <w:r>
        <w:rPr>
          <w:color w:val="auto"/>
        </w:rPr>
        <w:fldChar w:fldCharType="end"/>
      </w:r>
      <w:r>
        <w:rPr>
          <w:color w:val="auto"/>
        </w:rPr>
        <w:fldChar w:fldCharType="end"/>
      </w:r>
    </w:p>
    <w:p w14:paraId="5D8FEB45">
      <w:pPr>
        <w:pStyle w:val="23"/>
        <w:tabs>
          <w:tab w:val="right" w:leader="dot" w:pos="8844"/>
        </w:tabs>
        <w:rPr>
          <w:color w:val="auto"/>
        </w:rPr>
      </w:pPr>
      <w:r>
        <w:rPr>
          <w:color w:val="auto"/>
        </w:rPr>
        <w:fldChar w:fldCharType="begin"/>
      </w:r>
      <w:r>
        <w:rPr>
          <w:color w:val="auto"/>
        </w:rPr>
        <w:instrText xml:space="preserve"> HYPERLINK \l _Toc2191 </w:instrText>
      </w:r>
      <w:r>
        <w:rPr>
          <w:color w:val="auto"/>
        </w:rPr>
        <w:fldChar w:fldCharType="separate"/>
      </w:r>
      <w:r>
        <w:rPr>
          <w:rFonts w:ascii="Times New Roman"/>
          <w:snapToGrid w:val="0"/>
          <w:color w:val="auto"/>
          <w:szCs w:val="30"/>
        </w:rPr>
        <w:t>五、环境保护措施监督检查清单</w:t>
      </w:r>
      <w:r>
        <w:rPr>
          <w:color w:val="auto"/>
        </w:rPr>
        <w:tab/>
      </w:r>
      <w:r>
        <w:rPr>
          <w:color w:val="auto"/>
        </w:rPr>
        <w:fldChar w:fldCharType="begin"/>
      </w:r>
      <w:r>
        <w:rPr>
          <w:color w:val="auto"/>
        </w:rPr>
        <w:instrText xml:space="preserve"> PAGEREF _Toc2191 \h </w:instrText>
      </w:r>
      <w:r>
        <w:rPr>
          <w:color w:val="auto"/>
        </w:rPr>
        <w:fldChar w:fldCharType="separate"/>
      </w:r>
      <w:r>
        <w:rPr>
          <w:color w:val="auto"/>
        </w:rPr>
        <w:t>88</w:t>
      </w:r>
      <w:r>
        <w:rPr>
          <w:color w:val="auto"/>
        </w:rPr>
        <w:fldChar w:fldCharType="end"/>
      </w:r>
      <w:r>
        <w:rPr>
          <w:color w:val="auto"/>
        </w:rPr>
        <w:fldChar w:fldCharType="end"/>
      </w:r>
    </w:p>
    <w:p w14:paraId="75529360">
      <w:pPr>
        <w:pStyle w:val="23"/>
        <w:tabs>
          <w:tab w:val="right" w:leader="dot" w:pos="8844"/>
        </w:tabs>
        <w:rPr>
          <w:color w:val="auto"/>
        </w:rPr>
      </w:pPr>
      <w:r>
        <w:rPr>
          <w:color w:val="auto"/>
        </w:rPr>
        <w:fldChar w:fldCharType="begin"/>
      </w:r>
      <w:r>
        <w:rPr>
          <w:color w:val="auto"/>
        </w:rPr>
        <w:instrText xml:space="preserve"> HYPERLINK \l _Toc5737 </w:instrText>
      </w:r>
      <w:r>
        <w:rPr>
          <w:color w:val="auto"/>
        </w:rPr>
        <w:fldChar w:fldCharType="separate"/>
      </w:r>
      <w:r>
        <w:rPr>
          <w:rFonts w:hAnsi="宋体"/>
          <w:snapToGrid w:val="0"/>
          <w:color w:val="auto"/>
          <w:szCs w:val="30"/>
        </w:rPr>
        <w:t>六、结论</w:t>
      </w:r>
      <w:r>
        <w:rPr>
          <w:color w:val="auto"/>
        </w:rPr>
        <w:tab/>
      </w:r>
      <w:r>
        <w:rPr>
          <w:color w:val="auto"/>
        </w:rPr>
        <w:fldChar w:fldCharType="begin"/>
      </w:r>
      <w:r>
        <w:rPr>
          <w:color w:val="auto"/>
        </w:rPr>
        <w:instrText xml:space="preserve"> PAGEREF _Toc5737 \h </w:instrText>
      </w:r>
      <w:r>
        <w:rPr>
          <w:color w:val="auto"/>
        </w:rPr>
        <w:fldChar w:fldCharType="separate"/>
      </w:r>
      <w:r>
        <w:rPr>
          <w:color w:val="auto"/>
        </w:rPr>
        <w:t>89</w:t>
      </w:r>
      <w:r>
        <w:rPr>
          <w:color w:val="auto"/>
        </w:rPr>
        <w:fldChar w:fldCharType="end"/>
      </w:r>
      <w:r>
        <w:rPr>
          <w:color w:val="auto"/>
        </w:rPr>
        <w:fldChar w:fldCharType="end"/>
      </w:r>
    </w:p>
    <w:p w14:paraId="209DB5B4">
      <w:pPr>
        <w:pStyle w:val="23"/>
        <w:tabs>
          <w:tab w:val="right" w:leader="dot" w:pos="8844"/>
        </w:tabs>
        <w:rPr>
          <w:color w:val="auto"/>
        </w:rPr>
      </w:pPr>
      <w:r>
        <w:rPr>
          <w:color w:val="auto"/>
        </w:rPr>
        <w:fldChar w:fldCharType="begin"/>
      </w:r>
      <w:r>
        <w:rPr>
          <w:color w:val="auto"/>
        </w:rPr>
        <w:instrText xml:space="preserve"> HYPERLINK \l _Toc299 </w:instrText>
      </w:r>
      <w:r>
        <w:rPr>
          <w:color w:val="auto"/>
        </w:rPr>
        <w:fldChar w:fldCharType="separate"/>
      </w:r>
      <w:r>
        <w:rPr>
          <w:rFonts w:ascii="Times New Roman"/>
          <w:snapToGrid w:val="0"/>
          <w:color w:val="auto"/>
          <w:szCs w:val="22"/>
        </w:rPr>
        <w:t>附表</w:t>
      </w:r>
      <w:r>
        <w:rPr>
          <w:color w:val="auto"/>
        </w:rPr>
        <w:tab/>
      </w:r>
      <w:r>
        <w:rPr>
          <w:color w:val="auto"/>
        </w:rPr>
        <w:fldChar w:fldCharType="begin"/>
      </w:r>
      <w:r>
        <w:rPr>
          <w:color w:val="auto"/>
        </w:rPr>
        <w:instrText xml:space="preserve"> PAGEREF _Toc299 \h </w:instrText>
      </w:r>
      <w:r>
        <w:rPr>
          <w:color w:val="auto"/>
        </w:rPr>
        <w:fldChar w:fldCharType="separate"/>
      </w:r>
      <w:r>
        <w:rPr>
          <w:color w:val="auto"/>
        </w:rPr>
        <w:t>90</w:t>
      </w:r>
      <w:r>
        <w:rPr>
          <w:color w:val="auto"/>
        </w:rPr>
        <w:fldChar w:fldCharType="end"/>
      </w:r>
      <w:r>
        <w:rPr>
          <w:color w:val="auto"/>
        </w:rPr>
        <w:fldChar w:fldCharType="end"/>
      </w:r>
    </w:p>
    <w:p w14:paraId="11E1DCED">
      <w:pPr>
        <w:adjustRightInd w:val="0"/>
        <w:snapToGrid w:val="0"/>
        <w:spacing w:line="360" w:lineRule="auto"/>
        <w:rPr>
          <w:color w:val="auto"/>
          <w:sz w:val="36"/>
          <w:szCs w:val="36"/>
        </w:rPr>
      </w:pPr>
      <w:r>
        <w:rPr>
          <w:color w:val="auto"/>
        </w:rPr>
        <w:fldChar w:fldCharType="end"/>
      </w:r>
    </w:p>
    <w:p w14:paraId="67E7DBCC">
      <w:pPr>
        <w:widowControl/>
        <w:jc w:val="left"/>
        <w:rPr>
          <w:color w:val="auto"/>
          <w:sz w:val="36"/>
          <w:szCs w:val="36"/>
        </w:rPr>
      </w:pPr>
      <w:r>
        <w:rPr>
          <w:color w:val="auto"/>
          <w:sz w:val="36"/>
          <w:szCs w:val="36"/>
        </w:rPr>
        <w:br w:type="page"/>
      </w:r>
    </w:p>
    <w:p w14:paraId="5D28F4CD">
      <w:pPr>
        <w:adjustRightInd w:val="0"/>
        <w:snapToGrid w:val="0"/>
        <w:spacing w:line="336" w:lineRule="auto"/>
        <w:rPr>
          <w:b/>
          <w:color w:val="auto"/>
          <w:sz w:val="24"/>
        </w:rPr>
      </w:pPr>
      <w:r>
        <w:rPr>
          <w:rFonts w:hAnsi="宋体"/>
          <w:b/>
          <w:color w:val="auto"/>
          <w:sz w:val="24"/>
        </w:rPr>
        <w:t>附件：</w:t>
      </w:r>
    </w:p>
    <w:p w14:paraId="3B69D345">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附件1江苏省投资项目备案证</w:t>
      </w:r>
    </w:p>
    <w:p w14:paraId="6F92A884">
      <w:pPr>
        <w:tabs>
          <w:tab w:val="left" w:pos="3481"/>
        </w:tabs>
        <w:adjustRightInd w:val="0"/>
        <w:snapToGrid w:val="0"/>
        <w:spacing w:line="336" w:lineRule="auto"/>
        <w:ind w:firstLine="480" w:firstLineChars="200"/>
        <w:rPr>
          <w:rFonts w:hint="eastAsia" w:eastAsia="宋体"/>
          <w:color w:val="auto"/>
          <w:sz w:val="24"/>
          <w:lang w:val="en-US" w:eastAsia="zh-CN"/>
        </w:rPr>
      </w:pPr>
      <w:r>
        <w:rPr>
          <w:rFonts w:hint="eastAsia"/>
          <w:color w:val="auto"/>
          <w:sz w:val="24"/>
          <w:lang w:val="en-US" w:eastAsia="zh-CN"/>
        </w:rPr>
        <w:t>附件2营业执照及法人身份证</w:t>
      </w:r>
    </w:p>
    <w:p w14:paraId="472B8B2D">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附件3房屋产权证明</w:t>
      </w:r>
    </w:p>
    <w:p w14:paraId="4FB8FDF5">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附件4环评委托书</w:t>
      </w:r>
    </w:p>
    <w:p w14:paraId="265B04DC">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附件5现有项目环评批复及验收文本资料</w:t>
      </w:r>
    </w:p>
    <w:p w14:paraId="1030AAF0">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附件6现有项目排污许可证</w:t>
      </w:r>
    </w:p>
    <w:p w14:paraId="2FDF4DCF">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附件7垃圾清运协议</w:t>
      </w:r>
    </w:p>
    <w:p w14:paraId="6B0D33EC">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附件8一般固废处理协议</w:t>
      </w:r>
    </w:p>
    <w:p w14:paraId="2FA0E4AD">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附件9省生态环境厅关于江苏涟水经济开发区开发建设规划（2022—2035年）环境影响报告书的审查意见</w:t>
      </w:r>
    </w:p>
    <w:p w14:paraId="787E8E00">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附件10-1 环境空气现状监测引用数据检测报告</w:t>
      </w:r>
    </w:p>
    <w:p w14:paraId="3CEE3B0F">
      <w:pPr>
        <w:pStyle w:val="2"/>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附件10-2 现有项目引用验收检测报告</w:t>
      </w:r>
    </w:p>
    <w:p w14:paraId="4F12D011">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附件11盖世食品生态环境分区管控综合查询报告书</w:t>
      </w:r>
    </w:p>
    <w:p w14:paraId="589B1CEA">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附件12工程师现场踏勘照片</w:t>
      </w:r>
    </w:p>
    <w:p w14:paraId="6F4A7D71">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附件13公示截图</w:t>
      </w:r>
    </w:p>
    <w:p w14:paraId="0B10D1A6">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附件14政府信息公开删除内容申请表</w:t>
      </w:r>
    </w:p>
    <w:p w14:paraId="78200EB3">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附件15建设项目环境影响评价文件报批申请书</w:t>
      </w:r>
    </w:p>
    <w:p w14:paraId="34FB3791">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附件16本次扩建项目车间现场照片</w:t>
      </w:r>
    </w:p>
    <w:p w14:paraId="02873B10">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附件17 现场检查记录</w:t>
      </w:r>
    </w:p>
    <w:p w14:paraId="2E80B789">
      <w:pPr>
        <w:pStyle w:val="2"/>
        <w:ind w:left="0" w:leftChars="0" w:firstLine="480" w:firstLineChars="200"/>
        <w:rPr>
          <w:rFonts w:hint="eastAsia" w:ascii="Times New Roman" w:hAnsi="Times New Roman" w:eastAsia="宋体" w:cs="Times New Roman"/>
          <w:color w:val="auto"/>
          <w:kern w:val="2"/>
          <w:sz w:val="24"/>
          <w:szCs w:val="24"/>
          <w:lang w:val="en-US" w:eastAsia="zh-CN" w:bidi="ar-SA"/>
        </w:rPr>
      </w:pPr>
    </w:p>
    <w:p w14:paraId="6AA3C41E">
      <w:pPr>
        <w:adjustRightInd w:val="0"/>
        <w:snapToGrid w:val="0"/>
        <w:spacing w:line="336" w:lineRule="auto"/>
        <w:jc w:val="left"/>
        <w:rPr>
          <w:b/>
          <w:color w:val="auto"/>
          <w:sz w:val="24"/>
        </w:rPr>
      </w:pPr>
      <w:r>
        <w:rPr>
          <w:rFonts w:hAnsi="宋体"/>
          <w:b/>
          <w:color w:val="auto"/>
          <w:sz w:val="24"/>
        </w:rPr>
        <w:t>附图：</w:t>
      </w:r>
    </w:p>
    <w:p w14:paraId="07A70A0E">
      <w:pPr>
        <w:spacing w:line="336" w:lineRule="auto"/>
        <w:ind w:firstLine="480" w:firstLineChars="200"/>
        <w:rPr>
          <w:rFonts w:hint="default" w:hAnsi="宋体" w:eastAsia="宋体"/>
          <w:color w:val="auto"/>
          <w:kern w:val="0"/>
          <w:sz w:val="24"/>
          <w:szCs w:val="20"/>
          <w:lang w:val="en-US" w:eastAsia="zh-CN"/>
        </w:rPr>
      </w:pPr>
      <w:r>
        <w:rPr>
          <w:rFonts w:hint="eastAsia" w:hAnsi="宋体"/>
          <w:color w:val="auto"/>
          <w:kern w:val="0"/>
          <w:sz w:val="24"/>
          <w:szCs w:val="20"/>
          <w:lang w:eastAsia="zh-CN"/>
        </w:rPr>
        <w:t>附图</w:t>
      </w:r>
      <w:r>
        <w:rPr>
          <w:rFonts w:hint="eastAsia" w:hAnsi="宋体"/>
          <w:color w:val="auto"/>
          <w:kern w:val="0"/>
          <w:sz w:val="24"/>
          <w:szCs w:val="20"/>
          <w:lang w:val="en-US" w:eastAsia="zh-CN"/>
        </w:rPr>
        <w:t>1 扩建项目地理位置图</w:t>
      </w:r>
    </w:p>
    <w:p w14:paraId="5C586BF6">
      <w:pPr>
        <w:spacing w:line="336" w:lineRule="auto"/>
        <w:ind w:firstLine="480" w:firstLineChars="200"/>
        <w:rPr>
          <w:rFonts w:hint="eastAsia" w:eastAsia="宋体"/>
          <w:color w:val="auto"/>
          <w:kern w:val="0"/>
          <w:sz w:val="24"/>
          <w:szCs w:val="20"/>
          <w:lang w:eastAsia="zh-CN"/>
        </w:rPr>
      </w:pPr>
      <w:r>
        <w:rPr>
          <w:rFonts w:hAnsi="宋体"/>
          <w:color w:val="auto"/>
          <w:kern w:val="0"/>
          <w:sz w:val="24"/>
          <w:szCs w:val="20"/>
        </w:rPr>
        <w:t>附图</w:t>
      </w:r>
      <w:r>
        <w:rPr>
          <w:rFonts w:hint="eastAsia"/>
          <w:color w:val="auto"/>
          <w:kern w:val="0"/>
          <w:sz w:val="24"/>
          <w:szCs w:val="20"/>
          <w:lang w:val="en-US" w:eastAsia="zh-CN"/>
        </w:rPr>
        <w:t>2</w:t>
      </w:r>
      <w:r>
        <w:rPr>
          <w:rFonts w:hint="eastAsia" w:hAnsi="宋体"/>
          <w:color w:val="auto"/>
          <w:kern w:val="0"/>
          <w:sz w:val="24"/>
          <w:szCs w:val="20"/>
          <w:lang w:val="en-US" w:eastAsia="zh-CN"/>
        </w:rPr>
        <w:t>扩建</w:t>
      </w:r>
      <w:r>
        <w:rPr>
          <w:rFonts w:hint="eastAsia" w:hAnsi="宋体"/>
          <w:color w:val="auto"/>
          <w:kern w:val="0"/>
          <w:sz w:val="24"/>
          <w:szCs w:val="20"/>
        </w:rPr>
        <w:t>项目与涟水县经济技术开发区规划关系图</w:t>
      </w:r>
    </w:p>
    <w:p w14:paraId="5015B0B1">
      <w:pPr>
        <w:spacing w:line="336" w:lineRule="auto"/>
        <w:ind w:firstLine="480" w:firstLineChars="200"/>
        <w:rPr>
          <w:rFonts w:hint="eastAsia" w:eastAsia="宋体"/>
          <w:color w:val="auto"/>
          <w:sz w:val="24"/>
          <w:lang w:eastAsia="zh-CN"/>
        </w:rPr>
      </w:pPr>
      <w:r>
        <w:rPr>
          <w:rFonts w:hAnsi="宋体"/>
          <w:color w:val="auto"/>
          <w:sz w:val="24"/>
        </w:rPr>
        <w:t>附图</w:t>
      </w:r>
      <w:r>
        <w:rPr>
          <w:rFonts w:hint="eastAsia"/>
          <w:color w:val="auto"/>
          <w:sz w:val="24"/>
          <w:lang w:val="en-US" w:eastAsia="zh-CN"/>
        </w:rPr>
        <w:t>3</w:t>
      </w:r>
      <w:r>
        <w:rPr>
          <w:rFonts w:hint="eastAsia" w:hAnsi="宋体"/>
          <w:color w:val="auto"/>
          <w:kern w:val="0"/>
          <w:sz w:val="24"/>
          <w:szCs w:val="20"/>
          <w:lang w:val="en-US" w:eastAsia="zh-CN"/>
        </w:rPr>
        <w:t>扩建</w:t>
      </w:r>
      <w:r>
        <w:rPr>
          <w:rFonts w:hint="eastAsia" w:hAnsi="宋体"/>
          <w:color w:val="auto"/>
          <w:sz w:val="24"/>
          <w:lang w:eastAsia="zh-CN"/>
        </w:rPr>
        <w:t>项目与江苏省生态空间保护区域位置关系图</w:t>
      </w:r>
    </w:p>
    <w:p w14:paraId="1EF9996C">
      <w:pPr>
        <w:spacing w:line="336" w:lineRule="auto"/>
        <w:ind w:firstLine="480" w:firstLineChars="200"/>
        <w:rPr>
          <w:rFonts w:hint="eastAsia" w:eastAsia="宋体"/>
          <w:color w:val="auto"/>
          <w:sz w:val="24"/>
          <w:lang w:eastAsia="zh-CN"/>
        </w:rPr>
      </w:pPr>
      <w:r>
        <w:rPr>
          <w:rFonts w:hAnsi="宋体"/>
          <w:color w:val="auto"/>
          <w:sz w:val="24"/>
        </w:rPr>
        <w:t>附图</w:t>
      </w:r>
      <w:r>
        <w:rPr>
          <w:rFonts w:hint="eastAsia"/>
          <w:color w:val="auto"/>
          <w:sz w:val="24"/>
          <w:lang w:val="en-US" w:eastAsia="zh-CN"/>
        </w:rPr>
        <w:t>4</w:t>
      </w:r>
      <w:r>
        <w:rPr>
          <w:rFonts w:hint="eastAsia" w:hAnsi="宋体"/>
          <w:color w:val="auto"/>
          <w:kern w:val="0"/>
          <w:sz w:val="24"/>
          <w:szCs w:val="20"/>
          <w:lang w:val="en-US" w:eastAsia="zh-CN"/>
        </w:rPr>
        <w:t>扩建</w:t>
      </w:r>
      <w:r>
        <w:rPr>
          <w:rFonts w:hint="eastAsia" w:hAnsi="宋体"/>
          <w:color w:val="auto"/>
          <w:sz w:val="24"/>
          <w:lang w:eastAsia="zh-CN"/>
        </w:rPr>
        <w:t>项目与淮安市环境管控单元位置关系图</w:t>
      </w:r>
    </w:p>
    <w:p w14:paraId="5B9E8FB9">
      <w:pPr>
        <w:spacing w:line="336" w:lineRule="auto"/>
        <w:ind w:firstLine="480" w:firstLineChars="200"/>
        <w:rPr>
          <w:rFonts w:hint="eastAsia" w:hAnsi="宋体"/>
          <w:color w:val="auto"/>
          <w:sz w:val="24"/>
        </w:rPr>
      </w:pPr>
      <w:r>
        <w:rPr>
          <w:rFonts w:hAnsi="宋体"/>
          <w:color w:val="auto"/>
          <w:sz w:val="24"/>
        </w:rPr>
        <w:t>附图</w:t>
      </w:r>
      <w:r>
        <w:rPr>
          <w:color w:val="auto"/>
          <w:sz w:val="24"/>
        </w:rPr>
        <w:t>5</w:t>
      </w:r>
      <w:r>
        <w:rPr>
          <w:rFonts w:hint="eastAsia" w:hAnsi="宋体"/>
          <w:color w:val="auto"/>
          <w:kern w:val="0"/>
          <w:sz w:val="24"/>
          <w:szCs w:val="20"/>
          <w:lang w:val="en-US" w:eastAsia="zh-CN"/>
        </w:rPr>
        <w:t>扩建</w:t>
      </w:r>
      <w:r>
        <w:rPr>
          <w:rFonts w:hint="eastAsia" w:hAnsi="宋体"/>
          <w:color w:val="auto"/>
          <w:sz w:val="24"/>
        </w:rPr>
        <w:t>项目平面布置图</w:t>
      </w:r>
    </w:p>
    <w:p w14:paraId="16005447">
      <w:pPr>
        <w:spacing w:line="336" w:lineRule="auto"/>
        <w:ind w:firstLine="480" w:firstLineChars="200"/>
        <w:rPr>
          <w:rFonts w:hint="eastAsia" w:eastAsia="宋体"/>
          <w:color w:val="auto"/>
          <w:sz w:val="24"/>
          <w:lang w:eastAsia="zh-CN"/>
        </w:rPr>
      </w:pPr>
      <w:r>
        <w:rPr>
          <w:rFonts w:hAnsi="宋体"/>
          <w:color w:val="auto"/>
          <w:sz w:val="24"/>
        </w:rPr>
        <w:t>附图</w:t>
      </w:r>
      <w:r>
        <w:rPr>
          <w:rFonts w:hint="eastAsia"/>
          <w:color w:val="auto"/>
          <w:sz w:val="24"/>
          <w:lang w:val="en-US" w:eastAsia="zh-CN"/>
        </w:rPr>
        <w:t>6</w:t>
      </w:r>
      <w:r>
        <w:rPr>
          <w:rFonts w:hint="eastAsia" w:hAnsi="宋体"/>
          <w:color w:val="auto"/>
          <w:kern w:val="0"/>
          <w:sz w:val="24"/>
          <w:szCs w:val="20"/>
          <w:lang w:val="en-US" w:eastAsia="zh-CN"/>
        </w:rPr>
        <w:t>扩建</w:t>
      </w:r>
      <w:r>
        <w:rPr>
          <w:rFonts w:hint="eastAsia" w:hAnsi="宋体"/>
          <w:color w:val="auto"/>
          <w:sz w:val="24"/>
        </w:rPr>
        <w:t>项目周边概况图</w:t>
      </w:r>
    </w:p>
    <w:p w14:paraId="21DCFE43">
      <w:pPr>
        <w:spacing w:line="336" w:lineRule="auto"/>
        <w:ind w:firstLine="480" w:firstLineChars="200"/>
        <w:rPr>
          <w:rFonts w:hint="eastAsia" w:hAnsi="宋体"/>
          <w:color w:val="auto"/>
          <w:sz w:val="24"/>
          <w:lang w:eastAsia="zh-CN"/>
        </w:rPr>
      </w:pPr>
    </w:p>
    <w:p w14:paraId="3F2C7FB1">
      <w:pPr>
        <w:adjustRightInd w:val="0"/>
        <w:snapToGrid w:val="0"/>
        <w:spacing w:line="336" w:lineRule="auto"/>
        <w:rPr>
          <w:color w:val="auto"/>
          <w:sz w:val="24"/>
        </w:rPr>
      </w:pPr>
    </w:p>
    <w:p w14:paraId="46842026">
      <w:pPr>
        <w:adjustRightInd w:val="0"/>
        <w:snapToGrid w:val="0"/>
        <w:spacing w:line="336" w:lineRule="auto"/>
        <w:ind w:firstLine="480" w:firstLineChars="200"/>
        <w:rPr>
          <w:color w:val="auto"/>
          <w:sz w:val="24"/>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B40D361">
      <w:pPr>
        <w:pStyle w:val="25"/>
        <w:bidi w:val="0"/>
        <w:rPr>
          <w:color w:val="auto"/>
        </w:rPr>
      </w:pPr>
    </w:p>
    <w:p w14:paraId="5211F7F6">
      <w:pPr>
        <w:pStyle w:val="29"/>
        <w:spacing w:before="0" w:beforeAutospacing="0" w:after="0" w:afterAutospacing="0"/>
        <w:jc w:val="center"/>
        <w:outlineLvl w:val="0"/>
        <w:rPr>
          <w:rFonts w:ascii="Times New Roman" w:hAnsi="Times New Roman"/>
          <w:b/>
          <w:snapToGrid w:val="0"/>
          <w:color w:val="auto"/>
          <w:sz w:val="30"/>
          <w:szCs w:val="30"/>
        </w:rPr>
      </w:pPr>
      <w:bookmarkStart w:id="4" w:name="_Toc28317"/>
      <w:r>
        <w:rPr>
          <w:rFonts w:ascii="Times New Roman"/>
          <w:b/>
          <w:snapToGrid w:val="0"/>
          <w:color w:val="auto"/>
          <w:sz w:val="30"/>
          <w:szCs w:val="30"/>
        </w:rPr>
        <w:t>一、建设项目基本情况</w:t>
      </w:r>
      <w:bookmarkEnd w:id="4"/>
    </w:p>
    <w:tbl>
      <w:tblPr>
        <w:tblStyle w:val="32"/>
        <w:tblW w:w="88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48"/>
        <w:gridCol w:w="1187"/>
        <w:gridCol w:w="2574"/>
        <w:gridCol w:w="1549"/>
        <w:gridCol w:w="3130"/>
      </w:tblGrid>
      <w:tr w14:paraId="3BF8B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1635" w:type="dxa"/>
            <w:gridSpan w:val="2"/>
            <w:tcMar>
              <w:top w:w="16" w:type="dxa"/>
              <w:left w:w="16" w:type="dxa"/>
              <w:right w:w="16" w:type="dxa"/>
            </w:tcMar>
            <w:vAlign w:val="center"/>
          </w:tcPr>
          <w:p w14:paraId="41C6813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建设项目名称</w:t>
            </w:r>
          </w:p>
        </w:tc>
        <w:tc>
          <w:tcPr>
            <w:tcW w:w="7253" w:type="dxa"/>
            <w:gridSpan w:val="3"/>
            <w:vAlign w:val="center"/>
          </w:tcPr>
          <w:p w14:paraId="74BE80FA">
            <w:pPr>
              <w:adjustRightInd w:val="0"/>
              <w:snapToGrid w:val="0"/>
              <w:jc w:val="center"/>
              <w:rPr>
                <w:rFonts w:hint="default" w:cs="Times New Roman"/>
                <w:color w:val="auto"/>
                <w:sz w:val="24"/>
                <w:lang w:val="en-US" w:eastAsia="zh-CN"/>
              </w:rPr>
            </w:pPr>
            <w:r>
              <w:rPr>
                <w:rFonts w:hint="default" w:cs="Times New Roman"/>
                <w:color w:val="auto"/>
                <w:sz w:val="24"/>
                <w:lang w:val="en-US" w:eastAsia="zh-CN"/>
              </w:rPr>
              <w:t>盖世食品</w:t>
            </w:r>
            <w:r>
              <w:rPr>
                <w:rFonts w:hint="eastAsia" w:cs="Times New Roman"/>
                <w:color w:val="auto"/>
                <w:sz w:val="24"/>
                <w:lang w:val="en-US" w:eastAsia="zh-CN"/>
              </w:rPr>
              <w:t>（</w:t>
            </w:r>
            <w:r>
              <w:rPr>
                <w:rFonts w:hint="default" w:cs="Times New Roman"/>
                <w:color w:val="auto"/>
                <w:sz w:val="24"/>
                <w:lang w:val="en-US" w:eastAsia="zh-CN"/>
              </w:rPr>
              <w:t>江苏</w:t>
            </w:r>
            <w:r>
              <w:rPr>
                <w:rFonts w:hint="eastAsia" w:cs="Times New Roman"/>
                <w:color w:val="auto"/>
                <w:sz w:val="24"/>
                <w:lang w:val="en-US" w:eastAsia="zh-CN"/>
              </w:rPr>
              <w:t>）</w:t>
            </w:r>
            <w:r>
              <w:rPr>
                <w:rFonts w:hint="default" w:cs="Times New Roman"/>
                <w:color w:val="auto"/>
                <w:sz w:val="24"/>
                <w:lang w:val="en-US" w:eastAsia="zh-CN"/>
              </w:rPr>
              <w:t>有限公司年产3000吨调味鱼皮及其他预制水产品项目</w:t>
            </w:r>
          </w:p>
        </w:tc>
      </w:tr>
      <w:tr w14:paraId="2E597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1635" w:type="dxa"/>
            <w:gridSpan w:val="2"/>
            <w:tcMar>
              <w:top w:w="16" w:type="dxa"/>
              <w:left w:w="16" w:type="dxa"/>
              <w:right w:w="16" w:type="dxa"/>
            </w:tcMar>
            <w:vAlign w:val="center"/>
          </w:tcPr>
          <w:p w14:paraId="68A1B277">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项目代码</w:t>
            </w:r>
          </w:p>
        </w:tc>
        <w:tc>
          <w:tcPr>
            <w:tcW w:w="7253" w:type="dxa"/>
            <w:gridSpan w:val="3"/>
            <w:vAlign w:val="center"/>
          </w:tcPr>
          <w:p w14:paraId="1AA9621D">
            <w:pPr>
              <w:adjustRightInd w:val="0"/>
              <w:snapToGrid w:val="0"/>
              <w:jc w:val="center"/>
              <w:rPr>
                <w:rFonts w:hint="default" w:cs="Times New Roman"/>
                <w:color w:val="auto"/>
                <w:sz w:val="24"/>
                <w:lang w:val="en-US" w:eastAsia="zh-CN"/>
              </w:rPr>
            </w:pPr>
            <w:r>
              <w:rPr>
                <w:rFonts w:hint="eastAsia" w:cs="Times New Roman"/>
                <w:color w:val="auto"/>
                <w:sz w:val="24"/>
                <w:lang w:val="en-US" w:eastAsia="zh-CN"/>
              </w:rPr>
              <w:t>2507-320860-89-02-235375</w:t>
            </w:r>
          </w:p>
        </w:tc>
      </w:tr>
      <w:tr w14:paraId="2C70F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4" w:hRule="atLeast"/>
          <w:jc w:val="center"/>
        </w:trPr>
        <w:tc>
          <w:tcPr>
            <w:tcW w:w="1635" w:type="dxa"/>
            <w:gridSpan w:val="2"/>
            <w:tcMar>
              <w:top w:w="16" w:type="dxa"/>
              <w:left w:w="16" w:type="dxa"/>
              <w:right w:w="16" w:type="dxa"/>
            </w:tcMar>
            <w:vAlign w:val="center"/>
          </w:tcPr>
          <w:p w14:paraId="7279F50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建设单位联系人</w:t>
            </w:r>
          </w:p>
        </w:tc>
        <w:tc>
          <w:tcPr>
            <w:tcW w:w="2574" w:type="dxa"/>
            <w:vAlign w:val="center"/>
          </w:tcPr>
          <w:p w14:paraId="35BBD573">
            <w:pPr>
              <w:adjustRightInd w:val="0"/>
              <w:snapToGrid w:val="0"/>
              <w:jc w:val="center"/>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曲炳壮</w:t>
            </w:r>
          </w:p>
        </w:tc>
        <w:tc>
          <w:tcPr>
            <w:tcW w:w="1549" w:type="dxa"/>
            <w:vAlign w:val="center"/>
          </w:tcPr>
          <w:p w14:paraId="30B3939C">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b/>
                <w:bCs/>
                <w:color w:val="auto"/>
                <w:sz w:val="24"/>
              </w:rPr>
              <w:t>联系方式</w:t>
            </w:r>
          </w:p>
        </w:tc>
        <w:tc>
          <w:tcPr>
            <w:tcW w:w="3130" w:type="dxa"/>
            <w:vAlign w:val="center"/>
          </w:tcPr>
          <w:p w14:paraId="4C0F01F7">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13009475785</w:t>
            </w:r>
          </w:p>
        </w:tc>
      </w:tr>
      <w:tr w14:paraId="5BB46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8" w:hRule="atLeast"/>
          <w:jc w:val="center"/>
        </w:trPr>
        <w:tc>
          <w:tcPr>
            <w:tcW w:w="1635" w:type="dxa"/>
            <w:gridSpan w:val="2"/>
            <w:tcMar>
              <w:top w:w="16" w:type="dxa"/>
              <w:left w:w="16" w:type="dxa"/>
              <w:right w:w="16" w:type="dxa"/>
            </w:tcMar>
            <w:vAlign w:val="center"/>
          </w:tcPr>
          <w:p w14:paraId="0CC9F07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建设地点</w:t>
            </w:r>
          </w:p>
        </w:tc>
        <w:tc>
          <w:tcPr>
            <w:tcW w:w="7253" w:type="dxa"/>
            <w:gridSpan w:val="3"/>
            <w:vAlign w:val="center"/>
          </w:tcPr>
          <w:p w14:paraId="5B98E0A4">
            <w:pPr>
              <w:keepNext w:val="0"/>
              <w:keepLines w:val="0"/>
              <w:widowControl/>
              <w:suppressLineNumbers w:val="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u w:val="single"/>
              </w:rPr>
              <w:t>江苏省</w:t>
            </w:r>
            <w:r>
              <w:rPr>
                <w:rFonts w:hint="default" w:ascii="Times New Roman" w:hAnsi="Times New Roman" w:cs="Times New Roman"/>
                <w:color w:val="auto"/>
                <w:sz w:val="24"/>
              </w:rPr>
              <w:t>（自治区）</w:t>
            </w:r>
            <w:r>
              <w:rPr>
                <w:rFonts w:hint="eastAsia" w:cs="Times New Roman"/>
                <w:color w:val="auto"/>
                <w:sz w:val="24"/>
                <w:u w:val="single"/>
                <w:lang w:eastAsia="zh-CN"/>
              </w:rPr>
              <w:t>淮安</w:t>
            </w:r>
            <w:r>
              <w:rPr>
                <w:rFonts w:hint="eastAsia" w:cs="Times New Roman"/>
                <w:color w:val="auto"/>
                <w:sz w:val="24"/>
                <w:lang w:eastAsia="zh-CN"/>
              </w:rPr>
              <w:t>市</w:t>
            </w:r>
            <w:r>
              <w:rPr>
                <w:rFonts w:hint="default" w:ascii="Times New Roman" w:hAnsi="Times New Roman" w:cs="Times New Roman"/>
                <w:color w:val="auto"/>
                <w:sz w:val="24"/>
                <w:u w:val="single"/>
              </w:rPr>
              <w:t>涟水县</w:t>
            </w:r>
            <w:r>
              <w:rPr>
                <w:rFonts w:hint="default" w:ascii="Times New Roman" w:hAnsi="Times New Roman" w:cs="Times New Roman"/>
                <w:color w:val="auto"/>
                <w:sz w:val="24"/>
              </w:rPr>
              <w:t>（区）</w:t>
            </w:r>
            <w:r>
              <w:rPr>
                <w:rFonts w:hint="default" w:ascii="Times New Roman" w:hAnsi="Times New Roman" w:cs="Times New Roman"/>
                <w:color w:val="auto"/>
                <w:sz w:val="24"/>
                <w:u w:val="single"/>
              </w:rPr>
              <w:t>/</w:t>
            </w:r>
            <w:r>
              <w:rPr>
                <w:rFonts w:hint="default" w:ascii="Times New Roman" w:hAnsi="Times New Roman" w:cs="Times New Roman"/>
                <w:color w:val="auto"/>
                <w:sz w:val="24"/>
              </w:rPr>
              <w:t>（街道</w:t>
            </w:r>
            <w:r>
              <w:rPr>
                <w:rFonts w:hint="default" w:cs="Times New Roman"/>
                <w:color w:val="auto"/>
                <w:sz w:val="24"/>
                <w:u w:val="single"/>
                <w:lang w:eastAsia="zh-CN"/>
              </w:rPr>
              <w:t>）</w:t>
            </w:r>
            <w:r>
              <w:rPr>
                <w:rFonts w:hint="eastAsia" w:cs="Times New Roman"/>
                <w:color w:val="auto"/>
                <w:sz w:val="24"/>
                <w:u w:val="single"/>
                <w:lang w:val="en-US" w:eastAsia="zh-CN"/>
              </w:rPr>
              <w:t>江苏涟水经济开发区涟水路3号</w:t>
            </w:r>
          </w:p>
        </w:tc>
      </w:tr>
      <w:tr w14:paraId="50EFE6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1635" w:type="dxa"/>
            <w:gridSpan w:val="2"/>
            <w:tcMar>
              <w:top w:w="16" w:type="dxa"/>
              <w:left w:w="16" w:type="dxa"/>
              <w:right w:w="16" w:type="dxa"/>
            </w:tcMar>
            <w:vAlign w:val="center"/>
          </w:tcPr>
          <w:p w14:paraId="22D2EE88">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地理坐标</w:t>
            </w:r>
          </w:p>
        </w:tc>
        <w:tc>
          <w:tcPr>
            <w:tcW w:w="7253" w:type="dxa"/>
            <w:gridSpan w:val="3"/>
            <w:vAlign w:val="center"/>
          </w:tcPr>
          <w:p w14:paraId="06D8A4FE">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sz w:val="24"/>
              </w:rPr>
              <w:t>（</w:t>
            </w:r>
            <w:r>
              <w:rPr>
                <w:rFonts w:hint="default" w:ascii="Times New Roman" w:hAnsi="Times New Roman" w:cs="Times New Roman"/>
                <w:color w:val="auto"/>
                <w:sz w:val="24"/>
                <w:u w:val="single"/>
              </w:rPr>
              <w:t>119</w:t>
            </w:r>
            <w:r>
              <w:rPr>
                <w:rFonts w:hint="default" w:ascii="Times New Roman" w:hAnsi="Times New Roman" w:cs="Times New Roman"/>
                <w:color w:val="auto"/>
                <w:sz w:val="24"/>
              </w:rPr>
              <w:t>度</w:t>
            </w:r>
            <w:r>
              <w:rPr>
                <w:rFonts w:hint="eastAsia" w:cs="Times New Roman"/>
                <w:color w:val="auto"/>
                <w:sz w:val="24"/>
                <w:u w:val="single"/>
                <w:lang w:val="en-US" w:eastAsia="zh-CN"/>
              </w:rPr>
              <w:t>12</w:t>
            </w:r>
            <w:r>
              <w:rPr>
                <w:rFonts w:hint="default" w:ascii="Times New Roman" w:hAnsi="Times New Roman" w:cs="Times New Roman"/>
                <w:color w:val="auto"/>
                <w:sz w:val="24"/>
              </w:rPr>
              <w:t>分</w:t>
            </w:r>
            <w:r>
              <w:rPr>
                <w:rFonts w:hint="eastAsia" w:cs="Times New Roman"/>
                <w:color w:val="auto"/>
                <w:sz w:val="24"/>
                <w:u w:val="single"/>
                <w:lang w:val="en-US" w:eastAsia="zh-CN"/>
              </w:rPr>
              <w:t>56.031</w:t>
            </w:r>
            <w:r>
              <w:rPr>
                <w:rFonts w:hint="default" w:ascii="Times New Roman" w:hAnsi="Times New Roman" w:cs="Times New Roman"/>
                <w:color w:val="auto"/>
                <w:sz w:val="24"/>
              </w:rPr>
              <w:t>秒，</w:t>
            </w:r>
            <w:r>
              <w:rPr>
                <w:rFonts w:hint="default" w:ascii="Times New Roman" w:hAnsi="Times New Roman" w:cs="Times New Roman"/>
                <w:color w:val="auto"/>
                <w:sz w:val="24"/>
                <w:u w:val="single"/>
              </w:rPr>
              <w:t>33</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4</w:t>
            </w:r>
            <w:r>
              <w:rPr>
                <w:rFonts w:hint="eastAsia" w:cs="Times New Roman"/>
                <w:color w:val="auto"/>
                <w:sz w:val="24"/>
                <w:u w:val="single"/>
                <w:lang w:val="en-US" w:eastAsia="zh-CN"/>
              </w:rPr>
              <w:t>7</w:t>
            </w:r>
            <w:r>
              <w:rPr>
                <w:rFonts w:hint="default" w:ascii="Times New Roman" w:hAnsi="Times New Roman" w:cs="Times New Roman"/>
                <w:color w:val="auto"/>
                <w:sz w:val="24"/>
              </w:rPr>
              <w:t>分</w:t>
            </w:r>
            <w:r>
              <w:rPr>
                <w:rFonts w:hint="eastAsia" w:cs="Times New Roman"/>
                <w:color w:val="auto"/>
                <w:sz w:val="24"/>
                <w:u w:val="single"/>
                <w:lang w:val="en-US" w:eastAsia="zh-CN"/>
              </w:rPr>
              <w:t>0.857</w:t>
            </w:r>
            <w:r>
              <w:rPr>
                <w:rFonts w:hint="default" w:ascii="Times New Roman" w:hAnsi="Times New Roman" w:cs="Times New Roman"/>
                <w:color w:val="auto"/>
                <w:sz w:val="24"/>
              </w:rPr>
              <w:t>秒）</w:t>
            </w:r>
          </w:p>
        </w:tc>
      </w:tr>
      <w:tr w14:paraId="100B9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4" w:hRule="atLeast"/>
          <w:jc w:val="center"/>
        </w:trPr>
        <w:tc>
          <w:tcPr>
            <w:tcW w:w="1635" w:type="dxa"/>
            <w:gridSpan w:val="2"/>
            <w:tcMar>
              <w:top w:w="16" w:type="dxa"/>
              <w:left w:w="16" w:type="dxa"/>
              <w:right w:w="16" w:type="dxa"/>
            </w:tcMar>
            <w:vAlign w:val="center"/>
          </w:tcPr>
          <w:p w14:paraId="54405C06">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国民经济</w:t>
            </w:r>
          </w:p>
          <w:p w14:paraId="34CEB3A9">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p>
        </w:tc>
        <w:tc>
          <w:tcPr>
            <w:tcW w:w="2574" w:type="dxa"/>
            <w:vAlign w:val="center"/>
          </w:tcPr>
          <w:p w14:paraId="10ED5B40">
            <w:pPr>
              <w:tabs>
                <w:tab w:val="left" w:pos="1800"/>
              </w:tabs>
              <w:adjustRightInd w:val="0"/>
              <w:snapToGrid w:val="0"/>
              <w:jc w:val="center"/>
              <w:rPr>
                <w:rFonts w:hint="default" w:ascii="Times New Roman" w:hAnsi="Times New Roman" w:cs="Times New Roman"/>
                <w:color w:val="auto"/>
                <w:sz w:val="24"/>
              </w:rPr>
            </w:pPr>
            <w:r>
              <w:rPr>
                <w:color w:val="auto"/>
                <w:sz w:val="24"/>
              </w:rPr>
              <w:t>C1439</w:t>
            </w:r>
            <w:r>
              <w:rPr>
                <w:rFonts w:hint="eastAsia"/>
                <w:color w:val="auto"/>
                <w:sz w:val="24"/>
              </w:rPr>
              <w:t>其他方便食品制造</w:t>
            </w:r>
          </w:p>
        </w:tc>
        <w:tc>
          <w:tcPr>
            <w:tcW w:w="1549" w:type="dxa"/>
            <w:vAlign w:val="center"/>
          </w:tcPr>
          <w:p w14:paraId="723BD3DB">
            <w:pPr>
              <w:adjustRightInd w:val="0"/>
              <w:snapToGrid w:val="0"/>
              <w:jc w:val="center"/>
              <w:rPr>
                <w:rFonts w:hint="default" w:ascii="Times New Roman" w:hAnsi="Times New Roman" w:cs="Times New Roman"/>
                <w:b/>
                <w:bCs/>
                <w:color w:val="auto"/>
                <w:sz w:val="24"/>
              </w:rPr>
            </w:pPr>
            <w:bookmarkStart w:id="5" w:name="_Hlk49843745"/>
            <w:r>
              <w:rPr>
                <w:rFonts w:hint="default" w:ascii="Times New Roman" w:hAnsi="Times New Roman" w:cs="Times New Roman"/>
                <w:b/>
                <w:bCs/>
                <w:color w:val="auto"/>
                <w:sz w:val="24"/>
              </w:rPr>
              <w:t>建设项目</w:t>
            </w:r>
          </w:p>
          <w:p w14:paraId="37E7A65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bookmarkEnd w:id="5"/>
          </w:p>
        </w:tc>
        <w:tc>
          <w:tcPr>
            <w:tcW w:w="3130" w:type="dxa"/>
            <w:vAlign w:val="center"/>
          </w:tcPr>
          <w:p w14:paraId="4BE21716">
            <w:pPr>
              <w:adjustRightInd w:val="0"/>
              <w:snapToGrid w:val="0"/>
              <w:jc w:val="left"/>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十一、食品制造业</w:t>
            </w:r>
            <w:r>
              <w:rPr>
                <w:rFonts w:hint="default" w:ascii="Times New Roman" w:hAnsi="Times New Roman" w:cs="Times New Roman"/>
                <w:color w:val="auto"/>
                <w:sz w:val="24"/>
              </w:rPr>
              <w:t>21</w:t>
            </w:r>
            <w:r>
              <w:rPr>
                <w:rFonts w:hint="eastAsia" w:ascii="Times New Roman" w:hAnsi="Times New Roman" w:cs="Times New Roman"/>
                <w:color w:val="auto"/>
                <w:sz w:val="24"/>
              </w:rPr>
              <w:t>方便食品制造</w:t>
            </w:r>
            <w:r>
              <w:rPr>
                <w:rFonts w:hint="default" w:ascii="Times New Roman" w:hAnsi="Times New Roman" w:cs="Times New Roman"/>
                <w:color w:val="auto"/>
                <w:sz w:val="24"/>
              </w:rPr>
              <w:t>143</w:t>
            </w:r>
          </w:p>
        </w:tc>
      </w:tr>
      <w:tr w14:paraId="7C8FD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20" w:hRule="atLeast"/>
          <w:jc w:val="center"/>
        </w:trPr>
        <w:tc>
          <w:tcPr>
            <w:tcW w:w="1635" w:type="dxa"/>
            <w:gridSpan w:val="2"/>
            <w:tcMar>
              <w:top w:w="16" w:type="dxa"/>
              <w:left w:w="16" w:type="dxa"/>
              <w:right w:w="16" w:type="dxa"/>
            </w:tcMar>
            <w:vAlign w:val="center"/>
          </w:tcPr>
          <w:p w14:paraId="564064E3">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建设性质</w:t>
            </w:r>
          </w:p>
        </w:tc>
        <w:tc>
          <w:tcPr>
            <w:tcW w:w="2574" w:type="dxa"/>
            <w:vAlign w:val="center"/>
          </w:tcPr>
          <w:p w14:paraId="79A05B2B">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新建（迁建）</w:t>
            </w:r>
          </w:p>
          <w:p w14:paraId="093B7FBD">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改建</w:t>
            </w:r>
          </w:p>
          <w:p w14:paraId="066A0D17">
            <w:pPr>
              <w:adjustRightInd w:val="0"/>
              <w:snapToGrid w:val="0"/>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扩建</w:t>
            </w:r>
          </w:p>
          <w:p w14:paraId="46AEDAF7">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1549" w:type="dxa"/>
            <w:vAlign w:val="center"/>
          </w:tcPr>
          <w:p w14:paraId="23419F2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w:t>
            </w:r>
          </w:p>
          <w:p w14:paraId="16DD007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申报情形</w:t>
            </w:r>
          </w:p>
        </w:tc>
        <w:tc>
          <w:tcPr>
            <w:tcW w:w="3130" w:type="dxa"/>
            <w:vAlign w:val="center"/>
          </w:tcPr>
          <w:p w14:paraId="0C0D5D54">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☑首次申报项目</w:t>
            </w:r>
          </w:p>
          <w:p w14:paraId="6ECCBB1C">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2BF9B52F">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超五年重新审核项目</w:t>
            </w:r>
          </w:p>
          <w:p w14:paraId="0179C67E">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62D62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tcMar>
              <w:top w:w="16" w:type="dxa"/>
              <w:left w:w="16" w:type="dxa"/>
              <w:right w:w="16" w:type="dxa"/>
            </w:tcMar>
            <w:vAlign w:val="center"/>
          </w:tcPr>
          <w:p w14:paraId="6935B6A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项目审批（核准/备案）部门</w:t>
            </w:r>
          </w:p>
          <w:p w14:paraId="4ADC92E1">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（选填）</w:t>
            </w:r>
          </w:p>
        </w:tc>
        <w:tc>
          <w:tcPr>
            <w:tcW w:w="2574" w:type="dxa"/>
            <w:vAlign w:val="center"/>
          </w:tcPr>
          <w:p w14:paraId="5D5A280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江苏涟水经济开发区管理委员会</w:t>
            </w:r>
          </w:p>
        </w:tc>
        <w:tc>
          <w:tcPr>
            <w:tcW w:w="1549" w:type="dxa"/>
            <w:vAlign w:val="center"/>
          </w:tcPr>
          <w:p w14:paraId="469B5B9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项目审批（核准/备案）文号</w:t>
            </w:r>
          </w:p>
          <w:p w14:paraId="10D2F7A7">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（选填）</w:t>
            </w:r>
          </w:p>
        </w:tc>
        <w:tc>
          <w:tcPr>
            <w:tcW w:w="3130" w:type="dxa"/>
            <w:vAlign w:val="center"/>
          </w:tcPr>
          <w:p w14:paraId="2714F372">
            <w:pPr>
              <w:adjustRightInd w:val="0"/>
              <w:snapToGrid w:val="0"/>
              <w:jc w:val="center"/>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涟区开发备〔2025〕</w:t>
            </w:r>
            <w:r>
              <w:rPr>
                <w:rFonts w:hint="eastAsia" w:cs="Times New Roman"/>
                <w:color w:val="auto"/>
                <w:sz w:val="24"/>
                <w:lang w:val="en-US" w:eastAsia="zh-CN"/>
              </w:rPr>
              <w:t>125</w:t>
            </w:r>
            <w:r>
              <w:rPr>
                <w:rFonts w:hint="default" w:ascii="Times New Roman" w:hAnsi="Times New Roman" w:cs="Times New Roman"/>
                <w:color w:val="auto"/>
                <w:sz w:val="24"/>
                <w:lang w:val="en-US" w:eastAsia="zh-CN"/>
              </w:rPr>
              <w:t>号</w:t>
            </w:r>
          </w:p>
        </w:tc>
      </w:tr>
      <w:tr w14:paraId="2BD17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tcMar>
              <w:top w:w="16" w:type="dxa"/>
              <w:left w:w="16" w:type="dxa"/>
              <w:right w:w="16" w:type="dxa"/>
            </w:tcMar>
            <w:vAlign w:val="center"/>
          </w:tcPr>
          <w:p w14:paraId="352B4DE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总投资</w:t>
            </w:r>
          </w:p>
          <w:p w14:paraId="3134802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2574" w:type="dxa"/>
            <w:vAlign w:val="center"/>
          </w:tcPr>
          <w:p w14:paraId="20EB8CB3">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1800</w:t>
            </w:r>
          </w:p>
        </w:tc>
        <w:tc>
          <w:tcPr>
            <w:tcW w:w="1549" w:type="dxa"/>
            <w:tcMar>
              <w:top w:w="16" w:type="dxa"/>
              <w:left w:w="16" w:type="dxa"/>
              <w:right w:w="16" w:type="dxa"/>
            </w:tcMar>
            <w:vAlign w:val="center"/>
          </w:tcPr>
          <w:p w14:paraId="257C7D4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w:t>
            </w:r>
          </w:p>
          <w:p w14:paraId="3F0978E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3130" w:type="dxa"/>
            <w:vAlign w:val="center"/>
          </w:tcPr>
          <w:p w14:paraId="35A08836">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20</w:t>
            </w:r>
          </w:p>
        </w:tc>
      </w:tr>
      <w:tr w14:paraId="31B99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tcMar>
              <w:top w:w="16" w:type="dxa"/>
              <w:left w:w="16" w:type="dxa"/>
              <w:right w:w="16" w:type="dxa"/>
            </w:tcMar>
            <w:vAlign w:val="center"/>
          </w:tcPr>
          <w:p w14:paraId="3027E48A">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环保投资占比（%）</w:t>
            </w:r>
          </w:p>
        </w:tc>
        <w:tc>
          <w:tcPr>
            <w:tcW w:w="2574" w:type="dxa"/>
            <w:vAlign w:val="center"/>
          </w:tcPr>
          <w:p w14:paraId="6567758C">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1.1%</w:t>
            </w:r>
          </w:p>
        </w:tc>
        <w:tc>
          <w:tcPr>
            <w:tcW w:w="1549" w:type="dxa"/>
            <w:tcMar>
              <w:top w:w="16" w:type="dxa"/>
              <w:left w:w="16" w:type="dxa"/>
              <w:right w:w="16" w:type="dxa"/>
            </w:tcMar>
            <w:vAlign w:val="center"/>
          </w:tcPr>
          <w:p w14:paraId="4EDA3A9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施工工期</w:t>
            </w:r>
          </w:p>
        </w:tc>
        <w:tc>
          <w:tcPr>
            <w:tcW w:w="3130" w:type="dxa"/>
            <w:vAlign w:val="center"/>
          </w:tcPr>
          <w:p w14:paraId="62AA600D">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w:t>
            </w:r>
            <w:r>
              <w:rPr>
                <w:rFonts w:hint="default" w:ascii="Times New Roman" w:hAnsi="Times New Roman" w:cs="Times New Roman"/>
                <w:color w:val="auto"/>
                <w:sz w:val="24"/>
              </w:rPr>
              <w:t>个月</w:t>
            </w:r>
          </w:p>
        </w:tc>
      </w:tr>
      <w:tr w14:paraId="03C6D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tcMar>
              <w:top w:w="16" w:type="dxa"/>
              <w:left w:w="16" w:type="dxa"/>
              <w:right w:w="16" w:type="dxa"/>
            </w:tcMar>
            <w:vAlign w:val="center"/>
          </w:tcPr>
          <w:p w14:paraId="77D6ABEB">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是否开工建设</w:t>
            </w:r>
          </w:p>
        </w:tc>
        <w:tc>
          <w:tcPr>
            <w:tcW w:w="2574" w:type="dxa"/>
            <w:vAlign w:val="center"/>
          </w:tcPr>
          <w:p w14:paraId="10648C62">
            <w:pPr>
              <w:adjustRightInd w:val="0"/>
              <w:snapToGrid w:val="0"/>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否</w:t>
            </w:r>
          </w:p>
          <w:p w14:paraId="5232205C">
            <w:pPr>
              <w:adjustRightInd w:val="0"/>
              <w:snapToGrid w:val="0"/>
              <w:jc w:val="left"/>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是：</w:t>
            </w:r>
            <w:r>
              <w:rPr>
                <w:rFonts w:hint="eastAsia" w:cs="Times New Roman"/>
                <w:color w:val="auto"/>
                <w:sz w:val="24"/>
                <w:lang w:eastAsia="zh-CN"/>
              </w:rPr>
              <w:t>企业已主动拆除设备，厂房现已恢复原状</w:t>
            </w:r>
          </w:p>
        </w:tc>
        <w:tc>
          <w:tcPr>
            <w:tcW w:w="1549" w:type="dxa"/>
            <w:tcMar>
              <w:top w:w="16" w:type="dxa"/>
              <w:left w:w="16" w:type="dxa"/>
              <w:right w:w="16" w:type="dxa"/>
            </w:tcMar>
            <w:vAlign w:val="center"/>
          </w:tcPr>
          <w:p w14:paraId="1B53503F">
            <w:pPr>
              <w:adjustRightInd w:val="0"/>
              <w:snapToGrid w:val="0"/>
              <w:jc w:val="center"/>
              <w:rPr>
                <w:rFonts w:hint="default" w:ascii="Times New Roman" w:hAnsi="Times New Roman" w:cs="Times New Roman"/>
                <w:b/>
                <w:bCs/>
                <w:color w:val="auto"/>
                <w:spacing w:val="-6"/>
                <w:sz w:val="24"/>
              </w:rPr>
            </w:pPr>
            <w:r>
              <w:rPr>
                <w:rFonts w:hint="default" w:ascii="Times New Roman" w:hAnsi="Times New Roman" w:cs="Times New Roman"/>
                <w:b/>
                <w:bCs/>
                <w:color w:val="auto"/>
                <w:spacing w:val="-6"/>
                <w:sz w:val="24"/>
              </w:rPr>
              <w:t>用地（用海）</w:t>
            </w:r>
          </w:p>
          <w:p w14:paraId="545294C4">
            <w:pPr>
              <w:adjustRightInd w:val="0"/>
              <w:snapToGrid w:val="0"/>
              <w:jc w:val="center"/>
              <w:rPr>
                <w:rFonts w:hint="default" w:ascii="Times New Roman" w:hAnsi="Times New Roman" w:eastAsia="宋体" w:cs="Times New Roman"/>
                <w:b/>
                <w:bCs/>
                <w:color w:val="auto"/>
                <w:sz w:val="24"/>
                <w:lang w:eastAsia="zh-CN"/>
              </w:rPr>
            </w:pPr>
            <w:r>
              <w:rPr>
                <w:rFonts w:hint="default" w:ascii="Times New Roman" w:hAnsi="Times New Roman" w:cs="Times New Roman"/>
                <w:b/>
                <w:bCs/>
                <w:color w:val="auto"/>
                <w:spacing w:val="-6"/>
                <w:sz w:val="24"/>
              </w:rPr>
              <w:t>面积（m</w:t>
            </w:r>
            <w:r>
              <w:rPr>
                <w:rFonts w:hint="default" w:ascii="Times New Roman" w:hAnsi="Times New Roman" w:cs="Times New Roman"/>
                <w:b/>
                <w:bCs/>
                <w:color w:val="auto"/>
                <w:spacing w:val="-6"/>
                <w:sz w:val="24"/>
                <w:vertAlign w:val="superscript"/>
              </w:rPr>
              <w:t>2</w:t>
            </w:r>
            <w:r>
              <w:rPr>
                <w:rFonts w:hint="default" w:ascii="Times New Roman" w:hAnsi="Times New Roman" w:cs="Times New Roman"/>
                <w:b/>
                <w:bCs/>
                <w:color w:val="auto"/>
                <w:spacing w:val="-6"/>
                <w:sz w:val="24"/>
              </w:rPr>
              <w:t>）</w:t>
            </w:r>
          </w:p>
        </w:tc>
        <w:tc>
          <w:tcPr>
            <w:tcW w:w="3130" w:type="dxa"/>
            <w:vAlign w:val="center"/>
          </w:tcPr>
          <w:p w14:paraId="37D6AE1C">
            <w:pPr>
              <w:widowControl/>
              <w:adjustRightInd/>
              <w:snapToGrid/>
              <w:jc w:val="center"/>
              <w:rPr>
                <w:rFonts w:hint="default" w:ascii="Times New Roman" w:hAnsi="Times New Roman" w:eastAsia="宋体" w:cs="Times New Roman"/>
                <w:color w:val="auto"/>
                <w:sz w:val="24"/>
                <w:lang w:val="en-US" w:eastAsia="zh-CN"/>
              </w:rPr>
            </w:pPr>
            <w:r>
              <w:rPr>
                <w:rFonts w:hint="eastAsia"/>
                <w:color w:val="auto"/>
                <w:sz w:val="24"/>
                <w:szCs w:val="24"/>
                <w:lang w:val="en-US" w:eastAsia="zh-CN"/>
              </w:rPr>
              <w:t>1380</w:t>
            </w:r>
          </w:p>
        </w:tc>
      </w:tr>
      <w:tr w14:paraId="0CCAE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35" w:type="dxa"/>
            <w:gridSpan w:val="2"/>
            <w:vAlign w:val="center"/>
          </w:tcPr>
          <w:p w14:paraId="0F31797C">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专项评价</w:t>
            </w:r>
          </w:p>
          <w:p w14:paraId="349FE319">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设置情况</w:t>
            </w:r>
          </w:p>
        </w:tc>
        <w:tc>
          <w:tcPr>
            <w:tcW w:w="7253" w:type="dxa"/>
            <w:gridSpan w:val="3"/>
            <w:vAlign w:val="center"/>
          </w:tcPr>
          <w:p w14:paraId="4E66F20C">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14:paraId="33CCB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1635" w:type="dxa"/>
            <w:gridSpan w:val="2"/>
            <w:vAlign w:val="center"/>
          </w:tcPr>
          <w:p w14:paraId="59E94223">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规划情况</w:t>
            </w:r>
          </w:p>
        </w:tc>
        <w:tc>
          <w:tcPr>
            <w:tcW w:w="7253" w:type="dxa"/>
            <w:gridSpan w:val="3"/>
            <w:vAlign w:val="center"/>
          </w:tcPr>
          <w:p w14:paraId="0D1F055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规划文件：《江苏涟水经济开发区开发建设规划（2022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2035年）》；</w:t>
            </w:r>
          </w:p>
          <w:p w14:paraId="7B48C1D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eastAsia="宋体"/>
                <w:color w:val="auto"/>
                <w:lang w:val="en-US" w:eastAsia="zh-CN"/>
              </w:rPr>
            </w:pPr>
            <w:r>
              <w:rPr>
                <w:rFonts w:hint="default" w:ascii="Times New Roman" w:hAnsi="Times New Roman" w:eastAsia="宋体" w:cs="Times New Roman"/>
                <w:color w:val="auto"/>
                <w:sz w:val="24"/>
                <w:szCs w:val="24"/>
                <w:lang w:val="en-US" w:eastAsia="zh-CN"/>
              </w:rPr>
              <w:t>审查机关：江苏省生态环境厅；</w:t>
            </w:r>
          </w:p>
        </w:tc>
      </w:tr>
      <w:tr w14:paraId="67B94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635" w:type="dxa"/>
            <w:gridSpan w:val="2"/>
            <w:vAlign w:val="center"/>
          </w:tcPr>
          <w:p w14:paraId="13A7814B">
            <w:pPr>
              <w:autoSpaceDE w:val="0"/>
              <w:autoSpaceDN w:val="0"/>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规划环境影响评价情况</w:t>
            </w:r>
          </w:p>
        </w:tc>
        <w:tc>
          <w:tcPr>
            <w:tcW w:w="7253" w:type="dxa"/>
            <w:gridSpan w:val="3"/>
            <w:vAlign w:val="center"/>
          </w:tcPr>
          <w:p w14:paraId="6DC22B0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规划环评文件名称：《江苏涟水经济开发区开发建设规划（2022-2035）环境影响报告书》；</w:t>
            </w:r>
          </w:p>
          <w:p w14:paraId="24BA3C5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审查机关：江苏省生态环境厅；</w:t>
            </w:r>
          </w:p>
          <w:p w14:paraId="791C03A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审查文件名称及文号：《关于江苏涟水经济开发区开发建设规划（2022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2035年）环境影响报告书的审查意见》（苏环审〔2023〕81号）。</w:t>
            </w:r>
          </w:p>
        </w:tc>
      </w:tr>
      <w:tr w14:paraId="16C663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99" w:hRule="atLeast"/>
          <w:jc w:val="center"/>
        </w:trPr>
        <w:tc>
          <w:tcPr>
            <w:tcW w:w="448" w:type="dxa"/>
            <w:vAlign w:val="center"/>
          </w:tcPr>
          <w:p w14:paraId="77D1F60D">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规划及规划环境影响评价符合性分析</w:t>
            </w:r>
          </w:p>
        </w:tc>
        <w:tc>
          <w:tcPr>
            <w:tcW w:w="8440" w:type="dxa"/>
            <w:gridSpan w:val="4"/>
          </w:tcPr>
          <w:p w14:paraId="3B3DE1F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1.</w:t>
            </w:r>
            <w:r>
              <w:rPr>
                <w:rFonts w:hint="default" w:ascii="Times New Roman" w:hAnsi="Times New Roman" w:eastAsia="宋体" w:cs="Times New Roman"/>
                <w:color w:val="auto"/>
                <w:sz w:val="24"/>
                <w:szCs w:val="24"/>
              </w:rPr>
              <w:t>与《</w:t>
            </w:r>
            <w:r>
              <w:rPr>
                <w:rFonts w:hint="default" w:ascii="Times New Roman" w:hAnsi="Times New Roman" w:eastAsia="宋体" w:cs="Times New Roman"/>
                <w:color w:val="auto"/>
                <w:kern w:val="2"/>
                <w:sz w:val="24"/>
                <w:szCs w:val="24"/>
                <w:lang w:val="en-US" w:eastAsia="zh-CN" w:bidi="ar-SA"/>
              </w:rPr>
              <w:t>江苏涟水经济开发区开发建设规划</w:t>
            </w:r>
            <w:r>
              <w:rPr>
                <w:rFonts w:hint="default" w:ascii="Times New Roman" w:hAnsi="Times New Roman" w:eastAsia="宋体" w:cs="Times New Roman"/>
                <w:color w:val="auto"/>
                <w:sz w:val="24"/>
                <w:szCs w:val="24"/>
              </w:rPr>
              <w:t>》相符性</w:t>
            </w:r>
          </w:p>
          <w:p w14:paraId="7BE9D502">
            <w:pPr>
              <w:adjustRightInd w:val="0"/>
              <w:spacing w:line="360" w:lineRule="auto"/>
              <w:ind w:firstLine="480" w:firstLineChars="200"/>
              <w:rPr>
                <w:color w:val="auto"/>
                <w:sz w:val="24"/>
              </w:rPr>
            </w:pPr>
            <w:r>
              <w:rPr>
                <w:rFonts w:hint="eastAsia"/>
                <w:color w:val="auto"/>
                <w:sz w:val="24"/>
              </w:rPr>
              <w:t>①规划面积及规划范围</w:t>
            </w:r>
          </w:p>
          <w:p w14:paraId="2843CE6F">
            <w:pPr>
              <w:adjustRightInd w:val="0"/>
              <w:spacing w:line="360" w:lineRule="auto"/>
              <w:ind w:firstLine="480" w:firstLineChars="200"/>
              <w:rPr>
                <w:color w:val="auto"/>
                <w:sz w:val="24"/>
              </w:rPr>
            </w:pPr>
            <w:r>
              <w:rPr>
                <w:rFonts w:hint="eastAsia"/>
                <w:color w:val="auto"/>
                <w:sz w:val="24"/>
              </w:rPr>
              <w:t>《江苏涟水经济开发区开发建设规划（2022—2035年）》：规划总面积14.28km</w:t>
            </w:r>
            <w:r>
              <w:rPr>
                <w:rFonts w:hint="eastAsia"/>
                <w:color w:val="auto"/>
                <w:sz w:val="24"/>
                <w:vertAlign w:val="superscript"/>
              </w:rPr>
              <w:t>2</w:t>
            </w:r>
            <w:r>
              <w:rPr>
                <w:rFonts w:hint="eastAsia"/>
                <w:color w:val="auto"/>
                <w:sz w:val="24"/>
              </w:rPr>
              <w:t>，以盐河为界，分为东区2.9km</w:t>
            </w:r>
            <w:r>
              <w:rPr>
                <w:rFonts w:hint="eastAsia"/>
                <w:color w:val="auto"/>
                <w:sz w:val="24"/>
                <w:vertAlign w:val="superscript"/>
              </w:rPr>
              <w:t>2</w:t>
            </w:r>
            <w:r>
              <w:rPr>
                <w:rFonts w:hint="eastAsia"/>
                <w:color w:val="auto"/>
                <w:sz w:val="24"/>
              </w:rPr>
              <w:t>和西区11.38km</w:t>
            </w:r>
            <w:r>
              <w:rPr>
                <w:rFonts w:hint="eastAsia"/>
                <w:color w:val="auto"/>
                <w:sz w:val="24"/>
                <w:vertAlign w:val="superscript"/>
              </w:rPr>
              <w:t>2</w:t>
            </w:r>
            <w:r>
              <w:rPr>
                <w:rFonts w:hint="eastAsia"/>
                <w:color w:val="auto"/>
                <w:sz w:val="24"/>
              </w:rPr>
              <w:t>，规划范围为北达北环路，西临连淮扬镇铁路，南至清涟大道、渠北西路，东跨盐河至广陵路合围区域。</w:t>
            </w:r>
          </w:p>
          <w:p w14:paraId="65A06C81">
            <w:pPr>
              <w:adjustRightInd w:val="0"/>
              <w:spacing w:line="360" w:lineRule="auto"/>
              <w:ind w:firstLine="480" w:firstLineChars="200"/>
              <w:rPr>
                <w:color w:val="auto"/>
                <w:sz w:val="24"/>
              </w:rPr>
            </w:pPr>
            <w:r>
              <w:rPr>
                <w:rFonts w:hint="eastAsia"/>
                <w:color w:val="auto"/>
                <w:sz w:val="24"/>
              </w:rPr>
              <w:t>②产业定位及布局</w:t>
            </w:r>
          </w:p>
          <w:p w14:paraId="76F7CBA4">
            <w:pPr>
              <w:adjustRightInd w:val="0"/>
              <w:spacing w:line="360" w:lineRule="auto"/>
              <w:ind w:firstLine="480" w:firstLineChars="200"/>
              <w:rPr>
                <w:color w:val="auto"/>
                <w:sz w:val="24"/>
              </w:rPr>
            </w:pPr>
            <w:r>
              <w:rPr>
                <w:rFonts w:hint="eastAsia"/>
                <w:color w:val="auto"/>
                <w:sz w:val="24"/>
              </w:rPr>
              <w:t>高质量推动“项目引建、产业转型、园区升级”三大突破，培育构建装备制造、纺织服装、电子信息、绿色食品4大主导产业，实施“腾笼换鸟”，优化产业布局，形成四大主导产业组团，即装备制造产业组团、纺织服装产业组团、电子信息产业组团、绿色食品产业组团。本次规划将保留符合上一轮规划产业定位的企业。随着新一轮规划的实施，开发区将不再鼓励引进建材、医药等行业企业。</w:t>
            </w:r>
          </w:p>
          <w:p w14:paraId="6E184DBE">
            <w:pPr>
              <w:pStyle w:val="132"/>
              <w:keepNext w:val="0"/>
              <w:keepLines w:val="0"/>
              <w:pageBreakBefore w:val="0"/>
              <w:widowControl/>
              <w:kinsoku/>
              <w:wordWrap/>
              <w:overflowPunct/>
              <w:topLinePunct w:val="0"/>
              <w:autoSpaceDE/>
              <w:autoSpaceDN/>
              <w:bidi w:val="0"/>
              <w:adjustRightInd/>
              <w:snapToGrid/>
              <w:spacing w:before="0" w:beforeLines="0"/>
              <w:textAlignment w:val="auto"/>
              <w:rPr>
                <w:color w:val="auto"/>
                <w:sz w:val="24"/>
                <w:szCs w:val="24"/>
              </w:rPr>
            </w:pPr>
            <w:bookmarkStart w:id="6" w:name="_Toc28013"/>
            <w:r>
              <w:rPr>
                <w:color w:val="auto"/>
                <w:sz w:val="24"/>
                <w:szCs w:val="24"/>
              </w:rPr>
              <w:t>表1-1江苏涟水经济开发区产业准入条件及空间布局约束</w:t>
            </w:r>
            <w:bookmarkEnd w:id="6"/>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25"/>
              <w:gridCol w:w="7030"/>
            </w:tblGrid>
            <w:tr w14:paraId="42321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6" w:type="pct"/>
                  <w:gridSpan w:val="2"/>
                  <w:tcBorders>
                    <w:tl2br w:val="nil"/>
                    <w:tr2bl w:val="nil"/>
                  </w:tcBorders>
                  <w:vAlign w:val="center"/>
                </w:tcPr>
                <w:p w14:paraId="7256A0BB">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4193" w:type="pct"/>
                  <w:tcBorders>
                    <w:tl2br w:val="nil"/>
                    <w:tr2bl w:val="nil"/>
                  </w:tcBorders>
                  <w:vAlign w:val="center"/>
                </w:tcPr>
                <w:p w14:paraId="645D2E70">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环境准入条件</w:t>
                  </w:r>
                </w:p>
              </w:tc>
            </w:tr>
            <w:tr w14:paraId="4DD68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restart"/>
                  <w:tcBorders>
                    <w:tl2br w:val="nil"/>
                    <w:tr2bl w:val="nil"/>
                  </w:tcBorders>
                  <w:vAlign w:val="center"/>
                </w:tcPr>
                <w:p w14:paraId="6F2059FB">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产业准入</w:t>
                  </w:r>
                </w:p>
              </w:tc>
              <w:tc>
                <w:tcPr>
                  <w:tcW w:w="551" w:type="pct"/>
                  <w:tcBorders>
                    <w:tl2br w:val="nil"/>
                    <w:tr2bl w:val="nil"/>
                  </w:tcBorders>
                  <w:vAlign w:val="center"/>
                </w:tcPr>
                <w:p w14:paraId="33C77A8B">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主导产业</w:t>
                  </w:r>
                </w:p>
              </w:tc>
              <w:tc>
                <w:tcPr>
                  <w:tcW w:w="4193" w:type="pct"/>
                  <w:tcBorders>
                    <w:tl2br w:val="nil"/>
                    <w:tr2bl w:val="nil"/>
                  </w:tcBorders>
                  <w:vAlign w:val="center"/>
                </w:tcPr>
                <w:p w14:paraId="79DF0440">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主要发展装备制造、纺织服装、电子信息、绿色食品4大主导产业。保留符合上一轮规划产业定位的企业，禁止引进建材、医药等行业企业。</w:t>
                  </w:r>
                </w:p>
              </w:tc>
            </w:tr>
            <w:tr w14:paraId="7DC5D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Merge w:val="continue"/>
                  <w:tcBorders>
                    <w:tl2br w:val="nil"/>
                    <w:tr2bl w:val="nil"/>
                  </w:tcBorders>
                  <w:vAlign w:val="center"/>
                </w:tcPr>
                <w:p w14:paraId="054994DA">
                  <w:pPr>
                    <w:pStyle w:val="45"/>
                    <w:jc w:val="center"/>
                    <w:rPr>
                      <w:rFonts w:hint="default" w:ascii="Times New Roman" w:hAnsi="Times New Roman" w:eastAsia="宋体" w:cs="Times New Roman"/>
                      <w:color w:val="auto"/>
                      <w:sz w:val="21"/>
                      <w:szCs w:val="21"/>
                    </w:rPr>
                  </w:pPr>
                </w:p>
              </w:tc>
              <w:tc>
                <w:tcPr>
                  <w:tcW w:w="551" w:type="pct"/>
                  <w:vMerge w:val="restart"/>
                  <w:tcBorders>
                    <w:tl2br w:val="nil"/>
                    <w:tr2bl w:val="nil"/>
                  </w:tcBorders>
                  <w:vAlign w:val="center"/>
                </w:tcPr>
                <w:p w14:paraId="4E6B8CC8">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禁止引入</w:t>
                  </w:r>
                </w:p>
              </w:tc>
              <w:tc>
                <w:tcPr>
                  <w:tcW w:w="4193" w:type="pct"/>
                  <w:tcBorders>
                    <w:tl2br w:val="nil"/>
                    <w:tr2bl w:val="nil"/>
                  </w:tcBorders>
                  <w:vAlign w:val="center"/>
                </w:tcPr>
                <w:p w14:paraId="26C9DD66">
                  <w:pPr>
                    <w:pStyle w:val="45"/>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1.</w:t>
                  </w:r>
                  <w:r>
                    <w:rPr>
                      <w:rFonts w:hint="default" w:ascii="Times New Roman" w:hAnsi="Times New Roman" w:eastAsia="宋体" w:cs="Times New Roman"/>
                      <w:color w:val="auto"/>
                      <w:sz w:val="21"/>
                      <w:szCs w:val="21"/>
                    </w:rPr>
                    <w:t>含酿造工艺的项目。</w:t>
                  </w:r>
                </w:p>
              </w:tc>
            </w:tr>
            <w:tr w14:paraId="2CC78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2CB6412D">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4D08FBA1">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43C8D1B5">
                  <w:pPr>
                    <w:pStyle w:val="45"/>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2.</w:t>
                  </w:r>
                  <w:r>
                    <w:rPr>
                      <w:rFonts w:hint="default" w:ascii="Times New Roman" w:hAnsi="Times New Roman" w:eastAsia="宋体" w:cs="Times New Roman"/>
                      <w:color w:val="auto"/>
                      <w:sz w:val="21"/>
                      <w:szCs w:val="21"/>
                    </w:rPr>
                    <w:t>使用高VOCs含量的溶剂型涂料、油墨、胶粘剂等项目。</w:t>
                  </w:r>
                </w:p>
              </w:tc>
            </w:tr>
            <w:tr w14:paraId="5B36B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08F0A72E">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3F6949F0">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76108544">
                  <w:pPr>
                    <w:pStyle w:val="45"/>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3.</w:t>
                  </w:r>
                  <w:r>
                    <w:rPr>
                      <w:rFonts w:hint="default" w:ascii="Times New Roman" w:hAnsi="Times New Roman" w:eastAsia="宋体" w:cs="Times New Roman"/>
                      <w:color w:val="auto"/>
                      <w:sz w:val="21"/>
                      <w:szCs w:val="21"/>
                    </w:rPr>
                    <w:t>新建排放铅、汞、铬、镉和类金属砷的项目。</w:t>
                  </w:r>
                </w:p>
              </w:tc>
            </w:tr>
            <w:tr w14:paraId="42D51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16F511B2">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3CEC79BE">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23159FC3">
                  <w:pPr>
                    <w:pStyle w:val="45"/>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4.</w:t>
                  </w:r>
                  <w:r>
                    <w:rPr>
                      <w:rFonts w:hint="default" w:ascii="Times New Roman" w:hAnsi="Times New Roman" w:eastAsia="宋体" w:cs="Times New Roman"/>
                      <w:color w:val="auto"/>
                      <w:sz w:val="21"/>
                      <w:szCs w:val="21"/>
                    </w:rPr>
                    <w:t>属于《淮河流域水污染防治暂行条例》中禁止的项目。</w:t>
                  </w:r>
                </w:p>
              </w:tc>
            </w:tr>
            <w:tr w14:paraId="1D62D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Merge w:val="continue"/>
                  <w:tcBorders>
                    <w:tl2br w:val="nil"/>
                    <w:tr2bl w:val="nil"/>
                  </w:tcBorders>
                  <w:vAlign w:val="center"/>
                </w:tcPr>
                <w:p w14:paraId="7B2895C6">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3BBC3252">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3016FA6D">
                  <w:pPr>
                    <w:pStyle w:val="45"/>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5.</w:t>
                  </w:r>
                  <w:r>
                    <w:rPr>
                      <w:rFonts w:hint="default" w:ascii="Times New Roman" w:hAnsi="Times New Roman" w:eastAsia="宋体" w:cs="Times New Roman"/>
                      <w:color w:val="auto"/>
                      <w:sz w:val="21"/>
                      <w:szCs w:val="21"/>
                    </w:rPr>
                    <w:t>属于《环境保护综合名录（2021年版）》中“高污染、高环境风险”产品名录的项目；国家和地方产业政策规定的淘汰类或禁止类的建设项目和工艺。</w:t>
                  </w:r>
                </w:p>
              </w:tc>
            </w:tr>
            <w:tr w14:paraId="7A9F9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128D2474">
                  <w:pPr>
                    <w:pStyle w:val="45"/>
                    <w:jc w:val="center"/>
                    <w:rPr>
                      <w:rFonts w:hint="default" w:ascii="Times New Roman" w:hAnsi="Times New Roman" w:eastAsia="宋体" w:cs="Times New Roman"/>
                      <w:color w:val="auto"/>
                      <w:sz w:val="21"/>
                      <w:szCs w:val="21"/>
                    </w:rPr>
                  </w:pPr>
                </w:p>
              </w:tc>
              <w:tc>
                <w:tcPr>
                  <w:tcW w:w="551" w:type="pct"/>
                  <w:vMerge w:val="restart"/>
                  <w:tcBorders>
                    <w:tl2br w:val="nil"/>
                    <w:tr2bl w:val="nil"/>
                  </w:tcBorders>
                  <w:vAlign w:val="center"/>
                </w:tcPr>
                <w:p w14:paraId="6002ADE1">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限制引入</w:t>
                  </w:r>
                </w:p>
              </w:tc>
              <w:tc>
                <w:tcPr>
                  <w:tcW w:w="4193" w:type="pct"/>
                  <w:tcBorders>
                    <w:tl2br w:val="nil"/>
                    <w:tr2bl w:val="nil"/>
                  </w:tcBorders>
                  <w:vAlign w:val="center"/>
                </w:tcPr>
                <w:p w14:paraId="74548DFB">
                  <w:pPr>
                    <w:pStyle w:val="45"/>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1.</w:t>
                  </w:r>
                  <w:r>
                    <w:rPr>
                      <w:rFonts w:hint="default" w:ascii="Times New Roman" w:hAnsi="Times New Roman" w:eastAsia="宋体" w:cs="Times New Roman"/>
                      <w:color w:val="auto"/>
                      <w:sz w:val="21"/>
                      <w:szCs w:val="21"/>
                    </w:rPr>
                    <w:t>《产业结构调整指导目录》及修订、《江苏省工业和信息产业结构调整限制淘汰目录和能耗限额》中限制项目。</w:t>
                  </w:r>
                </w:p>
              </w:tc>
            </w:tr>
            <w:tr w14:paraId="3A3B5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2FBFC95F">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7C6AB16F">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0834AB71">
                  <w:pPr>
                    <w:pStyle w:val="45"/>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2.</w:t>
                  </w:r>
                  <w:r>
                    <w:rPr>
                      <w:rFonts w:hint="default" w:ascii="Times New Roman" w:hAnsi="Times New Roman" w:eastAsia="宋体" w:cs="Times New Roman"/>
                      <w:color w:val="auto"/>
                      <w:sz w:val="21"/>
                      <w:szCs w:val="21"/>
                    </w:rPr>
                    <w:t>污染治理措施达不到《挥发性有机物（VOCs）污染防治技术政策》、</w:t>
                  </w:r>
                </w:p>
                <w:p w14:paraId="42BCAF7B">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《江苏省重点行业挥发性有机物污染控制指南》等要求的项目。</w:t>
                  </w:r>
                </w:p>
              </w:tc>
            </w:tr>
            <w:tr w14:paraId="483FC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65982368">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055E3C6B">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52488EA1">
                  <w:pPr>
                    <w:pStyle w:val="45"/>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3.</w:t>
                  </w:r>
                  <w:r>
                    <w:rPr>
                      <w:rFonts w:hint="default" w:ascii="Times New Roman" w:hAnsi="Times New Roman" w:eastAsia="宋体" w:cs="Times New Roman"/>
                      <w:color w:val="auto"/>
                      <w:sz w:val="21"/>
                      <w:szCs w:val="21"/>
                    </w:rPr>
                    <w:t>属于《淮河流域水污染防治暂行条例》中限制的项目。</w:t>
                  </w:r>
                </w:p>
              </w:tc>
            </w:tr>
            <w:tr w14:paraId="144BD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17769E3A">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02A54F8E">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2D0753CC">
                  <w:pPr>
                    <w:pStyle w:val="45"/>
                    <w:jc w:val="center"/>
                    <w:rPr>
                      <w:rFonts w:hint="default" w:ascii="Times New Roman" w:hAnsi="Times New Roman" w:eastAsia="宋体" w:cs="Times New Roman"/>
                      <w:color w:val="auto"/>
                      <w:sz w:val="21"/>
                      <w:szCs w:val="21"/>
                    </w:rPr>
                  </w:pPr>
                  <w:r>
                    <w:rPr>
                      <w:rFonts w:hint="eastAsia" w:ascii="Times New Roman" w:cs="Times New Roman"/>
                      <w:color w:val="auto"/>
                      <w:sz w:val="21"/>
                      <w:szCs w:val="21"/>
                      <w:lang w:eastAsia="zh-CN"/>
                    </w:rPr>
                    <w:t>4.</w:t>
                  </w:r>
                  <w:r>
                    <w:rPr>
                      <w:rFonts w:hint="default" w:ascii="Times New Roman" w:hAnsi="Times New Roman" w:eastAsia="宋体" w:cs="Times New Roman"/>
                      <w:color w:val="auto"/>
                      <w:sz w:val="21"/>
                      <w:szCs w:val="21"/>
                    </w:rPr>
                    <w:t>开发区印染排水量不得突破7000吨/日。</w:t>
                  </w:r>
                </w:p>
              </w:tc>
            </w:tr>
            <w:tr w14:paraId="40E3D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6" w:type="pct"/>
                  <w:gridSpan w:val="2"/>
                  <w:vMerge w:val="restart"/>
                  <w:tcBorders>
                    <w:tl2br w:val="nil"/>
                    <w:tr2bl w:val="nil"/>
                  </w:tcBorders>
                  <w:vAlign w:val="center"/>
                </w:tcPr>
                <w:p w14:paraId="3205F785">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4193" w:type="pct"/>
                  <w:tcBorders>
                    <w:tl2br w:val="nil"/>
                    <w:tr2bl w:val="nil"/>
                  </w:tcBorders>
                  <w:vAlign w:val="center"/>
                </w:tcPr>
                <w:p w14:paraId="20FF6F65">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落实江苏省、淮安市“三线一单”《江苏省生态空间管控区域规划》《江苏省国家级生态保护红线规划</w:t>
                  </w:r>
                  <w:r>
                    <w:rPr>
                      <w:rFonts w:hint="eastAsia" w:ascii="Times New Roman" w:cs="Times New Roman"/>
                      <w:color w:val="auto"/>
                      <w:sz w:val="21"/>
                      <w:szCs w:val="21"/>
                      <w:lang w:eastAsia="zh-CN"/>
                    </w:rPr>
                    <w:t>》等</w:t>
                  </w:r>
                  <w:r>
                    <w:rPr>
                      <w:rFonts w:hint="default" w:ascii="Times New Roman" w:hAnsi="Times New Roman" w:eastAsia="宋体" w:cs="Times New Roman"/>
                      <w:color w:val="auto"/>
                      <w:sz w:val="21"/>
                      <w:szCs w:val="21"/>
                    </w:rPr>
                    <w:t>管控要求。</w:t>
                  </w:r>
                </w:p>
              </w:tc>
            </w:tr>
            <w:tr w14:paraId="2D223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6" w:type="pct"/>
                  <w:gridSpan w:val="2"/>
                  <w:vMerge w:val="continue"/>
                  <w:tcBorders>
                    <w:tl2br w:val="nil"/>
                    <w:tr2bl w:val="nil"/>
                  </w:tcBorders>
                  <w:vAlign w:val="center"/>
                </w:tcPr>
                <w:p w14:paraId="6740A6C5">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2951E386">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区内规划的水域和防护绿地，禁止与环境保护功能无关的建设活动。</w:t>
                  </w:r>
                </w:p>
              </w:tc>
            </w:tr>
            <w:tr w14:paraId="71D77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6" w:type="pct"/>
                  <w:gridSpan w:val="2"/>
                  <w:vMerge w:val="continue"/>
                  <w:tcBorders>
                    <w:tl2br w:val="nil"/>
                    <w:tr2bl w:val="nil"/>
                  </w:tcBorders>
                  <w:vAlign w:val="center"/>
                </w:tcPr>
                <w:p w14:paraId="38709C70">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7AC41DB3">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工业用地与居住用地、商住混合用地、学校之间须设置适当的空间隔离带。</w:t>
                  </w:r>
                </w:p>
              </w:tc>
            </w:tr>
          </w:tbl>
          <w:p w14:paraId="1F3ECDB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本项目主要从事</w:t>
            </w:r>
            <w:r>
              <w:rPr>
                <w:rFonts w:hint="eastAsia" w:cs="Times New Roman"/>
                <w:color w:val="auto"/>
                <w:sz w:val="24"/>
                <w:szCs w:val="24"/>
                <w:lang w:eastAsia="zh-CN"/>
              </w:rPr>
              <w:t>调味鱼皮及其他预制水产生产</w:t>
            </w:r>
            <w:r>
              <w:rPr>
                <w:rFonts w:hint="default" w:ascii="Times New Roman" w:hAnsi="Times New Roman" w:eastAsia="宋体" w:cs="Times New Roman"/>
                <w:color w:val="auto"/>
                <w:sz w:val="24"/>
                <w:szCs w:val="24"/>
              </w:rPr>
              <w:t>，位于</w:t>
            </w:r>
            <w:r>
              <w:rPr>
                <w:rFonts w:hint="eastAsia" w:ascii="Times New Roman" w:hAnsi="Times New Roman" w:eastAsia="宋体" w:cs="Times New Roman"/>
                <w:color w:val="auto"/>
                <w:sz w:val="24"/>
                <w:szCs w:val="24"/>
                <w:lang w:val="en-US" w:eastAsia="zh-CN"/>
              </w:rPr>
              <w:t>江苏涟水经济开发区</w:t>
            </w:r>
            <w:r>
              <w:rPr>
                <w:rFonts w:hint="eastAsia" w:cs="Times New Roman"/>
                <w:color w:val="auto"/>
                <w:sz w:val="24"/>
                <w:szCs w:val="24"/>
                <w:lang w:val="en-US" w:eastAsia="zh-CN"/>
              </w:rPr>
              <w:t>涟水路3号</w:t>
            </w:r>
            <w:r>
              <w:rPr>
                <w:rFonts w:hint="default" w:ascii="Times New Roman" w:hAnsi="Times New Roman" w:eastAsia="宋体" w:cs="Times New Roman"/>
                <w:color w:val="auto"/>
                <w:sz w:val="24"/>
                <w:szCs w:val="24"/>
              </w:rPr>
              <w:t>，属于规划范围内</w:t>
            </w:r>
            <w:r>
              <w:rPr>
                <w:rFonts w:hint="eastAsia"/>
                <w:color w:val="auto"/>
                <w:sz w:val="24"/>
              </w:rPr>
              <w:t>绿色食品产业组团</w:t>
            </w:r>
            <w:r>
              <w:rPr>
                <w:rFonts w:hint="default" w:ascii="Times New Roman" w:hAnsi="Times New Roman" w:cs="Times New Roman"/>
                <w:color w:val="auto"/>
                <w:sz w:val="24"/>
                <w:szCs w:val="24"/>
              </w:rPr>
              <w:t>，用地性质为工业用地，不属于园区禁止引入和限制引入类项目，符合园区用地规划要求。</w:t>
            </w:r>
          </w:p>
          <w:p w14:paraId="30229F1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2.</w:t>
            </w:r>
            <w:r>
              <w:rPr>
                <w:rFonts w:hint="default" w:ascii="Times New Roman" w:hAnsi="Times New Roman" w:eastAsia="宋体" w:cs="Times New Roman"/>
                <w:color w:val="auto"/>
                <w:sz w:val="24"/>
                <w:szCs w:val="24"/>
              </w:rPr>
              <w:t>与《江苏涟水经济开发区环境影响报告书》的相符性</w:t>
            </w:r>
          </w:p>
          <w:p w14:paraId="7CF087B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江苏涟水经济开发区环境影响报告书》于2007年8月14日通过原江苏省环境保护厅审批，2015年5月涟水经济开发区管委会委托江苏省环科咨询股份有限公司编制了《江苏涟水经济开发区片区规划环境影响跟踪评价报告书》，并获得省厅《关于对江苏涟水经济开发区片区规划环境影响跟踪评价报告书的审核意见》（苏环审〔2015〕51号）。2022年，管委会委托编制了《江苏涟水经济开发区开发建设规划（2022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2035年）》，《江苏涟水经济开发区开发建设规划（2022-2035）环境影响报告书》于2023年10月获得了省生态环境厅《关于江苏涟水经济开发区开发建设规划（2022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2035年）环境影响报告书的审查意见》（苏环审〔2023〕81号）。</w:t>
            </w:r>
          </w:p>
          <w:p w14:paraId="6A8857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涟水开发区于2023年10月取得了江苏省</w:t>
            </w:r>
            <w:r>
              <w:rPr>
                <w:rFonts w:hint="default" w:ascii="Times New Roman" w:hAnsi="Times New Roman" w:cs="Times New Roman"/>
                <w:color w:val="auto"/>
                <w:sz w:val="24"/>
                <w:szCs w:val="24"/>
                <w:lang w:val="en-US" w:eastAsia="zh-CN"/>
              </w:rPr>
              <w:t>生态环境</w:t>
            </w:r>
            <w:r>
              <w:rPr>
                <w:rFonts w:hint="default" w:ascii="Times New Roman" w:hAnsi="Times New Roman" w:cs="Times New Roman"/>
                <w:color w:val="auto"/>
                <w:sz w:val="24"/>
                <w:szCs w:val="24"/>
              </w:rPr>
              <w:t>厅《关于江苏涟水经济开发区开发建设规划（2022</w:t>
            </w:r>
            <w:r>
              <w:rPr>
                <w:rFonts w:hint="eastAsia" w:cs="Times New Roman"/>
                <w:color w:val="auto"/>
                <w:sz w:val="24"/>
                <w:szCs w:val="24"/>
                <w:lang w:eastAsia="zh-CN"/>
              </w:rPr>
              <w:t>—</w:t>
            </w:r>
            <w:r>
              <w:rPr>
                <w:rFonts w:hint="default" w:ascii="Times New Roman" w:hAnsi="Times New Roman" w:cs="Times New Roman"/>
                <w:color w:val="auto"/>
                <w:sz w:val="24"/>
                <w:szCs w:val="24"/>
              </w:rPr>
              <w:t>2035年）环境影响报告书的审核意见》（苏环审〔2023〕81号），本项目与审查意见相符性分析见下表。</w:t>
            </w:r>
          </w:p>
          <w:p w14:paraId="08B56B58">
            <w:pPr>
              <w:pStyle w:val="132"/>
              <w:keepNext w:val="0"/>
              <w:keepLines w:val="0"/>
              <w:pageBreakBefore w:val="0"/>
              <w:widowControl/>
              <w:kinsoku/>
              <w:wordWrap/>
              <w:overflowPunct/>
              <w:topLinePunct w:val="0"/>
              <w:autoSpaceDE/>
              <w:autoSpaceDN/>
              <w:bidi w:val="0"/>
              <w:adjustRightInd/>
              <w:snapToGrid/>
              <w:spacing w:before="0" w:beforeLines="0"/>
              <w:textAlignment w:val="auto"/>
              <w:rPr>
                <w:rFonts w:hint="default" w:ascii="Times New Roman" w:hAnsi="Times New Roman" w:cs="Times New Roman"/>
                <w:color w:val="auto"/>
                <w:sz w:val="24"/>
                <w:szCs w:val="24"/>
              </w:rPr>
            </w:pPr>
            <w:bookmarkStart w:id="7" w:name="_Toc9664"/>
            <w:r>
              <w:rPr>
                <w:rFonts w:hint="default" w:ascii="Times New Roman" w:hAnsi="Times New Roman" w:cs="Times New Roman"/>
                <w:color w:val="auto"/>
                <w:sz w:val="24"/>
                <w:szCs w:val="24"/>
              </w:rPr>
              <w:t>表1-2本项目与审查意见相符性分析</w:t>
            </w:r>
            <w:bookmarkEnd w:id="7"/>
          </w:p>
          <w:tbl>
            <w:tblPr>
              <w:tblStyle w:val="32"/>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7"/>
              <w:gridCol w:w="4909"/>
              <w:gridCol w:w="2125"/>
              <w:gridCol w:w="709"/>
            </w:tblGrid>
            <w:tr w14:paraId="047A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top w:val="single" w:color="auto" w:sz="12" w:space="0"/>
                    <w:left w:val="nil"/>
                    <w:bottom w:val="single" w:color="auto" w:sz="8" w:space="0"/>
                  </w:tcBorders>
                  <w:vAlign w:val="center"/>
                </w:tcPr>
                <w:p w14:paraId="40D2A4D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985" w:type="pct"/>
                  <w:tcBorders>
                    <w:top w:val="single" w:color="auto" w:sz="12" w:space="0"/>
                    <w:bottom w:val="single" w:color="auto" w:sz="8" w:space="0"/>
                  </w:tcBorders>
                  <w:vAlign w:val="center"/>
                </w:tcPr>
                <w:p w14:paraId="6C9E7E8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审查意见</w:t>
                  </w:r>
                </w:p>
              </w:tc>
              <w:tc>
                <w:tcPr>
                  <w:tcW w:w="1292" w:type="pct"/>
                  <w:tcBorders>
                    <w:top w:val="single" w:color="auto" w:sz="12" w:space="0"/>
                    <w:bottom w:val="single" w:color="auto" w:sz="8" w:space="0"/>
                  </w:tcBorders>
                  <w:vAlign w:val="center"/>
                </w:tcPr>
                <w:p w14:paraId="5D09D9B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p>
              </w:tc>
              <w:tc>
                <w:tcPr>
                  <w:tcW w:w="431" w:type="pct"/>
                  <w:tcBorders>
                    <w:top w:val="single" w:color="auto" w:sz="12" w:space="0"/>
                    <w:bottom w:val="single" w:color="auto" w:sz="8" w:space="0"/>
                    <w:right w:val="nil"/>
                  </w:tcBorders>
                  <w:vAlign w:val="center"/>
                </w:tcPr>
                <w:p w14:paraId="4A2DA82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是否符合</w:t>
                  </w:r>
                </w:p>
              </w:tc>
            </w:tr>
            <w:tr w14:paraId="4665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top w:val="single" w:color="auto" w:sz="8" w:space="0"/>
                    <w:left w:val="nil"/>
                  </w:tcBorders>
                  <w:vAlign w:val="center"/>
                </w:tcPr>
                <w:p w14:paraId="6663689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985" w:type="pct"/>
                  <w:tcBorders>
                    <w:top w:val="single" w:color="auto" w:sz="8" w:space="0"/>
                  </w:tcBorders>
                  <w:vAlign w:val="center"/>
                </w:tcPr>
                <w:p w14:paraId="64D8556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空间管控，优化空间布局。落实《报告书》提出的现有环境问题整改措施，2025年底前，江苏快乐电源（涟水）有限公司限制扩大规模、涟水龙盛气体有限公司搬迁退让；淮安市亚森木业有限公司等11家企业仅允许实施规范化整治提升。强化工业企业退出和产业升级过程中的污染防治。开发区内绿地及水域在规划期内禁止开发利用。加强区内空间隔离带建设，西区工业用地与居住、商住混合用地、学校之间设置50米以上空间隔离带，或在该范围内布置办公等不产生噪声污染、废气排放的设施，并设置不少于20米的绿化隔离带，确保开发区产业布局与生态环境保护、人居环境安全相协调。</w:t>
                  </w:r>
                </w:p>
              </w:tc>
              <w:tc>
                <w:tcPr>
                  <w:tcW w:w="1292" w:type="pct"/>
                  <w:tcBorders>
                    <w:top w:val="single" w:color="auto" w:sz="8" w:space="0"/>
                  </w:tcBorders>
                  <w:vAlign w:val="center"/>
                </w:tcPr>
                <w:p w14:paraId="284A315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本次项目位于</w:t>
                  </w:r>
                  <w:r>
                    <w:rPr>
                      <w:rFonts w:hint="default" w:ascii="Times New Roman" w:hAnsi="Times New Roman" w:cs="Times New Roman"/>
                      <w:color w:val="auto"/>
                      <w:sz w:val="22"/>
                      <w:szCs w:val="22"/>
                      <w:lang w:val="en-US" w:eastAsia="zh-CN"/>
                    </w:rPr>
                    <w:t>江苏涟水经济开发区涟水路3号</w:t>
                  </w:r>
                  <w:r>
                    <w:rPr>
                      <w:rFonts w:hint="default" w:ascii="Times New Roman" w:hAnsi="Times New Roman" w:cs="Times New Roman"/>
                      <w:color w:val="auto"/>
                      <w:sz w:val="21"/>
                      <w:szCs w:val="21"/>
                    </w:rPr>
                    <w:t>，属于工业用地。不在《报告书》提出的现有环境问题整改措施范围内。</w:t>
                  </w:r>
                </w:p>
              </w:tc>
              <w:tc>
                <w:tcPr>
                  <w:tcW w:w="431" w:type="pct"/>
                  <w:tcBorders>
                    <w:top w:val="single" w:color="auto" w:sz="8" w:space="0"/>
                    <w:right w:val="nil"/>
                  </w:tcBorders>
                  <w:vAlign w:val="center"/>
                </w:tcPr>
                <w:p w14:paraId="6425103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B2D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tcBorders>
                  <w:vAlign w:val="center"/>
                </w:tcPr>
                <w:p w14:paraId="5211F2D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985" w:type="pct"/>
                  <w:vAlign w:val="center"/>
                </w:tcPr>
                <w:p w14:paraId="3C38D91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守环境质量底线，实施污染物排放限值限量管理。落实国家和江苏省关于大气、水、土壤、噪声污染防治、区域生态环境分区管控、工业园区（集中区）污染物排放限值限量管理相关要求，建立以环境质量为核心的污染物总量控制管理体系，实施主要污染物排放浓度和总量“双管控”。2025年，开发区环境空气细颗粒物（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）年均浓度应达到29微克/立方米，盐河应稳定达到</w:t>
                  </w:r>
                  <w:r>
                    <w:rPr>
                      <w:rFonts w:hint="eastAsia" w:ascii="Times New Roman" w:cs="Times New Roman"/>
                      <w:color w:val="auto"/>
                      <w:sz w:val="21"/>
                      <w:szCs w:val="21"/>
                      <w:lang w:eastAsia="zh-CN"/>
                    </w:rPr>
                    <w:t>Ⅱ</w:t>
                  </w:r>
                  <w:r>
                    <w:rPr>
                      <w:rFonts w:hint="default" w:ascii="Times New Roman" w:hAnsi="Times New Roman" w:cs="Times New Roman"/>
                      <w:color w:val="auto"/>
                      <w:sz w:val="21"/>
                      <w:szCs w:val="21"/>
                    </w:rPr>
                    <w:t>、Ⅲ类水质标准。</w:t>
                  </w:r>
                </w:p>
              </w:tc>
              <w:tc>
                <w:tcPr>
                  <w:tcW w:w="1292" w:type="pct"/>
                  <w:vAlign w:val="center"/>
                </w:tcPr>
                <w:p w14:paraId="692DC0A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本次项目污染物排放执行园区总</w:t>
                  </w:r>
                  <w:r>
                    <w:rPr>
                      <w:rFonts w:hint="default" w:ascii="Times New Roman" w:hAnsi="Times New Roman" w:cs="Times New Roman"/>
                      <w:color w:val="auto"/>
                      <w:sz w:val="18"/>
                      <w:szCs w:val="18"/>
                    </w:rPr>
                    <w:t>量控制管理相关要求，</w:t>
                  </w:r>
                  <w:r>
                    <w:rPr>
                      <w:rFonts w:hint="default" w:ascii="Times New Roman" w:hAnsi="Times New Roman" w:cs="Times New Roman"/>
                      <w:color w:val="auto"/>
                      <w:sz w:val="21"/>
                      <w:szCs w:val="21"/>
                    </w:rPr>
                    <w:t>本次</w:t>
                  </w:r>
                  <w:r>
                    <w:rPr>
                      <w:rFonts w:hint="eastAsia" w:ascii="Times New Roman" w:cs="Times New Roman"/>
                      <w:color w:val="auto"/>
                      <w:sz w:val="21"/>
                      <w:szCs w:val="21"/>
                      <w:lang w:eastAsia="zh-CN"/>
                    </w:rPr>
                    <w:t>扩建项</w:t>
                  </w:r>
                  <w:r>
                    <w:rPr>
                      <w:rFonts w:hint="default" w:ascii="Times New Roman" w:hAnsi="Times New Roman" w:cs="Times New Roman"/>
                      <w:color w:val="auto"/>
                      <w:sz w:val="21"/>
                      <w:szCs w:val="21"/>
                    </w:rPr>
                    <w:t>目主要污染物排放浓度和总量双达标。</w:t>
                  </w:r>
                </w:p>
              </w:tc>
              <w:tc>
                <w:tcPr>
                  <w:tcW w:w="431" w:type="pct"/>
                  <w:tcBorders>
                    <w:right w:val="nil"/>
                  </w:tcBorders>
                  <w:vAlign w:val="center"/>
                </w:tcPr>
                <w:p w14:paraId="7706AD2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E19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0" w:type="pct"/>
                  <w:tcBorders>
                    <w:left w:val="nil"/>
                  </w:tcBorders>
                  <w:vAlign w:val="center"/>
                </w:tcPr>
                <w:p w14:paraId="207CD77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985" w:type="pct"/>
                  <w:vAlign w:val="center"/>
                </w:tcPr>
                <w:p w14:paraId="5177C3E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源头治理，协同推进减污降碳。严格落实生态环境准入清单（附件2），以及《报告书》提出的生态环境准入要求，严格限制与主导产业不相关且排污负荷大的项目入区，执行最严格的行业废水、废气排放控制要求。强化企业特征污染物排放控制、高效治理设施建设以及精细化管控，引进项目的生产工艺、设备，以及单位产品水耗、能耗、污染物排放和资源利用效率等应达到同行业国内先进水平。全面开展清洁生产审核，推动重点行业依法实施强制性审核，引导其他行业自觉自愿开展审核，不断提高现有企业清洁生产和污染治理水平。根据国家和地方碳减排、碳达峰行动方案和路径要求，优化产业结构、能源结构等规划内容，推进减污降碳协同增效。</w:t>
                  </w:r>
                </w:p>
              </w:tc>
              <w:tc>
                <w:tcPr>
                  <w:tcW w:w="1292" w:type="pct"/>
                  <w:vAlign w:val="center"/>
                </w:tcPr>
                <w:p w14:paraId="70FAD0C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ascii="Times New Roman"/>
                      <w:color w:val="auto"/>
                      <w:szCs w:val="21"/>
                    </w:rPr>
                    <w:t>本项目</w:t>
                  </w:r>
                  <w:r>
                    <w:rPr>
                      <w:rFonts w:ascii="Times New Roman" w:hAnsi="Times New Roman" w:cs="Times New Roman"/>
                      <w:color w:val="auto"/>
                      <w:szCs w:val="21"/>
                    </w:rPr>
                    <w:t>为</w:t>
                  </w:r>
                  <w:r>
                    <w:rPr>
                      <w:rFonts w:hint="eastAsia" w:ascii="Times New Roman" w:cs="Times New Roman"/>
                      <w:color w:val="auto"/>
                      <w:szCs w:val="21"/>
                      <w:lang w:eastAsia="zh-CN"/>
                    </w:rPr>
                    <w:t>调味鱼皮及其他预制水产</w:t>
                  </w:r>
                  <w:r>
                    <w:rPr>
                      <w:rFonts w:hint="eastAsia" w:ascii="Times New Roman" w:hAnsi="Times New Roman" w:cs="Times New Roman"/>
                      <w:color w:val="auto"/>
                      <w:szCs w:val="21"/>
                      <w:lang w:eastAsia="zh-CN"/>
                    </w:rPr>
                    <w:t>生产扩建</w:t>
                  </w:r>
                  <w:r>
                    <w:rPr>
                      <w:rFonts w:ascii="Times New Roman" w:hAnsi="Times New Roman" w:cs="Times New Roman"/>
                      <w:color w:val="auto"/>
                      <w:szCs w:val="21"/>
                    </w:rPr>
                    <w:t>项目，生产工艺、设备</w:t>
                  </w:r>
                  <w:r>
                    <w:rPr>
                      <w:rFonts w:ascii="Times New Roman"/>
                      <w:color w:val="auto"/>
                      <w:szCs w:val="21"/>
                    </w:rPr>
                    <w:t>，以及单位产品水耗、能耗、污染物排放和资源利用效率达到同行业国内先进水平，不属于园区禁止引入和限制引入类项目，符合园区产业准入条件</w:t>
                  </w:r>
                </w:p>
              </w:tc>
              <w:tc>
                <w:tcPr>
                  <w:tcW w:w="431" w:type="pct"/>
                  <w:tcBorders>
                    <w:right w:val="nil"/>
                  </w:tcBorders>
                  <w:vAlign w:val="center"/>
                </w:tcPr>
                <w:p w14:paraId="2980EB8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756F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tcBorders>
                  <w:vAlign w:val="center"/>
                </w:tcPr>
                <w:p w14:paraId="140433F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985" w:type="pct"/>
                  <w:vAlign w:val="center"/>
                </w:tcPr>
                <w:p w14:paraId="242ABE5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善环境基础设施建设，提高基础设施运行效能。加快推进西区污水厂中水回用设施及回用管网建设，2025年底前建成二支大沟生态安全缓冲区，改造建成2万吨/日工业污水处理设施、1万吨/日中水回用工程，确保工业废水与生活污水分类收集、分质处理。开展区内入河排污口排查及规范化整治，建立名录，强化日常监管。加强园区固体废物减量化、资源化、无害化处理，一般工业固废、危险废物应依法依规收集、处理处置，做到“就地分类收集、就近转移处置”。</w:t>
                  </w:r>
                </w:p>
              </w:tc>
              <w:tc>
                <w:tcPr>
                  <w:tcW w:w="1292" w:type="pct"/>
                  <w:vAlign w:val="center"/>
                </w:tcPr>
                <w:p w14:paraId="12D9422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w:t>
                  </w:r>
                  <w:r>
                    <w:rPr>
                      <w:rFonts w:hint="eastAsia" w:ascii="Times New Roman" w:cs="Times New Roman"/>
                      <w:color w:val="auto"/>
                      <w:sz w:val="21"/>
                      <w:szCs w:val="21"/>
                      <w:lang w:eastAsia="zh-CN"/>
                    </w:rPr>
                    <w:t>次扩建</w:t>
                  </w:r>
                  <w:r>
                    <w:rPr>
                      <w:rFonts w:hint="default" w:ascii="Times New Roman" w:hAnsi="Times New Roman" w:cs="Times New Roman"/>
                      <w:color w:val="auto"/>
                      <w:sz w:val="21"/>
                      <w:szCs w:val="21"/>
                    </w:rPr>
                    <w:t>项目</w:t>
                  </w:r>
                  <w:r>
                    <w:rPr>
                      <w:rFonts w:hint="eastAsia" w:ascii="Times New Roman" w:cs="Times New Roman"/>
                      <w:color w:val="auto"/>
                      <w:sz w:val="21"/>
                      <w:szCs w:val="21"/>
                      <w:lang w:eastAsia="zh-CN"/>
                    </w:rPr>
                    <w:t>涉及新增员工，</w:t>
                  </w:r>
                  <w:r>
                    <w:rPr>
                      <w:rFonts w:hint="default" w:ascii="Times New Roman" w:hAnsi="Times New Roman" w:cs="Times New Roman"/>
                      <w:color w:val="auto"/>
                      <w:sz w:val="21"/>
                      <w:szCs w:val="21"/>
                    </w:rPr>
                    <w:t>生活</w:t>
                  </w:r>
                  <w:r>
                    <w:rPr>
                      <w:rFonts w:hint="eastAsia" w:ascii="Times New Roman" w:cs="Times New Roman"/>
                      <w:color w:val="auto"/>
                      <w:sz w:val="21"/>
                      <w:szCs w:val="21"/>
                      <w:lang w:eastAsia="zh-CN"/>
                    </w:rPr>
                    <w:t>食堂</w:t>
                  </w:r>
                  <w:r>
                    <w:rPr>
                      <w:rFonts w:hint="default" w:ascii="Times New Roman" w:hAnsi="Times New Roman" w:cs="Times New Roman"/>
                      <w:color w:val="auto"/>
                      <w:sz w:val="21"/>
                      <w:szCs w:val="21"/>
                    </w:rPr>
                    <w:t>污水</w:t>
                  </w:r>
                  <w:r>
                    <w:rPr>
                      <w:rFonts w:hint="eastAsia" w:ascii="Times New Roman" w:cs="Times New Roman"/>
                      <w:color w:val="auto"/>
                      <w:sz w:val="21"/>
                      <w:szCs w:val="21"/>
                      <w:lang w:eastAsia="zh-CN"/>
                    </w:rPr>
                    <w:t>依托现有项目</w:t>
                  </w:r>
                  <w:r>
                    <w:rPr>
                      <w:rFonts w:hint="default" w:ascii="Times New Roman" w:hAnsi="Times New Roman" w:cs="Times New Roman"/>
                      <w:color w:val="auto"/>
                      <w:sz w:val="21"/>
                      <w:szCs w:val="21"/>
                    </w:rPr>
                    <w:t>经</w:t>
                  </w:r>
                  <w:r>
                    <w:rPr>
                      <w:rFonts w:hint="eastAsia" w:ascii="Times New Roman" w:cs="Times New Roman"/>
                      <w:color w:val="auto"/>
                      <w:sz w:val="21"/>
                      <w:szCs w:val="21"/>
                      <w:lang w:eastAsia="zh-CN"/>
                    </w:rPr>
                    <w:t>隔油池</w:t>
                  </w:r>
                  <w:r>
                    <w:rPr>
                      <w:rFonts w:hint="eastAsia" w:ascii="Times New Roman" w:cs="Times New Roman"/>
                      <w:color w:val="auto"/>
                      <w:sz w:val="21"/>
                      <w:szCs w:val="21"/>
                      <w:lang w:val="en-US" w:eastAsia="zh-CN"/>
                    </w:rPr>
                    <w:t>+</w:t>
                  </w:r>
                  <w:r>
                    <w:rPr>
                      <w:rFonts w:hint="default" w:ascii="Times New Roman" w:hAnsi="Times New Roman" w:cs="Times New Roman"/>
                      <w:color w:val="auto"/>
                      <w:sz w:val="21"/>
                      <w:szCs w:val="21"/>
                    </w:rPr>
                    <w:t>化粪池处理后与生产废水经厂区污水处理站预处理后一起接管至涟水经济开发区西区污水处理厂集中处理。本次</w:t>
                  </w:r>
                  <w:r>
                    <w:rPr>
                      <w:rFonts w:hint="eastAsia" w:ascii="Times New Roman" w:cs="Times New Roman"/>
                      <w:color w:val="auto"/>
                      <w:sz w:val="21"/>
                      <w:szCs w:val="21"/>
                      <w:lang w:eastAsia="zh-CN"/>
                    </w:rPr>
                    <w:t>扩建</w:t>
                  </w:r>
                  <w:r>
                    <w:rPr>
                      <w:rFonts w:hint="default" w:ascii="Times New Roman" w:hAnsi="Times New Roman" w:cs="Times New Roman"/>
                      <w:color w:val="auto"/>
                      <w:sz w:val="21"/>
                      <w:szCs w:val="21"/>
                    </w:rPr>
                    <w:t>项目一般工业固废、危险废物分类收集、暂存并委托处理。</w:t>
                  </w:r>
                </w:p>
              </w:tc>
              <w:tc>
                <w:tcPr>
                  <w:tcW w:w="431" w:type="pct"/>
                  <w:tcBorders>
                    <w:right w:val="nil"/>
                  </w:tcBorders>
                  <w:vAlign w:val="center"/>
                </w:tcPr>
                <w:p w14:paraId="02BECC2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377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tcBorders>
                  <w:vAlign w:val="center"/>
                </w:tcPr>
                <w:p w14:paraId="709B32A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985" w:type="pct"/>
                  <w:vAlign w:val="center"/>
                </w:tcPr>
                <w:p w14:paraId="3A2BF2A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立健全环境监测监控体系。开展包括环境空气、地表水、地下水、土壤、底泥等环境要素的长期跟踪监测与管理。结合区域跟踪监测情况，动态调整开发区开发建设规模和时序进度，优化生态环境保护措施，确保区域生态环境质量不恶化。探索开展新污染物环境本底调查监测，依法公开新污染物信息。积极推进氟化物污染物排放及水环境质量的监测监控</w:t>
                  </w:r>
                  <w:r>
                    <w:rPr>
                      <w:rFonts w:hint="eastAsia" w:ascii="Times New Roman" w:cs="Times New Roman"/>
                      <w:color w:val="auto"/>
                      <w:sz w:val="21"/>
                      <w:szCs w:val="21"/>
                      <w:lang w:eastAsia="zh-CN"/>
                    </w:rPr>
                    <w:t>，在</w:t>
                  </w:r>
                  <w:r>
                    <w:rPr>
                      <w:rFonts w:hint="default" w:ascii="Times New Roman" w:hAnsi="Times New Roman" w:cs="Times New Roman"/>
                      <w:color w:val="auto"/>
                      <w:sz w:val="21"/>
                      <w:szCs w:val="21"/>
                    </w:rPr>
                    <w:t>园区重点涉氟企业雨水污水排放口完成氟化物自动监控系统安装，并与省、市平台联网。指导区内企业规范安装在线监测设备并联网，推进区内排污许可重点管理单位自动监测全覆盖；暂不具备安装在线监测设备条件的企业，应做好委托监测工作。</w:t>
                  </w:r>
                </w:p>
              </w:tc>
              <w:tc>
                <w:tcPr>
                  <w:tcW w:w="1292" w:type="pct"/>
                  <w:vAlign w:val="center"/>
                </w:tcPr>
                <w:p w14:paraId="5A765F8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rPr>
                    <w:t>本</w:t>
                  </w:r>
                  <w:r>
                    <w:rPr>
                      <w:rFonts w:hint="default" w:ascii="Times New Roman" w:hAnsi="Times New Roman" w:cs="Times New Roman"/>
                      <w:color w:val="auto"/>
                      <w:lang w:val="en-US" w:eastAsia="zh-CN"/>
                    </w:rPr>
                    <w:t>项目不涉及污染因子氟化物</w:t>
                  </w:r>
                  <w:r>
                    <w:rPr>
                      <w:rFonts w:hint="default" w:ascii="Times New Roman" w:hAnsi="Times New Roman" w:cs="Times New Roman"/>
                      <w:color w:val="auto"/>
                    </w:rPr>
                    <w:t>。废气、废水排口均加强污染源监管</w:t>
                  </w:r>
                  <w:r>
                    <w:rPr>
                      <w:rFonts w:hint="default" w:ascii="Times New Roman" w:hAnsi="Times New Roman" w:cs="Times New Roman"/>
                      <w:color w:val="auto"/>
                      <w:lang w:eastAsia="zh-CN"/>
                    </w:rPr>
                    <w:t>，</w:t>
                  </w:r>
                  <w:r>
                    <w:rPr>
                      <w:rFonts w:hint="default" w:ascii="Times New Roman" w:hAnsi="Times New Roman" w:cs="Times New Roman"/>
                      <w:color w:val="auto"/>
                    </w:rPr>
                    <w:t>确保污染物稳定达标排放。本项目</w:t>
                  </w:r>
                  <w:r>
                    <w:rPr>
                      <w:rFonts w:hint="default" w:ascii="Times New Roman" w:hAnsi="Times New Roman" w:cs="Times New Roman"/>
                      <w:color w:val="auto"/>
                      <w:lang w:val="en-US" w:eastAsia="zh-CN"/>
                    </w:rPr>
                    <w:t>将按排污许可要求委托有资质的检测公司开展监测工作</w:t>
                  </w:r>
                  <w:r>
                    <w:rPr>
                      <w:rFonts w:hint="default" w:ascii="Times New Roman" w:hAnsi="Times New Roman" w:cs="Times New Roman"/>
                      <w:color w:val="auto"/>
                    </w:rPr>
                    <w:t>。</w:t>
                  </w:r>
                </w:p>
              </w:tc>
              <w:tc>
                <w:tcPr>
                  <w:tcW w:w="431" w:type="pct"/>
                  <w:tcBorders>
                    <w:right w:val="nil"/>
                  </w:tcBorders>
                  <w:vAlign w:val="center"/>
                </w:tcPr>
                <w:p w14:paraId="1D018F9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7F13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tcBorders>
                  <w:vAlign w:val="center"/>
                </w:tcPr>
                <w:p w14:paraId="7D30F38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985" w:type="pct"/>
                  <w:vAlign w:val="center"/>
                </w:tcPr>
                <w:p w14:paraId="164E6FD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健全环境风险防控体系，提升环境应急能力。完善开发区风险防控体系建设，确保事故废水不进入外环境。加强环境应急基础设施建设，配备充足的应急装备物资，形成环境应急救援能力。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重点关注并督促指导涉重金属企业构筑“风险单元－管网、应急池－厂界”环境风险防控体系，严防涉重金属突发水污染事件</w:t>
                  </w:r>
                  <w:r>
                    <w:rPr>
                      <w:rFonts w:hint="default" w:ascii="Times New Roman" w:hAnsi="Times New Roman" w:cs="Times New Roman"/>
                      <w:color w:val="auto"/>
                      <w:sz w:val="21"/>
                      <w:szCs w:val="21"/>
                      <w:lang w:eastAsia="zh-CN"/>
                    </w:rPr>
                    <w:t>。</w:t>
                  </w:r>
                </w:p>
              </w:tc>
              <w:tc>
                <w:tcPr>
                  <w:tcW w:w="1292" w:type="pct"/>
                  <w:vAlign w:val="center"/>
                </w:tcPr>
                <w:p w14:paraId="404A1FB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企业将针对本次</w:t>
                  </w:r>
                  <w:r>
                    <w:rPr>
                      <w:rFonts w:hint="eastAsia" w:ascii="Times New Roman" w:cs="Times New Roman"/>
                      <w:color w:val="auto"/>
                      <w:sz w:val="21"/>
                      <w:szCs w:val="21"/>
                      <w:lang w:eastAsia="zh-CN"/>
                    </w:rPr>
                    <w:t>扩建</w:t>
                  </w:r>
                  <w:r>
                    <w:rPr>
                      <w:rFonts w:hint="default" w:ascii="Times New Roman" w:hAnsi="Times New Roman" w:cs="Times New Roman"/>
                      <w:color w:val="auto"/>
                      <w:sz w:val="21"/>
                      <w:szCs w:val="21"/>
                    </w:rPr>
                    <w:t>项目，进行全场突发环境事件应急预案的编制，完善环境应急措施，并将应急装备和储备物资纳入储备体系，积极响应市、县、园区突发环境事件应急响应体系，组织有针对性的应急演练，从而提高应急处置能力，并及时进行备案。</w:t>
                  </w:r>
                </w:p>
              </w:tc>
              <w:tc>
                <w:tcPr>
                  <w:tcW w:w="431" w:type="pct"/>
                  <w:tcBorders>
                    <w:right w:val="nil"/>
                  </w:tcBorders>
                  <w:vAlign w:val="center"/>
                </w:tcPr>
                <w:p w14:paraId="162DF47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C6F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bottom w:val="single" w:color="auto" w:sz="12" w:space="0"/>
                  </w:tcBorders>
                  <w:vAlign w:val="center"/>
                </w:tcPr>
                <w:p w14:paraId="296E569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985" w:type="pct"/>
                  <w:tcBorders>
                    <w:bottom w:val="single" w:color="auto" w:sz="12" w:space="0"/>
                  </w:tcBorders>
                  <w:vAlign w:val="center"/>
                </w:tcPr>
                <w:p w14:paraId="06BB353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实加强园区环境管理。健全园区环境管理机构，严格环境管理制度，强化日常环境监督管理，落实区域环境质量监测和污染源监控计划；加快推进区内企业竣工环保验收进程，今后所有入区企业和项目须严格执行环境影响评价和“三同时”制度；完善园区和企业风险防范措施与应急预案，定期开展应急演练；制定危险化学品登记管理制度；进一步梳理区内不符合产业定位或环境管理要求的企业和项目，提出并落实整改措施；开展区内各河道水环境综合整治。</w:t>
                  </w:r>
                </w:p>
              </w:tc>
              <w:tc>
                <w:tcPr>
                  <w:tcW w:w="1292" w:type="pct"/>
                  <w:tcBorders>
                    <w:bottom w:val="single" w:color="auto" w:sz="12" w:space="0"/>
                  </w:tcBorders>
                  <w:vAlign w:val="center"/>
                </w:tcPr>
                <w:p w14:paraId="5F5938B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企业切实加强环境管理制度，强化日常环境监督管理，严格执行“三同时”制度，制定危险化学品登记管理制度。</w:t>
                  </w:r>
                </w:p>
              </w:tc>
              <w:tc>
                <w:tcPr>
                  <w:tcW w:w="431" w:type="pct"/>
                  <w:tcBorders>
                    <w:bottom w:val="single" w:color="auto" w:sz="12" w:space="0"/>
                    <w:right w:val="nil"/>
                  </w:tcBorders>
                  <w:vAlign w:val="center"/>
                </w:tcPr>
                <w:p w14:paraId="7369FC5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5512B954">
            <w:pPr>
              <w:pStyle w:val="4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Style w:val="39"/>
                <w:rFonts w:hint="default" w:ascii="Times New Roman" w:hAnsi="Times New Roman" w:eastAsia="宋体" w:cs="Times New Roman"/>
                <w:color w:val="auto"/>
                <w:kern w:val="0"/>
                <w:sz w:val="24"/>
                <w:lang w:eastAsia="zh-CN"/>
              </w:rPr>
            </w:pPr>
            <w:r>
              <w:rPr>
                <w:rFonts w:hint="default" w:ascii="Times New Roman" w:hAnsi="Times New Roman" w:cs="Times New Roman"/>
                <w:color w:val="auto"/>
                <w:sz w:val="24"/>
                <w:szCs w:val="24"/>
              </w:rPr>
              <w:t>综上所述，本项目符合开发区环境保护的总体要求，符合</w:t>
            </w:r>
            <w:r>
              <w:rPr>
                <w:rFonts w:hint="default" w:ascii="Times New Roman" w:hAnsi="Times New Roman" w:eastAsia="宋体" w:cs="Times New Roman"/>
                <w:color w:val="auto"/>
                <w:kern w:val="2"/>
                <w:sz w:val="24"/>
                <w:szCs w:val="24"/>
                <w:lang w:val="en-US" w:eastAsia="zh-CN" w:bidi="ar-SA"/>
              </w:rPr>
              <w:t>《江苏涟水经济开发区开发建设规划（2022-2035）环境影响报告书》</w:t>
            </w:r>
            <w:r>
              <w:rPr>
                <w:rFonts w:hint="default" w:ascii="Times New Roman" w:hAnsi="Times New Roman" w:cs="Times New Roman"/>
                <w:color w:val="auto"/>
                <w:sz w:val="24"/>
                <w:szCs w:val="24"/>
              </w:rPr>
              <w:t>结论及审查意见，符合生态环境准入要求</w:t>
            </w:r>
            <w:r>
              <w:rPr>
                <w:rFonts w:hint="default" w:ascii="Times New Roman" w:hAnsi="Times New Roman" w:cs="Times New Roman"/>
                <w:color w:val="auto"/>
                <w:sz w:val="24"/>
                <w:szCs w:val="24"/>
                <w:lang w:eastAsia="zh-CN"/>
              </w:rPr>
              <w:t>。</w:t>
            </w:r>
          </w:p>
        </w:tc>
      </w:tr>
    </w:tbl>
    <w:p w14:paraId="04BBCCE1">
      <w:pPr>
        <w:autoSpaceDE w:val="0"/>
        <w:autoSpaceDN w:val="0"/>
        <w:adjustRightInd w:val="0"/>
        <w:snapToGrid w:val="0"/>
        <w:jc w:val="center"/>
        <w:rPr>
          <w:b/>
          <w:bCs/>
          <w:color w:val="auto"/>
          <w:kern w:val="0"/>
          <w:sz w:val="24"/>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554"/>
      </w:tblGrid>
      <w:tr w14:paraId="1D7F6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334" w:type="dxa"/>
            <w:vAlign w:val="center"/>
          </w:tcPr>
          <w:p w14:paraId="4DDEAF4D">
            <w:pPr>
              <w:autoSpaceDE w:val="0"/>
              <w:autoSpaceDN w:val="0"/>
              <w:adjustRightInd w:val="0"/>
              <w:snapToGrid w:val="0"/>
              <w:jc w:val="center"/>
              <w:rPr>
                <w:b/>
                <w:bCs/>
                <w:color w:val="auto"/>
                <w:kern w:val="0"/>
                <w:sz w:val="24"/>
              </w:rPr>
            </w:pPr>
            <w:r>
              <w:rPr>
                <w:rFonts w:hAnsi="宋体"/>
                <w:b/>
                <w:bCs/>
                <w:color w:val="auto"/>
                <w:kern w:val="0"/>
                <w:sz w:val="24"/>
              </w:rPr>
              <w:t>其他符合性分析</w:t>
            </w:r>
          </w:p>
        </w:tc>
        <w:tc>
          <w:tcPr>
            <w:tcW w:w="8554" w:type="dxa"/>
            <w:vAlign w:val="center"/>
          </w:tcPr>
          <w:p w14:paraId="484FCAB5">
            <w:pPr>
              <w:tabs>
                <w:tab w:val="left" w:pos="720"/>
              </w:tabs>
              <w:adjustRightInd w:val="0"/>
              <w:snapToGrid w:val="0"/>
              <w:spacing w:line="360" w:lineRule="auto"/>
              <w:ind w:firstLine="482" w:firstLineChars="200"/>
              <w:rPr>
                <w:b/>
                <w:color w:val="auto"/>
                <w:sz w:val="24"/>
              </w:rPr>
            </w:pPr>
            <w:r>
              <w:rPr>
                <w:b/>
                <w:color w:val="auto"/>
                <w:sz w:val="24"/>
              </w:rPr>
              <w:t>一、产业政策相符性</w:t>
            </w:r>
          </w:p>
          <w:p w14:paraId="06CF545E">
            <w:pPr>
              <w:tabs>
                <w:tab w:val="left" w:pos="720"/>
              </w:tabs>
              <w:adjustRightInd w:val="0"/>
              <w:snapToGrid w:val="0"/>
              <w:spacing w:line="360" w:lineRule="auto"/>
              <w:ind w:firstLine="480" w:firstLineChars="200"/>
              <w:rPr>
                <w:color w:val="auto"/>
                <w:sz w:val="24"/>
              </w:rPr>
            </w:pPr>
            <w:r>
              <w:rPr>
                <w:color w:val="auto"/>
                <w:sz w:val="24"/>
              </w:rPr>
              <w:t>本项目主要为</w:t>
            </w:r>
            <w:r>
              <w:rPr>
                <w:rFonts w:hint="eastAsia"/>
                <w:color w:val="auto"/>
                <w:sz w:val="24"/>
                <w:lang w:eastAsia="zh-CN"/>
              </w:rPr>
              <w:t>调味鱼皮及其他预制水产扩建</w:t>
            </w:r>
            <w:r>
              <w:rPr>
                <w:color w:val="auto"/>
                <w:sz w:val="24"/>
              </w:rPr>
              <w:t>项目，对照《产业结构调整指导目录（20</w:t>
            </w:r>
            <w:r>
              <w:rPr>
                <w:rFonts w:hint="eastAsia"/>
                <w:color w:val="auto"/>
                <w:sz w:val="24"/>
              </w:rPr>
              <w:t>24</w:t>
            </w:r>
            <w:r>
              <w:rPr>
                <w:color w:val="auto"/>
                <w:sz w:val="24"/>
              </w:rPr>
              <w:t>年本）》，不属于其中的限制类和淘汰类项目，为允许类项目。</w:t>
            </w:r>
          </w:p>
          <w:p w14:paraId="38A8EB56">
            <w:pPr>
              <w:tabs>
                <w:tab w:val="left" w:pos="720"/>
              </w:tabs>
              <w:adjustRightInd w:val="0"/>
              <w:snapToGrid w:val="0"/>
              <w:spacing w:line="360" w:lineRule="auto"/>
              <w:ind w:firstLine="480" w:firstLineChars="200"/>
              <w:rPr>
                <w:color w:val="auto"/>
                <w:kern w:val="0"/>
                <w:sz w:val="24"/>
              </w:rPr>
            </w:pPr>
            <w:r>
              <w:rPr>
                <w:color w:val="auto"/>
                <w:kern w:val="0"/>
                <w:sz w:val="24"/>
              </w:rPr>
              <w:t>对照《江苏省产业结构调整限制、淘汰和禁止目录》（苏办发</w:t>
            </w:r>
            <w:r>
              <w:rPr>
                <w:rFonts w:hint="eastAsia"/>
                <w:color w:val="auto"/>
                <w:kern w:val="0"/>
                <w:sz w:val="24"/>
                <w:lang w:eastAsia="zh-CN"/>
              </w:rPr>
              <w:t>〔2018〕32号</w:t>
            </w:r>
            <w:r>
              <w:rPr>
                <w:color w:val="auto"/>
                <w:kern w:val="0"/>
                <w:sz w:val="24"/>
              </w:rPr>
              <w:t>），本项目不属于限制类、淘汰类。</w:t>
            </w:r>
          </w:p>
          <w:p w14:paraId="0635DEE4">
            <w:pPr>
              <w:tabs>
                <w:tab w:val="left" w:pos="720"/>
              </w:tabs>
              <w:adjustRightInd w:val="0"/>
              <w:snapToGrid w:val="0"/>
              <w:spacing w:line="360" w:lineRule="auto"/>
              <w:ind w:firstLine="480" w:firstLineChars="200"/>
              <w:rPr>
                <w:color w:val="auto"/>
                <w:kern w:val="0"/>
                <w:sz w:val="24"/>
              </w:rPr>
            </w:pPr>
            <w:r>
              <w:rPr>
                <w:color w:val="auto"/>
                <w:kern w:val="0"/>
                <w:sz w:val="24"/>
              </w:rPr>
              <w:t>故本次</w:t>
            </w:r>
            <w:r>
              <w:rPr>
                <w:rFonts w:hint="eastAsia"/>
                <w:color w:val="auto"/>
                <w:sz w:val="24"/>
                <w:lang w:eastAsia="zh-CN"/>
              </w:rPr>
              <w:t>调味鱼皮及其他预制水产</w:t>
            </w:r>
            <w:r>
              <w:rPr>
                <w:rFonts w:hint="eastAsia" w:ascii="Times New Roman" w:hAnsi="Times New Roman" w:cs="Times New Roman"/>
                <w:color w:val="auto"/>
                <w:sz w:val="24"/>
                <w:lang w:eastAsia="zh-CN"/>
              </w:rPr>
              <w:t>扩建</w:t>
            </w:r>
            <w:r>
              <w:rPr>
                <w:color w:val="auto"/>
                <w:kern w:val="0"/>
                <w:sz w:val="24"/>
              </w:rPr>
              <w:t>符合国家及地方的产业政策，该项目202</w:t>
            </w:r>
            <w:r>
              <w:rPr>
                <w:rFonts w:hint="eastAsia"/>
                <w:color w:val="auto"/>
                <w:kern w:val="0"/>
                <w:sz w:val="24"/>
                <w:lang w:val="en-US" w:eastAsia="zh-CN"/>
              </w:rPr>
              <w:t>5</w:t>
            </w:r>
            <w:r>
              <w:rPr>
                <w:color w:val="auto"/>
                <w:kern w:val="0"/>
                <w:sz w:val="24"/>
              </w:rPr>
              <w:t>年</w:t>
            </w:r>
            <w:r>
              <w:rPr>
                <w:rFonts w:hint="eastAsia"/>
                <w:color w:val="auto"/>
                <w:kern w:val="0"/>
                <w:sz w:val="24"/>
                <w:lang w:val="en-US" w:eastAsia="zh-CN"/>
              </w:rPr>
              <w:t>7</w:t>
            </w:r>
            <w:r>
              <w:rPr>
                <w:color w:val="auto"/>
                <w:kern w:val="0"/>
                <w:sz w:val="24"/>
              </w:rPr>
              <w:t>月</w:t>
            </w:r>
            <w:r>
              <w:rPr>
                <w:rFonts w:hint="eastAsia"/>
                <w:color w:val="auto"/>
                <w:kern w:val="0"/>
                <w:sz w:val="24"/>
                <w:lang w:val="en-US" w:eastAsia="zh-CN"/>
              </w:rPr>
              <w:t>30</w:t>
            </w:r>
            <w:r>
              <w:rPr>
                <w:color w:val="auto"/>
                <w:kern w:val="0"/>
                <w:sz w:val="24"/>
              </w:rPr>
              <w:t>日由江苏涟水经济开发区管委会备案，备案证号：</w:t>
            </w:r>
            <w:r>
              <w:rPr>
                <w:color w:val="auto"/>
                <w:kern w:val="0"/>
                <w:sz w:val="24"/>
                <w:lang w:val="en-US" w:eastAsia="zh-CN"/>
              </w:rPr>
              <w:t>涟区开发备〔2025〕</w:t>
            </w:r>
            <w:r>
              <w:rPr>
                <w:rFonts w:hint="eastAsia"/>
                <w:color w:val="auto"/>
                <w:kern w:val="0"/>
                <w:sz w:val="24"/>
                <w:lang w:val="en-US" w:eastAsia="zh-CN"/>
              </w:rPr>
              <w:t>125</w:t>
            </w:r>
            <w:r>
              <w:rPr>
                <w:color w:val="auto"/>
                <w:kern w:val="0"/>
                <w:sz w:val="24"/>
                <w:lang w:val="en-US" w:eastAsia="zh-CN"/>
              </w:rPr>
              <w:t>号</w:t>
            </w:r>
            <w:r>
              <w:rPr>
                <w:color w:val="auto"/>
                <w:kern w:val="0"/>
                <w:sz w:val="24"/>
              </w:rPr>
              <w:t>，项目代码：</w:t>
            </w:r>
            <w:r>
              <w:rPr>
                <w:rFonts w:hint="eastAsia"/>
                <w:color w:val="auto"/>
                <w:kern w:val="0"/>
                <w:sz w:val="24"/>
                <w:lang w:val="en-US" w:eastAsia="zh-CN"/>
              </w:rPr>
              <w:t>2507-320860-89-02-235375</w:t>
            </w:r>
            <w:r>
              <w:rPr>
                <w:color w:val="auto"/>
                <w:kern w:val="0"/>
                <w:sz w:val="24"/>
              </w:rPr>
              <w:t>。</w:t>
            </w:r>
          </w:p>
          <w:p w14:paraId="3E97ECDA">
            <w:pPr>
              <w:tabs>
                <w:tab w:val="left" w:pos="720"/>
              </w:tabs>
              <w:adjustRightInd w:val="0"/>
              <w:snapToGrid w:val="0"/>
              <w:spacing w:line="360" w:lineRule="auto"/>
              <w:ind w:firstLine="482" w:firstLineChars="200"/>
              <w:rPr>
                <w:b/>
                <w:color w:val="auto"/>
                <w:sz w:val="24"/>
              </w:rPr>
            </w:pPr>
            <w:r>
              <w:rPr>
                <w:b/>
                <w:color w:val="auto"/>
                <w:sz w:val="24"/>
              </w:rPr>
              <w:t>二、选址、规划相符性分析</w:t>
            </w:r>
          </w:p>
          <w:p w14:paraId="240F6F8B">
            <w:pPr>
              <w:tabs>
                <w:tab w:val="left" w:pos="720"/>
              </w:tabs>
              <w:adjustRightInd w:val="0"/>
              <w:snapToGrid w:val="0"/>
              <w:spacing w:line="360" w:lineRule="auto"/>
              <w:ind w:firstLine="480" w:firstLineChars="200"/>
              <w:rPr>
                <w:color w:val="auto"/>
                <w:kern w:val="0"/>
                <w:sz w:val="24"/>
              </w:rPr>
            </w:pPr>
            <w:r>
              <w:rPr>
                <w:color w:val="auto"/>
                <w:kern w:val="0"/>
                <w:sz w:val="24"/>
              </w:rPr>
              <w:t>本项目位于</w:t>
            </w:r>
            <w:r>
              <w:rPr>
                <w:color w:val="auto"/>
                <w:kern w:val="0"/>
                <w:sz w:val="24"/>
                <w:lang w:val="en-US" w:eastAsia="zh-CN"/>
              </w:rPr>
              <w:t>江苏省淮安市</w:t>
            </w:r>
            <w:r>
              <w:rPr>
                <w:rFonts w:hint="eastAsia"/>
                <w:color w:val="auto"/>
                <w:kern w:val="0"/>
                <w:sz w:val="24"/>
                <w:lang w:val="en-US" w:eastAsia="zh-CN"/>
              </w:rPr>
              <w:t>江苏涟水经济开发区涟水路3号</w:t>
            </w:r>
            <w:r>
              <w:rPr>
                <w:color w:val="auto"/>
                <w:kern w:val="0"/>
                <w:sz w:val="24"/>
              </w:rPr>
              <w:t>，对照国家《限制用地项目目录（2012年本）》和《禁止用地项目目录（2012年本）》及《江苏省限制用地项目目录（2013年本）》和《江苏省禁止用地项目目录（2013年本）</w:t>
            </w:r>
            <w:r>
              <w:rPr>
                <w:rFonts w:hint="eastAsia"/>
                <w:color w:val="auto"/>
                <w:kern w:val="0"/>
                <w:sz w:val="24"/>
                <w:lang w:eastAsia="zh-CN"/>
              </w:rPr>
              <w:t>》等</w:t>
            </w:r>
            <w:r>
              <w:rPr>
                <w:color w:val="auto"/>
                <w:kern w:val="0"/>
                <w:sz w:val="24"/>
              </w:rPr>
              <w:t>相关名录，本项目不属于其规定的限制用地和禁止用地项目范畴，因此，该项目建设选址合理。</w:t>
            </w:r>
          </w:p>
          <w:p w14:paraId="05335753">
            <w:pPr>
              <w:tabs>
                <w:tab w:val="left" w:pos="720"/>
              </w:tabs>
              <w:adjustRightInd w:val="0"/>
              <w:snapToGrid w:val="0"/>
              <w:spacing w:line="360" w:lineRule="auto"/>
              <w:ind w:firstLine="480" w:firstLineChars="200"/>
              <w:rPr>
                <w:color w:val="auto"/>
                <w:kern w:val="0"/>
                <w:sz w:val="24"/>
              </w:rPr>
            </w:pPr>
            <w:r>
              <w:rPr>
                <w:color w:val="auto"/>
                <w:kern w:val="0"/>
                <w:sz w:val="24"/>
              </w:rPr>
              <w:t>综上，本项目符合相关规划要求。</w:t>
            </w:r>
          </w:p>
          <w:p w14:paraId="5851D0B7">
            <w:pPr>
              <w:adjustRightInd w:val="0"/>
              <w:snapToGrid w:val="0"/>
              <w:spacing w:line="360" w:lineRule="auto"/>
              <w:ind w:firstLine="482" w:firstLineChars="200"/>
              <w:rPr>
                <w:rFonts w:ascii="Times New Roman" w:cs="Times New Roman" w:hAnsiTheme="minorEastAsia" w:eastAsiaTheme="minorEastAsia"/>
                <w:b/>
                <w:color w:val="auto"/>
                <w:sz w:val="24"/>
              </w:rPr>
            </w:pPr>
            <w:r>
              <w:rPr>
                <w:rFonts w:ascii="Times New Roman" w:cs="Times New Roman" w:hAnsiTheme="minorEastAsia" w:eastAsiaTheme="minorEastAsia"/>
                <w:b/>
                <w:color w:val="auto"/>
                <w:sz w:val="24"/>
              </w:rPr>
              <w:t>三、“三线一单”相符性分析</w:t>
            </w:r>
          </w:p>
          <w:p w14:paraId="1F86A189">
            <w:pPr>
              <w:adjustRightInd w:val="0"/>
              <w:snapToGrid w:val="0"/>
              <w:spacing w:line="360" w:lineRule="auto"/>
              <w:ind w:firstLine="482" w:firstLineChars="200"/>
              <w:rPr>
                <w:rFonts w:hAnsiTheme="minorEastAsia" w:eastAsiaTheme="minorEastAsia"/>
                <w:b/>
                <w:color w:val="auto"/>
                <w:sz w:val="24"/>
              </w:rPr>
            </w:pPr>
            <w:r>
              <w:rPr>
                <w:rFonts w:hAnsiTheme="minorEastAsia" w:eastAsiaTheme="minorEastAsia"/>
                <w:b/>
                <w:color w:val="auto"/>
                <w:sz w:val="24"/>
              </w:rPr>
              <w:t>（1）与生态红线相符性</w:t>
            </w:r>
          </w:p>
          <w:p w14:paraId="53F50FD0">
            <w:pPr>
              <w:adjustRightInd w:val="0"/>
              <w:snapToGrid w:val="0"/>
              <w:spacing w:line="360" w:lineRule="auto"/>
              <w:ind w:firstLine="480" w:firstLineChars="200"/>
              <w:rPr>
                <w:rFonts w:hint="eastAsia"/>
                <w:color w:val="auto"/>
                <w:sz w:val="24"/>
              </w:rPr>
            </w:pPr>
            <w:r>
              <w:rPr>
                <w:color w:val="auto"/>
                <w:sz w:val="24"/>
              </w:rPr>
              <w:t>①</w:t>
            </w:r>
            <w:r>
              <w:rPr>
                <w:rFonts w:hint="eastAsia"/>
                <w:color w:val="auto"/>
                <w:sz w:val="24"/>
              </w:rPr>
              <w:t>与生态红线相符性分析</w:t>
            </w:r>
          </w:p>
          <w:p w14:paraId="6BEC3ABD">
            <w:pPr>
              <w:adjustRightInd w:val="0"/>
              <w:snapToGrid w:val="0"/>
              <w:spacing w:line="360" w:lineRule="auto"/>
              <w:ind w:firstLine="480" w:firstLineChars="200"/>
              <w:rPr>
                <w:color w:val="auto"/>
                <w:sz w:val="24"/>
              </w:rPr>
            </w:pPr>
            <w:r>
              <w:rPr>
                <w:color w:val="auto"/>
                <w:sz w:val="24"/>
              </w:rPr>
              <w:t>本项目位于</w:t>
            </w:r>
            <w:r>
              <w:rPr>
                <w:rFonts w:hint="eastAsia"/>
                <w:color w:val="auto"/>
                <w:kern w:val="0"/>
                <w:sz w:val="24"/>
                <w:lang w:val="en-US" w:eastAsia="zh-CN"/>
              </w:rPr>
              <w:t>江苏涟水经济开发区涟水路3号</w:t>
            </w:r>
            <w:r>
              <w:rPr>
                <w:color w:val="auto"/>
                <w:sz w:val="24"/>
              </w:rPr>
              <w:t>，对照《省政府关于印发江苏省生态空间管控区域规划的通知》（苏政发〔2020〕1号）和《省政府关于印发江苏省国家级生态保护红线规划》（苏政发〔2018〕74号），本项目距</w:t>
            </w:r>
            <w:r>
              <w:rPr>
                <w:rFonts w:ascii="Times New Roman" w:hAnsi="Times New Roman" w:eastAsia="宋体" w:cs="Times New Roman"/>
                <w:color w:val="auto"/>
                <w:sz w:val="24"/>
              </w:rPr>
              <w:t>离</w:t>
            </w:r>
            <w:r>
              <w:rPr>
                <w:rFonts w:hint="eastAsia" w:ascii="Times New Roman" w:hAnsi="Times New Roman" w:eastAsia="宋体" w:cs="Times New Roman"/>
                <w:color w:val="auto"/>
                <w:sz w:val="24"/>
                <w:lang w:eastAsia="zh-CN"/>
              </w:rPr>
              <w:t>江苏淮安涟水古淮河省级湿地公园</w:t>
            </w:r>
            <w:r>
              <w:rPr>
                <w:rFonts w:ascii="Times New Roman" w:hAnsi="Times New Roman" w:eastAsia="宋体" w:cs="Times New Roman"/>
                <w:color w:val="auto"/>
                <w:sz w:val="24"/>
              </w:rPr>
              <w:t>约</w:t>
            </w:r>
            <w:r>
              <w:rPr>
                <w:rFonts w:hint="eastAsia" w:ascii="Times New Roman" w:hAnsi="Times New Roman" w:eastAsia="宋体" w:cs="Times New Roman"/>
                <w:color w:val="auto"/>
                <w:sz w:val="24"/>
                <w:lang w:val="en-US" w:eastAsia="zh-CN"/>
              </w:rPr>
              <w:t>4260</w:t>
            </w:r>
            <w:r>
              <w:rPr>
                <w:rFonts w:ascii="Times New Roman" w:hAnsi="Times New Roman" w:eastAsia="宋体" w:cs="Times New Roman"/>
                <w:color w:val="auto"/>
                <w:sz w:val="24"/>
              </w:rPr>
              <w:t>m，距离</w:t>
            </w:r>
            <w:r>
              <w:rPr>
                <w:rFonts w:hint="eastAsia" w:ascii="Times New Roman" w:hAnsi="Times New Roman" w:eastAsia="宋体" w:cs="Times New Roman"/>
                <w:color w:val="auto"/>
                <w:sz w:val="24"/>
              </w:rPr>
              <w:t>涟水县古淮河保滩饮用水水源</w:t>
            </w:r>
            <w:r>
              <w:rPr>
                <w:rFonts w:hint="eastAsia"/>
                <w:color w:val="auto"/>
                <w:sz w:val="24"/>
              </w:rPr>
              <w:t>保护区</w:t>
            </w:r>
            <w:r>
              <w:rPr>
                <w:rFonts w:hint="eastAsia"/>
                <w:color w:val="auto"/>
                <w:sz w:val="24"/>
                <w:lang w:val="en-US" w:eastAsia="zh-CN"/>
              </w:rPr>
              <w:t>10310</w:t>
            </w:r>
            <w:r>
              <w:rPr>
                <w:color w:val="auto"/>
                <w:sz w:val="24"/>
              </w:rPr>
              <w:t>m，不在生态空间管控区域内，详见表1-2。因此与《省政府关于印发江苏省生态空间管控区域规划的通知》（苏政发〔2020〕1号）和《省政府关于印发江苏省国家级生态保护红线规划》（苏政发〔2018〕74号）相符。详见表1-</w:t>
            </w:r>
            <w:r>
              <w:rPr>
                <w:rFonts w:hint="eastAsia"/>
                <w:color w:val="auto"/>
                <w:sz w:val="24"/>
                <w:lang w:val="en-US" w:eastAsia="zh-CN"/>
              </w:rPr>
              <w:t>3</w:t>
            </w:r>
            <w:r>
              <w:rPr>
                <w:color w:val="auto"/>
                <w:sz w:val="24"/>
              </w:rPr>
              <w:t>。</w:t>
            </w:r>
          </w:p>
          <w:p w14:paraId="0399E7E7">
            <w:pPr>
              <w:keepNext/>
              <w:adjustRightInd w:val="0"/>
              <w:snapToGrid w:val="0"/>
              <w:jc w:val="center"/>
              <w:rPr>
                <w:b/>
                <w:color w:val="auto"/>
                <w:sz w:val="24"/>
              </w:rPr>
            </w:pPr>
          </w:p>
          <w:p w14:paraId="72DA246A">
            <w:pPr>
              <w:keepNext/>
              <w:adjustRightInd w:val="0"/>
              <w:snapToGrid w:val="0"/>
              <w:jc w:val="center"/>
              <w:rPr>
                <w:b/>
                <w:color w:val="auto"/>
                <w:sz w:val="24"/>
              </w:rPr>
            </w:pPr>
          </w:p>
          <w:p w14:paraId="4D0F6CEF">
            <w:pPr>
              <w:keepNext/>
              <w:adjustRightInd w:val="0"/>
              <w:snapToGrid w:val="0"/>
              <w:jc w:val="center"/>
              <w:rPr>
                <w:b/>
                <w:color w:val="auto"/>
                <w:sz w:val="24"/>
              </w:rPr>
            </w:pPr>
          </w:p>
          <w:p w14:paraId="1F36E626">
            <w:pPr>
              <w:keepNext/>
              <w:adjustRightInd w:val="0"/>
              <w:snapToGrid w:val="0"/>
              <w:jc w:val="center"/>
              <w:rPr>
                <w:b/>
                <w:color w:val="auto"/>
                <w:sz w:val="24"/>
              </w:rPr>
            </w:pPr>
          </w:p>
          <w:p w14:paraId="420A7666">
            <w:pPr>
              <w:keepNext/>
              <w:adjustRightInd w:val="0"/>
              <w:snapToGrid w:val="0"/>
              <w:jc w:val="center"/>
              <w:rPr>
                <w:b/>
                <w:color w:val="auto"/>
                <w:sz w:val="24"/>
              </w:rPr>
            </w:pPr>
          </w:p>
          <w:p w14:paraId="77B20331">
            <w:pPr>
              <w:keepNext/>
              <w:adjustRightInd w:val="0"/>
              <w:snapToGrid w:val="0"/>
              <w:jc w:val="center"/>
              <w:rPr>
                <w:b/>
                <w:color w:val="auto"/>
                <w:sz w:val="24"/>
              </w:rPr>
            </w:pPr>
          </w:p>
          <w:p w14:paraId="763AEAAD">
            <w:pPr>
              <w:keepNext/>
              <w:adjustRightInd w:val="0"/>
              <w:snapToGrid w:val="0"/>
              <w:jc w:val="center"/>
              <w:rPr>
                <w:b/>
                <w:color w:val="auto"/>
                <w:sz w:val="24"/>
              </w:rPr>
            </w:pPr>
            <w:r>
              <w:rPr>
                <w:b/>
                <w:color w:val="auto"/>
                <w:sz w:val="24"/>
              </w:rPr>
              <w:t>表1-</w:t>
            </w:r>
            <w:r>
              <w:rPr>
                <w:rFonts w:hint="eastAsia"/>
                <w:b/>
                <w:color w:val="auto"/>
                <w:sz w:val="24"/>
                <w:lang w:val="en-US" w:eastAsia="zh-CN"/>
              </w:rPr>
              <w:t>3</w:t>
            </w:r>
            <w:r>
              <w:rPr>
                <w:b/>
                <w:color w:val="auto"/>
                <w:sz w:val="24"/>
              </w:rPr>
              <w:t xml:space="preserve">  项目地附近红线生态区域情况表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79"/>
              <w:gridCol w:w="791"/>
              <w:gridCol w:w="1668"/>
              <w:gridCol w:w="2262"/>
              <w:gridCol w:w="941"/>
              <w:gridCol w:w="861"/>
              <w:gridCol w:w="736"/>
            </w:tblGrid>
            <w:tr w14:paraId="352CE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7" w:type="pct"/>
                  <w:vMerge w:val="restart"/>
                  <w:vAlign w:val="center"/>
                </w:tcPr>
                <w:p w14:paraId="6D3EF52A">
                  <w:pPr>
                    <w:adjustRightInd w:val="0"/>
                    <w:snapToGrid w:val="0"/>
                    <w:spacing w:line="280" w:lineRule="exact"/>
                    <w:jc w:val="center"/>
                    <w:rPr>
                      <w:b/>
                      <w:bCs/>
                      <w:color w:val="auto"/>
                      <w:szCs w:val="21"/>
                    </w:rPr>
                  </w:pPr>
                  <w:r>
                    <w:rPr>
                      <w:b/>
                      <w:bCs/>
                      <w:color w:val="auto"/>
                      <w:szCs w:val="21"/>
                    </w:rPr>
                    <w:t>红线区域</w:t>
                  </w:r>
                </w:p>
                <w:p w14:paraId="056398C4">
                  <w:pPr>
                    <w:adjustRightInd w:val="0"/>
                    <w:snapToGrid w:val="0"/>
                    <w:spacing w:line="280" w:lineRule="exact"/>
                    <w:jc w:val="center"/>
                    <w:rPr>
                      <w:b/>
                      <w:bCs/>
                      <w:color w:val="auto"/>
                      <w:szCs w:val="21"/>
                    </w:rPr>
                  </w:pPr>
                  <w:r>
                    <w:rPr>
                      <w:b/>
                      <w:bCs/>
                      <w:color w:val="auto"/>
                      <w:szCs w:val="21"/>
                    </w:rPr>
                    <w:t>名称</w:t>
                  </w:r>
                </w:p>
              </w:tc>
              <w:tc>
                <w:tcPr>
                  <w:tcW w:w="474" w:type="pct"/>
                  <w:vMerge w:val="restart"/>
                  <w:vAlign w:val="center"/>
                </w:tcPr>
                <w:p w14:paraId="122B58D2">
                  <w:pPr>
                    <w:adjustRightInd w:val="0"/>
                    <w:snapToGrid w:val="0"/>
                    <w:spacing w:line="280" w:lineRule="exact"/>
                    <w:jc w:val="center"/>
                    <w:rPr>
                      <w:b/>
                      <w:bCs/>
                      <w:color w:val="auto"/>
                      <w:szCs w:val="21"/>
                    </w:rPr>
                  </w:pPr>
                  <w:r>
                    <w:rPr>
                      <w:b/>
                      <w:bCs/>
                      <w:color w:val="auto"/>
                      <w:szCs w:val="21"/>
                    </w:rPr>
                    <w:t>主导生态</w:t>
                  </w:r>
                </w:p>
                <w:p w14:paraId="6CCEED5B">
                  <w:pPr>
                    <w:adjustRightInd w:val="0"/>
                    <w:snapToGrid w:val="0"/>
                    <w:spacing w:line="280" w:lineRule="exact"/>
                    <w:jc w:val="center"/>
                    <w:rPr>
                      <w:b/>
                      <w:bCs/>
                      <w:color w:val="auto"/>
                      <w:szCs w:val="21"/>
                    </w:rPr>
                  </w:pPr>
                  <w:r>
                    <w:rPr>
                      <w:b/>
                      <w:bCs/>
                      <w:color w:val="auto"/>
                      <w:szCs w:val="21"/>
                    </w:rPr>
                    <w:t>功能</w:t>
                  </w:r>
                </w:p>
              </w:tc>
              <w:tc>
                <w:tcPr>
                  <w:tcW w:w="2356" w:type="pct"/>
                  <w:gridSpan w:val="2"/>
                  <w:vAlign w:val="center"/>
                </w:tcPr>
                <w:p w14:paraId="1E05F8FB">
                  <w:pPr>
                    <w:adjustRightInd w:val="0"/>
                    <w:snapToGrid w:val="0"/>
                    <w:spacing w:line="280" w:lineRule="exact"/>
                    <w:jc w:val="center"/>
                    <w:rPr>
                      <w:b/>
                      <w:bCs/>
                      <w:color w:val="auto"/>
                      <w:szCs w:val="21"/>
                    </w:rPr>
                  </w:pPr>
                  <w:r>
                    <w:rPr>
                      <w:b/>
                      <w:bCs/>
                      <w:color w:val="auto"/>
                      <w:szCs w:val="21"/>
                    </w:rPr>
                    <w:t>红线区域范围</w:t>
                  </w:r>
                </w:p>
              </w:tc>
              <w:tc>
                <w:tcPr>
                  <w:tcW w:w="1521" w:type="pct"/>
                  <w:gridSpan w:val="3"/>
                  <w:vAlign w:val="center"/>
                </w:tcPr>
                <w:p w14:paraId="5E8D777B">
                  <w:pPr>
                    <w:adjustRightInd w:val="0"/>
                    <w:snapToGrid w:val="0"/>
                    <w:spacing w:line="280" w:lineRule="exact"/>
                    <w:jc w:val="center"/>
                    <w:rPr>
                      <w:b/>
                      <w:bCs/>
                      <w:color w:val="auto"/>
                      <w:szCs w:val="21"/>
                    </w:rPr>
                  </w:pPr>
                  <w:r>
                    <w:rPr>
                      <w:b/>
                      <w:bCs/>
                      <w:color w:val="auto"/>
                      <w:szCs w:val="21"/>
                    </w:rPr>
                    <w:t>面积（平方公里）</w:t>
                  </w:r>
                </w:p>
              </w:tc>
            </w:tr>
            <w:tr w14:paraId="1A4D2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7" w:type="pct"/>
                  <w:vMerge w:val="continue"/>
                  <w:vAlign w:val="center"/>
                </w:tcPr>
                <w:p w14:paraId="68B2419F">
                  <w:pPr>
                    <w:adjustRightInd w:val="0"/>
                    <w:snapToGrid w:val="0"/>
                    <w:spacing w:line="280" w:lineRule="exact"/>
                    <w:jc w:val="center"/>
                    <w:rPr>
                      <w:b/>
                      <w:bCs/>
                      <w:color w:val="auto"/>
                      <w:szCs w:val="21"/>
                    </w:rPr>
                  </w:pPr>
                </w:p>
              </w:tc>
              <w:tc>
                <w:tcPr>
                  <w:tcW w:w="474" w:type="pct"/>
                  <w:vMerge w:val="continue"/>
                  <w:vAlign w:val="center"/>
                </w:tcPr>
                <w:p w14:paraId="1174B56E">
                  <w:pPr>
                    <w:adjustRightInd w:val="0"/>
                    <w:snapToGrid w:val="0"/>
                    <w:spacing w:line="280" w:lineRule="exact"/>
                    <w:jc w:val="center"/>
                    <w:rPr>
                      <w:b/>
                      <w:bCs/>
                      <w:color w:val="auto"/>
                      <w:szCs w:val="21"/>
                    </w:rPr>
                  </w:pPr>
                </w:p>
              </w:tc>
              <w:tc>
                <w:tcPr>
                  <w:tcW w:w="1000" w:type="pct"/>
                  <w:vAlign w:val="center"/>
                </w:tcPr>
                <w:p w14:paraId="1838D849">
                  <w:pPr>
                    <w:adjustRightInd w:val="0"/>
                    <w:snapToGrid w:val="0"/>
                    <w:spacing w:line="280" w:lineRule="exact"/>
                    <w:jc w:val="center"/>
                    <w:rPr>
                      <w:b/>
                      <w:bCs/>
                      <w:color w:val="auto"/>
                      <w:szCs w:val="21"/>
                    </w:rPr>
                  </w:pPr>
                  <w:r>
                    <w:rPr>
                      <w:b/>
                      <w:bCs/>
                      <w:color w:val="auto"/>
                      <w:szCs w:val="21"/>
                    </w:rPr>
                    <w:t>国家生态保护红线范围</w:t>
                  </w:r>
                </w:p>
              </w:tc>
              <w:tc>
                <w:tcPr>
                  <w:tcW w:w="1356" w:type="pct"/>
                  <w:vAlign w:val="center"/>
                </w:tcPr>
                <w:p w14:paraId="342E7F6E">
                  <w:pPr>
                    <w:adjustRightInd w:val="0"/>
                    <w:snapToGrid w:val="0"/>
                    <w:spacing w:line="280" w:lineRule="exact"/>
                    <w:jc w:val="center"/>
                    <w:rPr>
                      <w:b/>
                      <w:bCs/>
                      <w:color w:val="auto"/>
                      <w:szCs w:val="21"/>
                    </w:rPr>
                  </w:pPr>
                  <w:r>
                    <w:rPr>
                      <w:b/>
                      <w:bCs/>
                      <w:color w:val="auto"/>
                      <w:szCs w:val="21"/>
                    </w:rPr>
                    <w:t>生态空间管控区域范围</w:t>
                  </w:r>
                </w:p>
              </w:tc>
              <w:tc>
                <w:tcPr>
                  <w:tcW w:w="564" w:type="pct"/>
                  <w:vAlign w:val="center"/>
                </w:tcPr>
                <w:p w14:paraId="7FF2C8D5">
                  <w:pPr>
                    <w:adjustRightInd w:val="0"/>
                    <w:snapToGrid w:val="0"/>
                    <w:spacing w:line="280" w:lineRule="exact"/>
                    <w:jc w:val="center"/>
                    <w:rPr>
                      <w:b/>
                      <w:bCs/>
                      <w:color w:val="auto"/>
                      <w:szCs w:val="21"/>
                    </w:rPr>
                  </w:pPr>
                  <w:r>
                    <w:rPr>
                      <w:b/>
                      <w:bCs/>
                      <w:color w:val="auto"/>
                      <w:szCs w:val="21"/>
                    </w:rPr>
                    <w:t>国家生态保护红线范围</w:t>
                  </w:r>
                </w:p>
              </w:tc>
              <w:tc>
                <w:tcPr>
                  <w:tcW w:w="516" w:type="pct"/>
                  <w:vAlign w:val="center"/>
                </w:tcPr>
                <w:p w14:paraId="38BBD548">
                  <w:pPr>
                    <w:adjustRightInd w:val="0"/>
                    <w:snapToGrid w:val="0"/>
                    <w:spacing w:line="280" w:lineRule="exact"/>
                    <w:jc w:val="center"/>
                    <w:rPr>
                      <w:b/>
                      <w:bCs/>
                      <w:color w:val="auto"/>
                      <w:szCs w:val="21"/>
                    </w:rPr>
                  </w:pPr>
                  <w:r>
                    <w:rPr>
                      <w:b/>
                      <w:bCs/>
                      <w:color w:val="auto"/>
                      <w:szCs w:val="21"/>
                    </w:rPr>
                    <w:t>生态空间管控区域范围</w:t>
                  </w:r>
                </w:p>
              </w:tc>
              <w:tc>
                <w:tcPr>
                  <w:tcW w:w="441" w:type="pct"/>
                  <w:vAlign w:val="center"/>
                </w:tcPr>
                <w:p w14:paraId="03817DBC">
                  <w:pPr>
                    <w:adjustRightInd w:val="0"/>
                    <w:snapToGrid w:val="0"/>
                    <w:spacing w:line="280" w:lineRule="exact"/>
                    <w:jc w:val="center"/>
                    <w:rPr>
                      <w:b/>
                      <w:bCs/>
                      <w:color w:val="auto"/>
                      <w:szCs w:val="21"/>
                    </w:rPr>
                  </w:pPr>
                  <w:r>
                    <w:rPr>
                      <w:b/>
                      <w:bCs/>
                      <w:color w:val="auto"/>
                      <w:szCs w:val="21"/>
                    </w:rPr>
                    <w:t>总面积</w:t>
                  </w:r>
                </w:p>
              </w:tc>
            </w:tr>
            <w:tr w14:paraId="2A728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7" w:type="pct"/>
                  <w:vAlign w:val="center"/>
                </w:tcPr>
                <w:p w14:paraId="28834088">
                  <w:pPr>
                    <w:adjustRightInd w:val="0"/>
                    <w:snapToGrid w:val="0"/>
                    <w:spacing w:line="280" w:lineRule="exact"/>
                    <w:jc w:val="center"/>
                    <w:rPr>
                      <w:rFonts w:hint="eastAsia" w:eastAsia="宋体"/>
                      <w:color w:val="auto"/>
                      <w:szCs w:val="21"/>
                      <w:lang w:eastAsia="zh-CN"/>
                    </w:rPr>
                  </w:pPr>
                  <w:r>
                    <w:rPr>
                      <w:rFonts w:hint="eastAsia"/>
                      <w:color w:val="auto"/>
                      <w:szCs w:val="21"/>
                      <w:lang w:eastAsia="zh-CN"/>
                    </w:rPr>
                    <w:t>江苏淮安涟水古淮河省级湿地公园</w:t>
                  </w:r>
                </w:p>
              </w:tc>
              <w:tc>
                <w:tcPr>
                  <w:tcW w:w="474" w:type="pct"/>
                  <w:vAlign w:val="center"/>
                </w:tcPr>
                <w:p w14:paraId="470C70B5">
                  <w:pPr>
                    <w:adjustRightInd w:val="0"/>
                    <w:snapToGrid w:val="0"/>
                    <w:spacing w:line="280" w:lineRule="exact"/>
                    <w:jc w:val="center"/>
                    <w:rPr>
                      <w:color w:val="auto"/>
                      <w:szCs w:val="21"/>
                    </w:rPr>
                  </w:pPr>
                  <w:r>
                    <w:rPr>
                      <w:color w:val="auto"/>
                      <w:szCs w:val="21"/>
                    </w:rPr>
                    <w:t>生物多样性保护</w:t>
                  </w:r>
                </w:p>
              </w:tc>
              <w:tc>
                <w:tcPr>
                  <w:tcW w:w="1000" w:type="pct"/>
                  <w:vAlign w:val="center"/>
                </w:tcPr>
                <w:p w14:paraId="1335266B">
                  <w:pPr>
                    <w:adjustRightInd w:val="0"/>
                    <w:snapToGrid w:val="0"/>
                    <w:spacing w:line="280" w:lineRule="exact"/>
                    <w:jc w:val="center"/>
                    <w:rPr>
                      <w:color w:val="auto"/>
                      <w:szCs w:val="21"/>
                    </w:rPr>
                  </w:pPr>
                  <w:r>
                    <w:rPr>
                      <w:color w:val="auto"/>
                      <w:szCs w:val="21"/>
                    </w:rPr>
                    <w:t>/</w:t>
                  </w:r>
                </w:p>
              </w:tc>
              <w:tc>
                <w:tcPr>
                  <w:tcW w:w="1356" w:type="pct"/>
                  <w:vAlign w:val="center"/>
                </w:tcPr>
                <w:p w14:paraId="726091F6">
                  <w:pPr>
                    <w:adjustRightInd w:val="0"/>
                    <w:snapToGrid w:val="0"/>
                    <w:spacing w:line="280" w:lineRule="exact"/>
                    <w:jc w:val="center"/>
                    <w:rPr>
                      <w:color w:val="auto"/>
                      <w:szCs w:val="21"/>
                    </w:rPr>
                  </w:pPr>
                  <w:r>
                    <w:rPr>
                      <w:color w:val="auto"/>
                      <w:szCs w:val="21"/>
                    </w:rPr>
                    <w:t>包括自然保护区核心区、缓冲区和实验区。自然保护区五岛公园以及相连水域为核心区和缓冲区。实验区范围包括涟水县涟城镇的五岛公园以及相连水域，城郊废黄河沿线的林区和水域、湿地生态系统。坐标为：118°59′E至119°35′E，33°45′N至34°65′N之间</w:t>
                  </w:r>
                </w:p>
              </w:tc>
              <w:tc>
                <w:tcPr>
                  <w:tcW w:w="564" w:type="pct"/>
                  <w:vAlign w:val="center"/>
                </w:tcPr>
                <w:p w14:paraId="556856D5">
                  <w:pPr>
                    <w:adjustRightInd w:val="0"/>
                    <w:snapToGrid w:val="0"/>
                    <w:spacing w:line="280" w:lineRule="exact"/>
                    <w:jc w:val="center"/>
                    <w:rPr>
                      <w:color w:val="auto"/>
                      <w:szCs w:val="21"/>
                    </w:rPr>
                  </w:pPr>
                  <w:r>
                    <w:rPr>
                      <w:color w:val="auto"/>
                      <w:szCs w:val="21"/>
                    </w:rPr>
                    <w:t>34.33</w:t>
                  </w:r>
                </w:p>
              </w:tc>
              <w:tc>
                <w:tcPr>
                  <w:tcW w:w="516" w:type="pct"/>
                  <w:vAlign w:val="center"/>
                </w:tcPr>
                <w:p w14:paraId="243D8E7A">
                  <w:pPr>
                    <w:adjustRightInd w:val="0"/>
                    <w:snapToGrid w:val="0"/>
                    <w:spacing w:line="280" w:lineRule="exact"/>
                    <w:jc w:val="center"/>
                    <w:rPr>
                      <w:color w:val="auto"/>
                      <w:szCs w:val="21"/>
                    </w:rPr>
                  </w:pPr>
                  <w:r>
                    <w:rPr>
                      <w:color w:val="auto"/>
                      <w:szCs w:val="21"/>
                    </w:rPr>
                    <w:t>/</w:t>
                  </w:r>
                </w:p>
              </w:tc>
              <w:tc>
                <w:tcPr>
                  <w:tcW w:w="441" w:type="pct"/>
                  <w:vAlign w:val="center"/>
                </w:tcPr>
                <w:p w14:paraId="3553549E">
                  <w:pPr>
                    <w:adjustRightInd w:val="0"/>
                    <w:snapToGrid w:val="0"/>
                    <w:spacing w:line="280" w:lineRule="exact"/>
                    <w:jc w:val="center"/>
                    <w:rPr>
                      <w:color w:val="auto"/>
                      <w:szCs w:val="21"/>
                    </w:rPr>
                  </w:pPr>
                  <w:r>
                    <w:rPr>
                      <w:color w:val="auto"/>
                      <w:szCs w:val="21"/>
                    </w:rPr>
                    <w:t>34.33</w:t>
                  </w:r>
                </w:p>
              </w:tc>
            </w:tr>
            <w:tr w14:paraId="15146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7" w:type="pct"/>
                  <w:vAlign w:val="center"/>
                </w:tcPr>
                <w:p w14:paraId="4C05A53F">
                  <w:pPr>
                    <w:adjustRightInd w:val="0"/>
                    <w:snapToGrid w:val="0"/>
                    <w:spacing w:line="280" w:lineRule="exact"/>
                    <w:jc w:val="center"/>
                    <w:rPr>
                      <w:color w:val="auto"/>
                      <w:szCs w:val="21"/>
                    </w:rPr>
                  </w:pPr>
                  <w:r>
                    <w:rPr>
                      <w:rFonts w:hint="eastAsia"/>
                      <w:color w:val="auto"/>
                      <w:szCs w:val="21"/>
                    </w:rPr>
                    <w:t>涟水县古淮河保滩饮用水水源保护区</w:t>
                  </w:r>
                </w:p>
              </w:tc>
              <w:tc>
                <w:tcPr>
                  <w:tcW w:w="474" w:type="pct"/>
                  <w:vAlign w:val="center"/>
                </w:tcPr>
                <w:p w14:paraId="1A5239CB">
                  <w:pPr>
                    <w:adjustRightInd w:val="0"/>
                    <w:snapToGrid w:val="0"/>
                    <w:spacing w:line="280" w:lineRule="exact"/>
                    <w:jc w:val="center"/>
                    <w:rPr>
                      <w:color w:val="auto"/>
                      <w:szCs w:val="21"/>
                    </w:rPr>
                  </w:pPr>
                  <w:r>
                    <w:rPr>
                      <w:color w:val="auto"/>
                      <w:szCs w:val="21"/>
                    </w:rPr>
                    <w:t>水源水质保护</w:t>
                  </w:r>
                </w:p>
              </w:tc>
              <w:tc>
                <w:tcPr>
                  <w:tcW w:w="1000" w:type="pct"/>
                  <w:vAlign w:val="center"/>
                </w:tcPr>
                <w:p w14:paraId="52D35CC7">
                  <w:pPr>
                    <w:adjustRightInd w:val="0"/>
                    <w:snapToGrid w:val="0"/>
                    <w:spacing w:line="280" w:lineRule="exact"/>
                    <w:jc w:val="center"/>
                    <w:rPr>
                      <w:color w:val="auto"/>
                      <w:szCs w:val="21"/>
                    </w:rPr>
                  </w:pPr>
                  <w:r>
                    <w:rPr>
                      <w:color w:val="auto"/>
                      <w:szCs w:val="21"/>
                    </w:rPr>
                    <w:t>/</w:t>
                  </w:r>
                </w:p>
              </w:tc>
              <w:tc>
                <w:tcPr>
                  <w:tcW w:w="1356" w:type="pct"/>
                  <w:vAlign w:val="center"/>
                </w:tcPr>
                <w:p w14:paraId="68170D40">
                  <w:pPr>
                    <w:adjustRightInd w:val="0"/>
                    <w:snapToGrid w:val="0"/>
                    <w:spacing w:line="280" w:lineRule="exact"/>
                    <w:jc w:val="center"/>
                    <w:rPr>
                      <w:color w:val="auto"/>
                      <w:szCs w:val="21"/>
                    </w:rPr>
                  </w:pPr>
                  <w:r>
                    <w:rPr>
                      <w:color w:val="auto"/>
                      <w:szCs w:val="21"/>
                    </w:rPr>
                    <w:t>一级保护区：上游1000米至下游500米，及其岸背水坡之间的水域范围和一级保护区水域与两岸背水坡堤脚之间的陆域范围。</w:t>
                  </w:r>
                </w:p>
                <w:p w14:paraId="274F5D30">
                  <w:pPr>
                    <w:adjustRightInd w:val="0"/>
                    <w:snapToGrid w:val="0"/>
                    <w:spacing w:line="280" w:lineRule="exact"/>
                    <w:jc w:val="center"/>
                    <w:rPr>
                      <w:color w:val="auto"/>
                      <w:szCs w:val="21"/>
                    </w:rPr>
                  </w:pPr>
                  <w:r>
                    <w:rPr>
                      <w:color w:val="auto"/>
                      <w:szCs w:val="21"/>
                    </w:rPr>
                    <w:t>二级保护区：一级保护区以外上溯1500米、下延至涟水闸的水域范围和二级保护区水域与两岸背水坡堤脚之间的陆域范围</w:t>
                  </w:r>
                </w:p>
              </w:tc>
              <w:tc>
                <w:tcPr>
                  <w:tcW w:w="564" w:type="pct"/>
                  <w:vAlign w:val="center"/>
                </w:tcPr>
                <w:p w14:paraId="08D7C2FC">
                  <w:pPr>
                    <w:adjustRightInd w:val="0"/>
                    <w:snapToGrid w:val="0"/>
                    <w:spacing w:line="280" w:lineRule="exact"/>
                    <w:jc w:val="center"/>
                    <w:rPr>
                      <w:color w:val="auto"/>
                      <w:szCs w:val="21"/>
                    </w:rPr>
                  </w:pPr>
                  <w:r>
                    <w:rPr>
                      <w:color w:val="auto"/>
                      <w:szCs w:val="21"/>
                    </w:rPr>
                    <w:t>1.81</w:t>
                  </w:r>
                </w:p>
              </w:tc>
              <w:tc>
                <w:tcPr>
                  <w:tcW w:w="516" w:type="pct"/>
                  <w:vAlign w:val="center"/>
                </w:tcPr>
                <w:p w14:paraId="5122255B">
                  <w:pPr>
                    <w:adjustRightInd w:val="0"/>
                    <w:snapToGrid w:val="0"/>
                    <w:spacing w:line="280" w:lineRule="exact"/>
                    <w:jc w:val="center"/>
                    <w:rPr>
                      <w:color w:val="auto"/>
                      <w:szCs w:val="21"/>
                    </w:rPr>
                  </w:pPr>
                  <w:r>
                    <w:rPr>
                      <w:color w:val="auto"/>
                      <w:szCs w:val="21"/>
                    </w:rPr>
                    <w:t>/</w:t>
                  </w:r>
                </w:p>
              </w:tc>
              <w:tc>
                <w:tcPr>
                  <w:tcW w:w="441" w:type="pct"/>
                  <w:vAlign w:val="center"/>
                </w:tcPr>
                <w:p w14:paraId="7B6E5D99">
                  <w:pPr>
                    <w:adjustRightInd w:val="0"/>
                    <w:snapToGrid w:val="0"/>
                    <w:spacing w:line="280" w:lineRule="exact"/>
                    <w:jc w:val="center"/>
                    <w:rPr>
                      <w:color w:val="auto"/>
                      <w:szCs w:val="21"/>
                    </w:rPr>
                  </w:pPr>
                  <w:r>
                    <w:rPr>
                      <w:color w:val="auto"/>
                      <w:szCs w:val="21"/>
                    </w:rPr>
                    <w:t>1.81</w:t>
                  </w:r>
                </w:p>
              </w:tc>
            </w:tr>
          </w:tbl>
          <w:p w14:paraId="72AE448F">
            <w:pPr>
              <w:adjustRightInd w:val="0"/>
              <w:snapToGrid w:val="0"/>
              <w:spacing w:before="120" w:beforeLines="50" w:line="360" w:lineRule="auto"/>
              <w:ind w:firstLine="480" w:firstLineChars="200"/>
              <w:rPr>
                <w:rFonts w:hint="default" w:eastAsia="宋体"/>
                <w:color w:val="auto"/>
                <w:sz w:val="24"/>
                <w:lang w:val="en-US" w:eastAsia="zh-CN"/>
              </w:rPr>
            </w:pPr>
            <w:r>
              <w:rPr>
                <w:color w:val="auto"/>
                <w:sz w:val="24"/>
              </w:rPr>
              <w:t>由表1-</w:t>
            </w:r>
            <w:r>
              <w:rPr>
                <w:rFonts w:hint="eastAsia"/>
                <w:color w:val="auto"/>
                <w:sz w:val="24"/>
                <w:lang w:val="en-US" w:eastAsia="zh-CN"/>
              </w:rPr>
              <w:t>3</w:t>
            </w:r>
            <w:r>
              <w:rPr>
                <w:color w:val="auto"/>
                <w:sz w:val="24"/>
              </w:rPr>
              <w:t>可知，本项目不在生态空间管控区域范围内，不会导致辖区内生态空间管控区域生态服务功能下降。因此，本项目的建设与《省政府关于印发江苏省国家级生态保护红线规划的通知》（苏政发</w:t>
            </w:r>
            <w:r>
              <w:rPr>
                <w:rFonts w:hint="eastAsia"/>
                <w:color w:val="auto"/>
                <w:sz w:val="24"/>
                <w:lang w:eastAsia="zh-CN"/>
              </w:rPr>
              <w:t>〔2018〕74号</w:t>
            </w:r>
            <w:r>
              <w:rPr>
                <w:color w:val="auto"/>
                <w:sz w:val="24"/>
              </w:rPr>
              <w:t>文）和《江苏省人民政府关于印发江苏省生态空间管控区域规划的通知》（苏政发〔2020〕1号）相符。本项目与江苏省生态空间管控区域位置关系见附图</w:t>
            </w:r>
            <w:r>
              <w:rPr>
                <w:rFonts w:hint="eastAsia"/>
                <w:color w:val="auto"/>
                <w:sz w:val="24"/>
                <w:lang w:val="en-US" w:eastAsia="zh-CN"/>
              </w:rPr>
              <w:t>3。</w:t>
            </w:r>
          </w:p>
          <w:p w14:paraId="4BA6C3C6">
            <w:pPr>
              <w:adjustRightInd w:val="0"/>
              <w:snapToGrid w:val="0"/>
              <w:spacing w:line="360" w:lineRule="auto"/>
              <w:ind w:firstLine="480" w:firstLineChars="200"/>
              <w:rPr>
                <w:rFonts w:hAnsiTheme="minorEastAsia" w:eastAsiaTheme="minorEastAsia"/>
                <w:bCs/>
                <w:color w:val="auto"/>
                <w:sz w:val="24"/>
              </w:rPr>
            </w:pPr>
            <w:r>
              <w:rPr>
                <w:rFonts w:hAnsiTheme="minorEastAsia" w:eastAsiaTheme="minorEastAsia"/>
                <w:bCs/>
                <w:color w:val="auto"/>
                <w:sz w:val="24"/>
              </w:rPr>
              <w:t>②与省、市</w:t>
            </w:r>
            <w:r>
              <w:rPr>
                <w:rFonts w:hint="eastAsia" w:hAnsiTheme="minorEastAsia" w:eastAsiaTheme="minorEastAsia"/>
                <w:bCs/>
                <w:color w:val="auto"/>
                <w:sz w:val="24"/>
              </w:rPr>
              <w:t>“</w:t>
            </w:r>
            <w:r>
              <w:rPr>
                <w:rFonts w:hAnsiTheme="minorEastAsia" w:eastAsiaTheme="minorEastAsia"/>
                <w:bCs/>
                <w:color w:val="auto"/>
                <w:sz w:val="24"/>
              </w:rPr>
              <w:t>三线一单</w:t>
            </w:r>
            <w:r>
              <w:rPr>
                <w:rFonts w:hint="eastAsia" w:hAnsiTheme="minorEastAsia" w:eastAsiaTheme="minorEastAsia"/>
                <w:bCs/>
                <w:color w:val="auto"/>
                <w:sz w:val="24"/>
              </w:rPr>
              <w:t>”</w:t>
            </w:r>
            <w:r>
              <w:rPr>
                <w:rFonts w:hAnsiTheme="minorEastAsia" w:eastAsiaTheme="minorEastAsia"/>
                <w:bCs/>
                <w:color w:val="auto"/>
                <w:sz w:val="24"/>
              </w:rPr>
              <w:t>生态环境分区管控方案相符性分析</w:t>
            </w:r>
          </w:p>
          <w:p w14:paraId="6F84D6DC">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rPr>
              <w:t>a.与江苏省《关于印发江苏省“三线一单”生态环境分区管控方案的通知》（苏政发〔2020〕49号）及《江苏省2023年度生态环境分区管控动态更新成果公告》相符性分析</w:t>
            </w:r>
          </w:p>
          <w:p w14:paraId="28E83BB9">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rPr>
              <w:t>本项目与江苏省《关于印发江苏省“三线一单”生态环境分区管控方案的通知》（苏政发〔2020〕49号）及《江苏省2023年度生态环境分区管控动态更新成果公告》相符性分析见表1-</w:t>
            </w:r>
            <w:r>
              <w:rPr>
                <w:rFonts w:hint="eastAsia" w:hAnsiTheme="minorEastAsia" w:eastAsiaTheme="minorEastAsia"/>
                <w:bCs/>
                <w:color w:val="auto"/>
                <w:sz w:val="24"/>
                <w:lang w:val="en-US" w:eastAsia="zh-CN"/>
              </w:rPr>
              <w:t>4</w:t>
            </w:r>
            <w:r>
              <w:rPr>
                <w:rFonts w:hint="eastAsia" w:hAnsiTheme="minorEastAsia" w:eastAsiaTheme="minorEastAsia"/>
                <w:bCs/>
                <w:color w:val="auto"/>
                <w:sz w:val="24"/>
              </w:rPr>
              <w:t>。本项目位于</w:t>
            </w:r>
            <w:r>
              <w:rPr>
                <w:rFonts w:hint="eastAsia"/>
                <w:color w:val="auto"/>
                <w:kern w:val="0"/>
                <w:sz w:val="24"/>
                <w:lang w:val="en-US" w:eastAsia="zh-CN"/>
              </w:rPr>
              <w:t>江苏涟水经济开发区涟水路3号</w:t>
            </w:r>
            <w:r>
              <w:rPr>
                <w:rFonts w:hint="eastAsia" w:hAnsiTheme="minorEastAsia" w:eastAsiaTheme="minorEastAsia"/>
                <w:bCs/>
                <w:color w:val="auto"/>
                <w:sz w:val="24"/>
              </w:rPr>
              <w:t>。</w:t>
            </w:r>
          </w:p>
          <w:p w14:paraId="69394C5D">
            <w:pPr>
              <w:keepNext/>
              <w:adjustRightInd w:val="0"/>
              <w:snapToGrid w:val="0"/>
              <w:jc w:val="center"/>
              <w:rPr>
                <w:b/>
                <w:color w:val="auto"/>
                <w:sz w:val="24"/>
              </w:rPr>
            </w:pPr>
            <w:r>
              <w:rPr>
                <w:b/>
                <w:color w:val="auto"/>
                <w:sz w:val="24"/>
              </w:rPr>
              <w:t>表1-</w:t>
            </w:r>
            <w:r>
              <w:rPr>
                <w:rFonts w:hint="eastAsia"/>
                <w:b/>
                <w:color w:val="auto"/>
                <w:sz w:val="24"/>
                <w:lang w:val="en-US" w:eastAsia="zh-CN"/>
              </w:rPr>
              <w:t>4</w:t>
            </w:r>
            <w:r>
              <w:rPr>
                <w:rFonts w:hint="eastAsia"/>
                <w:b/>
                <w:color w:val="auto"/>
                <w:sz w:val="24"/>
              </w:rPr>
              <w:t xml:space="preserve"> </w:t>
            </w:r>
            <w:r>
              <w:rPr>
                <w:b/>
                <w:color w:val="auto"/>
                <w:sz w:val="24"/>
              </w:rPr>
              <w:t xml:space="preserve"> </w:t>
            </w:r>
            <w:r>
              <w:rPr>
                <w:rFonts w:hint="eastAsia"/>
                <w:b/>
                <w:color w:val="auto"/>
                <w:sz w:val="24"/>
                <w:lang w:eastAsia="zh-CN"/>
              </w:rPr>
              <w:t>扩建</w:t>
            </w:r>
            <w:r>
              <w:rPr>
                <w:b/>
                <w:color w:val="auto"/>
                <w:sz w:val="24"/>
              </w:rPr>
              <w:t>项目与《江苏省“三线一单”生态环境分区管控方案》</w:t>
            </w:r>
          </w:p>
          <w:p w14:paraId="08E622CE">
            <w:pPr>
              <w:keepNext/>
              <w:adjustRightInd w:val="0"/>
              <w:snapToGrid w:val="0"/>
              <w:jc w:val="center"/>
              <w:rPr>
                <w:b/>
                <w:color w:val="auto"/>
                <w:sz w:val="24"/>
              </w:rPr>
            </w:pPr>
            <w:r>
              <w:rPr>
                <w:b/>
                <w:color w:val="auto"/>
                <w:sz w:val="24"/>
              </w:rPr>
              <w:t>相符性分析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4470"/>
              <w:gridCol w:w="2071"/>
              <w:gridCol w:w="543"/>
            </w:tblGrid>
            <w:tr w14:paraId="6736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44" w:type="dxa"/>
                  <w:tcBorders>
                    <w:top w:val="single" w:color="auto" w:sz="12" w:space="0"/>
                    <w:left w:val="nil"/>
                  </w:tcBorders>
                  <w:vAlign w:val="center"/>
                </w:tcPr>
                <w:p w14:paraId="6C37F64C">
                  <w:pPr>
                    <w:jc w:val="center"/>
                    <w:rPr>
                      <w:b/>
                      <w:color w:val="auto"/>
                      <w:szCs w:val="21"/>
                    </w:rPr>
                  </w:pPr>
                  <w:r>
                    <w:rPr>
                      <w:b/>
                      <w:color w:val="auto"/>
                      <w:szCs w:val="21"/>
                    </w:rPr>
                    <w:t>管控类别</w:t>
                  </w:r>
                </w:p>
              </w:tc>
              <w:tc>
                <w:tcPr>
                  <w:tcW w:w="4470" w:type="dxa"/>
                  <w:tcBorders>
                    <w:top w:val="single" w:color="auto" w:sz="12" w:space="0"/>
                  </w:tcBorders>
                  <w:vAlign w:val="center"/>
                </w:tcPr>
                <w:p w14:paraId="2AE5A7CA">
                  <w:pPr>
                    <w:jc w:val="center"/>
                    <w:rPr>
                      <w:b/>
                      <w:color w:val="auto"/>
                      <w:szCs w:val="21"/>
                    </w:rPr>
                  </w:pPr>
                  <w:r>
                    <w:rPr>
                      <w:b/>
                      <w:color w:val="auto"/>
                      <w:szCs w:val="21"/>
                    </w:rPr>
                    <w:t>重点管控要求</w:t>
                  </w:r>
                </w:p>
              </w:tc>
              <w:tc>
                <w:tcPr>
                  <w:tcW w:w="2071" w:type="dxa"/>
                  <w:vMerge w:val="restart"/>
                  <w:tcBorders>
                    <w:top w:val="single" w:color="auto" w:sz="12" w:space="0"/>
                  </w:tcBorders>
                  <w:vAlign w:val="center"/>
                </w:tcPr>
                <w:p w14:paraId="420E5631">
                  <w:pPr>
                    <w:jc w:val="center"/>
                    <w:rPr>
                      <w:b/>
                      <w:color w:val="auto"/>
                      <w:szCs w:val="21"/>
                    </w:rPr>
                  </w:pPr>
                  <w:r>
                    <w:rPr>
                      <w:rFonts w:hint="eastAsia"/>
                      <w:b/>
                      <w:color w:val="auto"/>
                      <w:szCs w:val="21"/>
                      <w:lang w:eastAsia="zh-CN"/>
                    </w:rPr>
                    <w:t>扩建</w:t>
                  </w:r>
                  <w:r>
                    <w:rPr>
                      <w:b/>
                      <w:color w:val="auto"/>
                      <w:szCs w:val="21"/>
                    </w:rPr>
                    <w:t>项目建设情况</w:t>
                  </w:r>
                </w:p>
              </w:tc>
              <w:tc>
                <w:tcPr>
                  <w:tcW w:w="0" w:type="auto"/>
                  <w:vMerge w:val="restart"/>
                  <w:tcBorders>
                    <w:top w:val="single" w:color="auto" w:sz="12" w:space="0"/>
                    <w:right w:val="nil"/>
                  </w:tcBorders>
                  <w:vAlign w:val="center"/>
                </w:tcPr>
                <w:p w14:paraId="243AE096">
                  <w:pPr>
                    <w:jc w:val="center"/>
                    <w:rPr>
                      <w:b/>
                      <w:color w:val="auto"/>
                      <w:szCs w:val="21"/>
                    </w:rPr>
                  </w:pPr>
                  <w:r>
                    <w:rPr>
                      <w:b/>
                      <w:color w:val="auto"/>
                      <w:szCs w:val="21"/>
                    </w:rPr>
                    <w:t>相符性分析</w:t>
                  </w:r>
                </w:p>
              </w:tc>
            </w:tr>
            <w:tr w14:paraId="50F1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4" w:type="dxa"/>
                  <w:gridSpan w:val="2"/>
                  <w:tcBorders>
                    <w:left w:val="nil"/>
                  </w:tcBorders>
                  <w:vAlign w:val="center"/>
                </w:tcPr>
                <w:p w14:paraId="5C620E8F">
                  <w:pPr>
                    <w:jc w:val="center"/>
                    <w:rPr>
                      <w:b/>
                      <w:color w:val="auto"/>
                      <w:szCs w:val="21"/>
                    </w:rPr>
                  </w:pPr>
                  <w:r>
                    <w:rPr>
                      <w:b/>
                      <w:color w:val="auto"/>
                      <w:szCs w:val="21"/>
                    </w:rPr>
                    <w:t>三、淮河流域</w:t>
                  </w:r>
                </w:p>
              </w:tc>
              <w:tc>
                <w:tcPr>
                  <w:tcW w:w="2071" w:type="dxa"/>
                  <w:vMerge w:val="continue"/>
                  <w:vAlign w:val="center"/>
                </w:tcPr>
                <w:p w14:paraId="6D25575D">
                  <w:pPr>
                    <w:jc w:val="center"/>
                    <w:rPr>
                      <w:b/>
                      <w:color w:val="auto"/>
                      <w:szCs w:val="21"/>
                    </w:rPr>
                  </w:pPr>
                </w:p>
              </w:tc>
              <w:tc>
                <w:tcPr>
                  <w:tcW w:w="0" w:type="auto"/>
                  <w:vMerge w:val="continue"/>
                  <w:tcBorders>
                    <w:right w:val="nil"/>
                  </w:tcBorders>
                  <w:vAlign w:val="center"/>
                </w:tcPr>
                <w:p w14:paraId="77A13C73">
                  <w:pPr>
                    <w:jc w:val="center"/>
                    <w:rPr>
                      <w:b/>
                      <w:color w:val="auto"/>
                      <w:szCs w:val="21"/>
                    </w:rPr>
                  </w:pPr>
                </w:p>
              </w:tc>
            </w:tr>
            <w:tr w14:paraId="5195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722F1420">
                  <w:pPr>
                    <w:jc w:val="center"/>
                    <w:rPr>
                      <w:color w:val="auto"/>
                      <w:sz w:val="22"/>
                      <w:szCs w:val="22"/>
                    </w:rPr>
                  </w:pPr>
                  <w:r>
                    <w:rPr>
                      <w:color w:val="auto"/>
                      <w:sz w:val="22"/>
                      <w:szCs w:val="22"/>
                    </w:rPr>
                    <w:t>空间布局约束</w:t>
                  </w:r>
                </w:p>
              </w:tc>
              <w:tc>
                <w:tcPr>
                  <w:tcW w:w="4470" w:type="dxa"/>
                  <w:vAlign w:val="center"/>
                </w:tcPr>
                <w:p w14:paraId="1E0AE7E0">
                  <w:pPr>
                    <w:jc w:val="center"/>
                    <w:rPr>
                      <w:color w:val="auto"/>
                      <w:sz w:val="22"/>
                      <w:szCs w:val="22"/>
                    </w:rPr>
                  </w:pPr>
                  <w:r>
                    <w:rPr>
                      <w:rFonts w:hint="eastAsia"/>
                      <w:color w:val="auto"/>
                      <w:sz w:val="22"/>
                      <w:szCs w:val="22"/>
                      <w:lang w:eastAsia="zh-CN"/>
                    </w:rPr>
                    <w:t>1.</w:t>
                  </w:r>
                  <w:r>
                    <w:rPr>
                      <w:color w:val="auto"/>
                      <w:sz w:val="22"/>
                      <w:szCs w:val="22"/>
                    </w:rPr>
                    <w:t>禁止在淮河流域新建化学制浆造纸企业，禁止在淮河流域新建制革、化工、印染、电镀、酿造等污染严重的小型企业。2．落实《江苏省通榆河水污染防治条例》，在通榆河一级保护区、二级保护区，禁止新建、改建、扩建制浆、造纸、化工、制革、酿造、染料、印染、电镀、炼油、铅酸蓄电池和排放水污染物的黑色金属冶炼及</w:t>
                  </w:r>
                  <w:r>
                    <w:rPr>
                      <w:rFonts w:hint="eastAsia"/>
                      <w:color w:val="auto"/>
                      <w:sz w:val="22"/>
                      <w:szCs w:val="22"/>
                      <w:lang w:eastAsia="zh-CN"/>
                    </w:rPr>
                    <w:t>压延</w:t>
                  </w:r>
                  <w:r>
                    <w:rPr>
                      <w:color w:val="auto"/>
                      <w:sz w:val="22"/>
                      <w:szCs w:val="22"/>
                    </w:rPr>
                    <w:t>加工项目、有色金属冶炼及压延加工项目、金属制品项目等污染环境的项目。3、在通榆河一级保护区，禁止新建、扩建直接或者间接向水体排放污染物的项目，禁止建设工业固体废物集中贮存、利用、处置设施或者场所以及城市生活垃圾填埋场，禁止新建规模化畜禽养殖场。</w:t>
                  </w:r>
                </w:p>
              </w:tc>
              <w:tc>
                <w:tcPr>
                  <w:tcW w:w="2071" w:type="dxa"/>
                  <w:vAlign w:val="center"/>
                </w:tcPr>
                <w:p w14:paraId="6920767B">
                  <w:pPr>
                    <w:jc w:val="center"/>
                    <w:rPr>
                      <w:color w:val="auto"/>
                      <w:sz w:val="22"/>
                      <w:szCs w:val="22"/>
                    </w:rPr>
                  </w:pPr>
                  <w:r>
                    <w:rPr>
                      <w:rFonts w:hint="eastAsia"/>
                      <w:color w:val="auto"/>
                      <w:sz w:val="22"/>
                      <w:szCs w:val="22"/>
                      <w:lang w:eastAsia="zh-CN"/>
                    </w:rPr>
                    <w:t>本</w:t>
                  </w:r>
                  <w:r>
                    <w:rPr>
                      <w:color w:val="auto"/>
                      <w:sz w:val="22"/>
                      <w:szCs w:val="22"/>
                    </w:rPr>
                    <w:t>项目属于</w:t>
                  </w:r>
                  <w:r>
                    <w:rPr>
                      <w:rFonts w:hint="eastAsia"/>
                      <w:color w:val="auto"/>
                      <w:sz w:val="22"/>
                      <w:szCs w:val="22"/>
                      <w:lang w:eastAsia="zh-CN"/>
                    </w:rPr>
                    <w:t>食品制造业</w:t>
                  </w:r>
                  <w:r>
                    <w:rPr>
                      <w:color w:val="auto"/>
                      <w:sz w:val="22"/>
                      <w:szCs w:val="22"/>
                    </w:rPr>
                    <w:t>，不属于制革、化工、印染、电镀、酿造等污染严重的小型企业。本项目不位于通榆河一级保护区、二级保护区内。</w:t>
                  </w:r>
                </w:p>
              </w:tc>
              <w:tc>
                <w:tcPr>
                  <w:tcW w:w="0" w:type="auto"/>
                  <w:tcBorders>
                    <w:right w:val="nil"/>
                  </w:tcBorders>
                  <w:vAlign w:val="center"/>
                </w:tcPr>
                <w:p w14:paraId="75F6C24C">
                  <w:pPr>
                    <w:jc w:val="center"/>
                    <w:rPr>
                      <w:color w:val="auto"/>
                      <w:sz w:val="22"/>
                      <w:szCs w:val="22"/>
                    </w:rPr>
                  </w:pPr>
                  <w:r>
                    <w:rPr>
                      <w:color w:val="auto"/>
                      <w:sz w:val="22"/>
                      <w:szCs w:val="22"/>
                    </w:rPr>
                    <w:t>符合</w:t>
                  </w:r>
                </w:p>
              </w:tc>
            </w:tr>
            <w:tr w14:paraId="426A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75108710">
                  <w:pPr>
                    <w:jc w:val="center"/>
                    <w:rPr>
                      <w:color w:val="auto"/>
                      <w:sz w:val="22"/>
                      <w:szCs w:val="22"/>
                    </w:rPr>
                  </w:pPr>
                  <w:r>
                    <w:rPr>
                      <w:color w:val="auto"/>
                      <w:sz w:val="22"/>
                      <w:szCs w:val="22"/>
                    </w:rPr>
                    <w:t>污染物排放管控</w:t>
                  </w:r>
                </w:p>
              </w:tc>
              <w:tc>
                <w:tcPr>
                  <w:tcW w:w="4470" w:type="dxa"/>
                  <w:vAlign w:val="center"/>
                </w:tcPr>
                <w:p w14:paraId="199AC5BB">
                  <w:pPr>
                    <w:jc w:val="center"/>
                    <w:rPr>
                      <w:color w:val="auto"/>
                      <w:sz w:val="22"/>
                      <w:szCs w:val="22"/>
                    </w:rPr>
                  </w:pPr>
                  <w:r>
                    <w:rPr>
                      <w:color w:val="auto"/>
                      <w:sz w:val="22"/>
                      <w:szCs w:val="22"/>
                    </w:rPr>
                    <w:t>按照《</w:t>
                  </w:r>
                  <w:r>
                    <w:rPr>
                      <w:rFonts w:hint="eastAsia"/>
                      <w:color w:val="auto"/>
                      <w:sz w:val="22"/>
                      <w:szCs w:val="22"/>
                      <w:lang w:eastAsia="zh-CN"/>
                    </w:rPr>
                    <w:t>淮河流域水污染防治暂行条例</w:t>
                  </w:r>
                  <w:r>
                    <w:rPr>
                      <w:color w:val="auto"/>
                      <w:sz w:val="22"/>
                      <w:szCs w:val="22"/>
                    </w:rPr>
                    <w:t>》实施排污总量控制制度。</w:t>
                  </w:r>
                </w:p>
              </w:tc>
              <w:tc>
                <w:tcPr>
                  <w:tcW w:w="2071" w:type="dxa"/>
                  <w:vAlign w:val="center"/>
                </w:tcPr>
                <w:p w14:paraId="52F36321">
                  <w:pPr>
                    <w:jc w:val="center"/>
                    <w:rPr>
                      <w:color w:val="auto"/>
                      <w:sz w:val="22"/>
                      <w:szCs w:val="22"/>
                    </w:rPr>
                  </w:pPr>
                  <w:r>
                    <w:rPr>
                      <w:rFonts w:hint="eastAsia"/>
                      <w:color w:val="auto"/>
                      <w:sz w:val="22"/>
                      <w:szCs w:val="22"/>
                      <w:lang w:eastAsia="zh-CN"/>
                    </w:rPr>
                    <w:t>本</w:t>
                  </w:r>
                  <w:r>
                    <w:rPr>
                      <w:color w:val="auto"/>
                      <w:sz w:val="22"/>
                      <w:szCs w:val="22"/>
                    </w:rPr>
                    <w:t>项目按照相关规定实施总量控制。</w:t>
                  </w:r>
                </w:p>
              </w:tc>
              <w:tc>
                <w:tcPr>
                  <w:tcW w:w="0" w:type="auto"/>
                  <w:tcBorders>
                    <w:right w:val="nil"/>
                  </w:tcBorders>
                  <w:vAlign w:val="center"/>
                </w:tcPr>
                <w:p w14:paraId="1679EF90">
                  <w:pPr>
                    <w:jc w:val="center"/>
                    <w:rPr>
                      <w:color w:val="auto"/>
                      <w:sz w:val="22"/>
                      <w:szCs w:val="22"/>
                    </w:rPr>
                  </w:pPr>
                  <w:r>
                    <w:rPr>
                      <w:color w:val="auto"/>
                      <w:sz w:val="22"/>
                      <w:szCs w:val="22"/>
                    </w:rPr>
                    <w:t>符合</w:t>
                  </w:r>
                </w:p>
              </w:tc>
            </w:tr>
            <w:tr w14:paraId="774B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7E6762FE">
                  <w:pPr>
                    <w:jc w:val="center"/>
                    <w:rPr>
                      <w:color w:val="auto"/>
                      <w:sz w:val="22"/>
                      <w:szCs w:val="22"/>
                    </w:rPr>
                  </w:pPr>
                  <w:r>
                    <w:rPr>
                      <w:color w:val="auto"/>
                      <w:sz w:val="22"/>
                      <w:szCs w:val="22"/>
                    </w:rPr>
                    <w:t>环境风险防控</w:t>
                  </w:r>
                </w:p>
              </w:tc>
              <w:tc>
                <w:tcPr>
                  <w:tcW w:w="4470" w:type="dxa"/>
                  <w:vAlign w:val="center"/>
                </w:tcPr>
                <w:p w14:paraId="31C4A3A8">
                  <w:pPr>
                    <w:jc w:val="center"/>
                    <w:rPr>
                      <w:color w:val="auto"/>
                      <w:sz w:val="22"/>
                      <w:szCs w:val="22"/>
                    </w:rPr>
                  </w:pPr>
                  <w:r>
                    <w:rPr>
                      <w:color w:val="auto"/>
                      <w:sz w:val="22"/>
                      <w:szCs w:val="22"/>
                    </w:rPr>
                    <w:t>禁止运输剧毒化学品以及国家规定禁止通过内河运输的其他危险化学品的船舶进入通榆河及主要供水河道。</w:t>
                  </w:r>
                </w:p>
              </w:tc>
              <w:tc>
                <w:tcPr>
                  <w:tcW w:w="2071" w:type="dxa"/>
                  <w:vAlign w:val="center"/>
                </w:tcPr>
                <w:p w14:paraId="3A4CCCD3">
                  <w:pPr>
                    <w:jc w:val="center"/>
                    <w:rPr>
                      <w:color w:val="auto"/>
                      <w:sz w:val="22"/>
                      <w:szCs w:val="22"/>
                    </w:rPr>
                  </w:pPr>
                  <w:r>
                    <w:rPr>
                      <w:rFonts w:hint="eastAsia"/>
                      <w:color w:val="auto"/>
                      <w:sz w:val="22"/>
                      <w:szCs w:val="22"/>
                      <w:lang w:eastAsia="zh-CN"/>
                    </w:rPr>
                    <w:t>本</w:t>
                  </w:r>
                  <w:r>
                    <w:rPr>
                      <w:color w:val="auto"/>
                      <w:sz w:val="22"/>
                      <w:szCs w:val="22"/>
                    </w:rPr>
                    <w:t>项目不涉及剧毒化学品和其他危险化学品，运输均为陆运，不涉及水运。</w:t>
                  </w:r>
                </w:p>
              </w:tc>
              <w:tc>
                <w:tcPr>
                  <w:tcW w:w="0" w:type="auto"/>
                  <w:tcBorders>
                    <w:right w:val="nil"/>
                  </w:tcBorders>
                  <w:vAlign w:val="center"/>
                </w:tcPr>
                <w:p w14:paraId="319E4716">
                  <w:pPr>
                    <w:jc w:val="center"/>
                    <w:rPr>
                      <w:color w:val="auto"/>
                      <w:sz w:val="22"/>
                      <w:szCs w:val="22"/>
                    </w:rPr>
                  </w:pPr>
                  <w:r>
                    <w:rPr>
                      <w:color w:val="auto"/>
                      <w:sz w:val="22"/>
                      <w:szCs w:val="22"/>
                    </w:rPr>
                    <w:t>符合</w:t>
                  </w:r>
                </w:p>
              </w:tc>
            </w:tr>
            <w:tr w14:paraId="21E6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28CE477B">
                  <w:pPr>
                    <w:jc w:val="center"/>
                    <w:rPr>
                      <w:color w:val="auto"/>
                      <w:sz w:val="22"/>
                      <w:szCs w:val="22"/>
                    </w:rPr>
                  </w:pPr>
                  <w:r>
                    <w:rPr>
                      <w:color w:val="auto"/>
                      <w:sz w:val="22"/>
                      <w:szCs w:val="22"/>
                    </w:rPr>
                    <w:t>资源利用效率要求</w:t>
                  </w:r>
                </w:p>
              </w:tc>
              <w:tc>
                <w:tcPr>
                  <w:tcW w:w="4470" w:type="dxa"/>
                  <w:vAlign w:val="center"/>
                </w:tcPr>
                <w:p w14:paraId="6EF19386">
                  <w:pPr>
                    <w:jc w:val="center"/>
                    <w:rPr>
                      <w:color w:val="auto"/>
                      <w:sz w:val="22"/>
                      <w:szCs w:val="22"/>
                    </w:rPr>
                  </w:pPr>
                  <w:r>
                    <w:rPr>
                      <w:color w:val="auto"/>
                      <w:sz w:val="22"/>
                      <w:szCs w:val="22"/>
                    </w:rPr>
                    <w:t>限制缺水地区发</w:t>
                  </w:r>
                  <w:r>
                    <w:rPr>
                      <w:rFonts w:hint="eastAsia"/>
                      <w:color w:val="auto"/>
                      <w:sz w:val="22"/>
                      <w:szCs w:val="22"/>
                    </w:rPr>
                    <w:t>展</w:t>
                  </w:r>
                  <w:r>
                    <w:rPr>
                      <w:color w:val="auto"/>
                      <w:sz w:val="22"/>
                      <w:szCs w:val="22"/>
                    </w:rPr>
                    <w:t>耗水型产业，调整缺水地区的产业结构，严格控制高耗水、高耗能和重污染的建设项目。</w:t>
                  </w:r>
                </w:p>
              </w:tc>
              <w:tc>
                <w:tcPr>
                  <w:tcW w:w="2071" w:type="dxa"/>
                  <w:vAlign w:val="center"/>
                </w:tcPr>
                <w:p w14:paraId="145D11F6">
                  <w:pPr>
                    <w:jc w:val="center"/>
                    <w:rPr>
                      <w:color w:val="auto"/>
                      <w:sz w:val="22"/>
                      <w:szCs w:val="22"/>
                    </w:rPr>
                  </w:pPr>
                  <w:r>
                    <w:rPr>
                      <w:rFonts w:hint="eastAsia"/>
                      <w:color w:val="auto"/>
                      <w:sz w:val="22"/>
                      <w:szCs w:val="22"/>
                      <w:lang w:eastAsia="zh-CN"/>
                    </w:rPr>
                    <w:t>本</w:t>
                  </w:r>
                  <w:r>
                    <w:rPr>
                      <w:color w:val="auto"/>
                      <w:sz w:val="22"/>
                      <w:szCs w:val="22"/>
                    </w:rPr>
                    <w:t>不属于高耗水、高耗能和重污染的建设项目。</w:t>
                  </w:r>
                </w:p>
              </w:tc>
              <w:tc>
                <w:tcPr>
                  <w:tcW w:w="0" w:type="auto"/>
                  <w:tcBorders>
                    <w:right w:val="nil"/>
                  </w:tcBorders>
                  <w:vAlign w:val="center"/>
                </w:tcPr>
                <w:p w14:paraId="6FE24503">
                  <w:pPr>
                    <w:jc w:val="center"/>
                    <w:rPr>
                      <w:color w:val="auto"/>
                      <w:sz w:val="22"/>
                      <w:szCs w:val="22"/>
                    </w:rPr>
                  </w:pPr>
                  <w:r>
                    <w:rPr>
                      <w:color w:val="auto"/>
                      <w:sz w:val="22"/>
                      <w:szCs w:val="22"/>
                    </w:rPr>
                    <w:t>符合</w:t>
                  </w:r>
                </w:p>
              </w:tc>
            </w:tr>
          </w:tbl>
          <w:p w14:paraId="7818B9E9">
            <w:pPr>
              <w:adjustRightInd w:val="0"/>
              <w:snapToGrid w:val="0"/>
              <w:spacing w:before="120" w:beforeLines="50" w:line="360" w:lineRule="auto"/>
              <w:ind w:firstLine="480" w:firstLineChars="200"/>
              <w:rPr>
                <w:rFonts w:hint="eastAsia" w:hAnsiTheme="minorEastAsia" w:eastAsiaTheme="minorEastAsia"/>
                <w:color w:val="auto"/>
                <w:sz w:val="24"/>
              </w:rPr>
            </w:pPr>
            <w:r>
              <w:rPr>
                <w:rFonts w:hAnsiTheme="minorEastAsia" w:eastAsiaTheme="minorEastAsia"/>
                <w:color w:val="auto"/>
                <w:sz w:val="24"/>
              </w:rPr>
              <w:t>根据上表分析可知，</w:t>
            </w:r>
            <w:r>
              <w:rPr>
                <w:rFonts w:hint="eastAsia" w:hAnsiTheme="minorEastAsia" w:eastAsiaTheme="minorEastAsia"/>
                <w:color w:val="auto"/>
                <w:sz w:val="24"/>
                <w:lang w:eastAsia="zh-CN"/>
              </w:rPr>
              <w:t>扩建</w:t>
            </w:r>
            <w:r>
              <w:rPr>
                <w:rFonts w:hAnsiTheme="minorEastAsia" w:eastAsiaTheme="minorEastAsia"/>
                <w:color w:val="auto"/>
                <w:sz w:val="24"/>
              </w:rPr>
              <w:t>项目与《</w:t>
            </w:r>
            <w:r>
              <w:rPr>
                <w:rFonts w:hAnsiTheme="minorEastAsia" w:eastAsiaTheme="minorEastAsia"/>
                <w:bCs/>
                <w:color w:val="auto"/>
                <w:sz w:val="24"/>
              </w:rPr>
              <w:t>江苏省</w:t>
            </w:r>
            <w:r>
              <w:rPr>
                <w:rFonts w:eastAsiaTheme="minorEastAsia"/>
                <w:bCs/>
                <w:color w:val="auto"/>
                <w:sz w:val="24"/>
              </w:rPr>
              <w:t>“</w:t>
            </w:r>
            <w:r>
              <w:rPr>
                <w:rFonts w:hAnsiTheme="minorEastAsia" w:eastAsiaTheme="minorEastAsia"/>
                <w:bCs/>
                <w:color w:val="auto"/>
                <w:sz w:val="24"/>
              </w:rPr>
              <w:t>三线一单</w:t>
            </w:r>
            <w:r>
              <w:rPr>
                <w:rFonts w:eastAsiaTheme="minorEastAsia"/>
                <w:bCs/>
                <w:color w:val="auto"/>
                <w:sz w:val="24"/>
              </w:rPr>
              <w:t>”</w:t>
            </w:r>
            <w:r>
              <w:rPr>
                <w:rFonts w:hAnsiTheme="minorEastAsia" w:eastAsiaTheme="minorEastAsia"/>
                <w:bCs/>
                <w:color w:val="auto"/>
                <w:sz w:val="24"/>
              </w:rPr>
              <w:t>生态环境分区管控方案</w:t>
            </w:r>
            <w:r>
              <w:rPr>
                <w:rFonts w:hAnsiTheme="minorEastAsia" w:eastAsiaTheme="minorEastAsia"/>
                <w:color w:val="auto"/>
                <w:sz w:val="24"/>
              </w:rPr>
              <w:t>》是相符的。</w:t>
            </w:r>
            <w:r>
              <w:rPr>
                <w:rFonts w:hint="eastAsia" w:hAnsiTheme="minorEastAsia" w:eastAsiaTheme="minorEastAsia"/>
                <w:color w:val="auto"/>
                <w:sz w:val="24"/>
              </w:rPr>
              <w:t>江苏省生态环境分区管控综合查询报告书见附件</w:t>
            </w:r>
            <w:r>
              <w:rPr>
                <w:rFonts w:hint="eastAsia" w:hAnsiTheme="minorEastAsia" w:eastAsiaTheme="minorEastAsia"/>
                <w:color w:val="auto"/>
                <w:sz w:val="24"/>
                <w:lang w:val="en-US" w:eastAsia="zh-CN"/>
              </w:rPr>
              <w:t>11。</w:t>
            </w:r>
          </w:p>
          <w:p w14:paraId="51774B07">
            <w:pPr>
              <w:adjustRightInd w:val="0"/>
              <w:snapToGrid w:val="0"/>
              <w:spacing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b.与《市政府关于印发淮安市“三线一单”生态环境分区管控方案的通知》（淮政发〔2020〕16号）相符性分析</w:t>
            </w:r>
          </w:p>
          <w:p w14:paraId="3C6851CB">
            <w:pPr>
              <w:adjustRightInd w:val="0"/>
              <w:snapToGrid w:val="0"/>
              <w:spacing w:before="120" w:beforeLines="50"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根据《市政府关于印发淮安市“三线一单”生态环境分区管控方案的通知》（淮政发〔2020〕16号）附件2，</w:t>
            </w:r>
            <w:r>
              <w:rPr>
                <w:rFonts w:hint="eastAsia" w:hAnsiTheme="minorEastAsia" w:eastAsiaTheme="minorEastAsia"/>
                <w:color w:val="auto"/>
                <w:sz w:val="24"/>
                <w:lang w:eastAsia="zh-CN"/>
              </w:rPr>
              <w:t>涉及的</w:t>
            </w:r>
            <w:r>
              <w:rPr>
                <w:rFonts w:hint="eastAsia" w:hAnsiTheme="minorEastAsia" w:eastAsiaTheme="minorEastAsia"/>
                <w:color w:val="auto"/>
                <w:sz w:val="24"/>
              </w:rPr>
              <w:t>涟水县环境管控单元名录见表1-</w:t>
            </w:r>
            <w:r>
              <w:rPr>
                <w:rFonts w:hint="eastAsia" w:hAnsiTheme="minorEastAsia" w:eastAsiaTheme="minorEastAsia"/>
                <w:color w:val="auto"/>
                <w:sz w:val="24"/>
                <w:lang w:val="en-US" w:eastAsia="zh-CN"/>
              </w:rPr>
              <w:t>5</w:t>
            </w:r>
            <w:r>
              <w:rPr>
                <w:rFonts w:hint="eastAsia" w:hAnsiTheme="minorEastAsia" w:eastAsiaTheme="minorEastAsia"/>
                <w:color w:val="auto"/>
                <w:sz w:val="24"/>
              </w:rPr>
              <w:t>。</w:t>
            </w:r>
          </w:p>
          <w:p w14:paraId="54D8095B">
            <w:pPr>
              <w:keepNext/>
              <w:adjustRightInd w:val="0"/>
              <w:snapToGrid w:val="0"/>
              <w:jc w:val="center"/>
              <w:rPr>
                <w:b/>
                <w:color w:val="auto"/>
                <w:sz w:val="24"/>
                <w:szCs w:val="32"/>
              </w:rPr>
            </w:pPr>
          </w:p>
          <w:p w14:paraId="31D4BB02">
            <w:pPr>
              <w:keepNext/>
              <w:adjustRightInd w:val="0"/>
              <w:snapToGrid w:val="0"/>
              <w:jc w:val="center"/>
              <w:rPr>
                <w:b/>
                <w:color w:val="auto"/>
                <w:sz w:val="24"/>
                <w:szCs w:val="32"/>
              </w:rPr>
            </w:pPr>
          </w:p>
          <w:p w14:paraId="6FCC2463">
            <w:pPr>
              <w:keepNext/>
              <w:adjustRightInd w:val="0"/>
              <w:snapToGrid w:val="0"/>
              <w:jc w:val="center"/>
              <w:rPr>
                <w:b/>
                <w:color w:val="auto"/>
                <w:sz w:val="24"/>
                <w:szCs w:val="32"/>
              </w:rPr>
            </w:pPr>
          </w:p>
          <w:p w14:paraId="3B2EF936">
            <w:pPr>
              <w:keepNext/>
              <w:adjustRightInd w:val="0"/>
              <w:snapToGrid w:val="0"/>
              <w:jc w:val="center"/>
              <w:rPr>
                <w:b/>
                <w:color w:val="auto"/>
                <w:sz w:val="24"/>
                <w:szCs w:val="32"/>
              </w:rPr>
            </w:pPr>
          </w:p>
          <w:p w14:paraId="04F5B45F">
            <w:pPr>
              <w:keepNext/>
              <w:adjustRightInd w:val="0"/>
              <w:snapToGrid w:val="0"/>
              <w:jc w:val="center"/>
              <w:rPr>
                <w:b/>
                <w:color w:val="auto"/>
              </w:rPr>
            </w:pPr>
            <w:r>
              <w:rPr>
                <w:b/>
                <w:color w:val="auto"/>
                <w:sz w:val="24"/>
                <w:szCs w:val="32"/>
              </w:rPr>
              <w:t>表1-</w:t>
            </w:r>
            <w:r>
              <w:rPr>
                <w:rFonts w:hint="eastAsia"/>
                <w:b/>
                <w:color w:val="auto"/>
                <w:sz w:val="24"/>
                <w:szCs w:val="32"/>
                <w:lang w:val="en-US" w:eastAsia="zh-CN"/>
              </w:rPr>
              <w:t>5</w:t>
            </w:r>
            <w:r>
              <w:rPr>
                <w:b/>
                <w:color w:val="auto"/>
                <w:sz w:val="24"/>
                <w:szCs w:val="32"/>
              </w:rPr>
              <w:t xml:space="preserve">  淮安市环境管控单元名录表（涟水县）</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55"/>
              <w:gridCol w:w="577"/>
              <w:gridCol w:w="1515"/>
              <w:gridCol w:w="4206"/>
              <w:gridCol w:w="1485"/>
            </w:tblGrid>
            <w:tr w14:paraId="04EED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3" w:type="pct"/>
                  <w:tcBorders>
                    <w:top w:val="single" w:color="auto" w:sz="12" w:space="0"/>
                    <w:left w:val="nil"/>
                    <w:bottom w:val="single" w:color="auto" w:sz="12" w:space="0"/>
                  </w:tcBorders>
                  <w:vAlign w:val="center"/>
                </w:tcPr>
                <w:p w14:paraId="7CFB2F10">
                  <w:pPr>
                    <w:keepNext/>
                    <w:adjustRightInd w:val="0"/>
                    <w:snapToGrid w:val="0"/>
                    <w:jc w:val="center"/>
                    <w:rPr>
                      <w:b/>
                      <w:color w:val="auto"/>
                    </w:rPr>
                  </w:pPr>
                  <w:r>
                    <w:rPr>
                      <w:b/>
                      <w:color w:val="auto"/>
                    </w:rPr>
                    <w:t>行政区</w:t>
                  </w:r>
                </w:p>
              </w:tc>
              <w:tc>
                <w:tcPr>
                  <w:tcW w:w="346" w:type="pct"/>
                  <w:tcBorders>
                    <w:top w:val="single" w:color="auto" w:sz="12" w:space="0"/>
                    <w:bottom w:val="single" w:color="auto" w:sz="12" w:space="0"/>
                  </w:tcBorders>
                  <w:vAlign w:val="center"/>
                </w:tcPr>
                <w:p w14:paraId="15F87197">
                  <w:pPr>
                    <w:keepNext/>
                    <w:adjustRightInd w:val="0"/>
                    <w:snapToGrid w:val="0"/>
                    <w:jc w:val="center"/>
                    <w:rPr>
                      <w:b/>
                      <w:color w:val="auto"/>
                    </w:rPr>
                  </w:pPr>
                  <w:r>
                    <w:rPr>
                      <w:b/>
                      <w:color w:val="auto"/>
                    </w:rPr>
                    <w:t>单元总数</w:t>
                  </w:r>
                </w:p>
              </w:tc>
              <w:tc>
                <w:tcPr>
                  <w:tcW w:w="908" w:type="pct"/>
                  <w:tcBorders>
                    <w:top w:val="single" w:color="auto" w:sz="12" w:space="0"/>
                    <w:bottom w:val="single" w:color="auto" w:sz="12" w:space="0"/>
                  </w:tcBorders>
                  <w:vAlign w:val="center"/>
                </w:tcPr>
                <w:p w14:paraId="53D04D75">
                  <w:pPr>
                    <w:keepNext/>
                    <w:adjustRightInd w:val="0"/>
                    <w:snapToGrid w:val="0"/>
                    <w:jc w:val="center"/>
                    <w:rPr>
                      <w:b/>
                      <w:color w:val="auto"/>
                    </w:rPr>
                  </w:pPr>
                  <w:r>
                    <w:rPr>
                      <w:b/>
                      <w:color w:val="auto"/>
                    </w:rPr>
                    <w:t>优先保护单元</w:t>
                  </w:r>
                </w:p>
                <w:p w14:paraId="3714F5F6">
                  <w:pPr>
                    <w:keepNext/>
                    <w:adjustRightInd w:val="0"/>
                    <w:snapToGrid w:val="0"/>
                    <w:jc w:val="center"/>
                    <w:rPr>
                      <w:b/>
                      <w:color w:val="auto"/>
                    </w:rPr>
                  </w:pPr>
                  <w:r>
                    <w:rPr>
                      <w:b/>
                      <w:color w:val="auto"/>
                    </w:rPr>
                    <w:t>（生态保护红线、生态空间管控区域）</w:t>
                  </w:r>
                </w:p>
              </w:tc>
              <w:tc>
                <w:tcPr>
                  <w:tcW w:w="2521" w:type="pct"/>
                  <w:tcBorders>
                    <w:top w:val="single" w:color="auto" w:sz="12" w:space="0"/>
                    <w:bottom w:val="single" w:color="auto" w:sz="12" w:space="0"/>
                  </w:tcBorders>
                  <w:vAlign w:val="center"/>
                </w:tcPr>
                <w:p w14:paraId="597AFE9F">
                  <w:pPr>
                    <w:keepNext/>
                    <w:adjustRightInd w:val="0"/>
                    <w:snapToGrid w:val="0"/>
                    <w:jc w:val="center"/>
                    <w:rPr>
                      <w:b/>
                      <w:color w:val="auto"/>
                    </w:rPr>
                  </w:pPr>
                  <w:r>
                    <w:rPr>
                      <w:b/>
                      <w:color w:val="auto"/>
                    </w:rPr>
                    <w:t>重点管控单元（产业园区、中心城区）</w:t>
                  </w:r>
                </w:p>
              </w:tc>
              <w:tc>
                <w:tcPr>
                  <w:tcW w:w="890" w:type="pct"/>
                  <w:tcBorders>
                    <w:top w:val="single" w:color="auto" w:sz="12" w:space="0"/>
                    <w:bottom w:val="single" w:color="auto" w:sz="12" w:space="0"/>
                    <w:right w:val="nil"/>
                  </w:tcBorders>
                  <w:vAlign w:val="center"/>
                </w:tcPr>
                <w:p w14:paraId="403CFA9B">
                  <w:pPr>
                    <w:keepNext/>
                    <w:adjustRightInd w:val="0"/>
                    <w:snapToGrid w:val="0"/>
                    <w:jc w:val="center"/>
                    <w:rPr>
                      <w:b/>
                      <w:color w:val="auto"/>
                    </w:rPr>
                  </w:pPr>
                  <w:r>
                    <w:rPr>
                      <w:b/>
                      <w:color w:val="auto"/>
                    </w:rPr>
                    <w:t>一般管控</w:t>
                  </w:r>
                </w:p>
                <w:p w14:paraId="5C0F6D14">
                  <w:pPr>
                    <w:keepNext/>
                    <w:adjustRightInd w:val="0"/>
                    <w:snapToGrid w:val="0"/>
                    <w:jc w:val="center"/>
                    <w:rPr>
                      <w:b/>
                      <w:color w:val="auto"/>
                    </w:rPr>
                  </w:pPr>
                  <w:r>
                    <w:rPr>
                      <w:b/>
                      <w:color w:val="auto"/>
                    </w:rPr>
                    <w:t>单元*</w:t>
                  </w:r>
                </w:p>
              </w:tc>
            </w:tr>
            <w:tr w14:paraId="3499F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3" w:type="pct"/>
                  <w:tcBorders>
                    <w:top w:val="single" w:color="auto" w:sz="12" w:space="0"/>
                    <w:left w:val="nil"/>
                  </w:tcBorders>
                  <w:vAlign w:val="center"/>
                </w:tcPr>
                <w:p w14:paraId="542FE31B">
                  <w:pPr>
                    <w:jc w:val="center"/>
                    <w:rPr>
                      <w:color w:val="auto"/>
                      <w:sz w:val="22"/>
                      <w:szCs w:val="22"/>
                    </w:rPr>
                  </w:pPr>
                  <w:r>
                    <w:rPr>
                      <w:color w:val="auto"/>
                      <w:sz w:val="22"/>
                      <w:szCs w:val="22"/>
                    </w:rPr>
                    <w:t>涟水县</w:t>
                  </w:r>
                </w:p>
              </w:tc>
              <w:tc>
                <w:tcPr>
                  <w:tcW w:w="346" w:type="pct"/>
                  <w:tcBorders>
                    <w:top w:val="single" w:color="auto" w:sz="12" w:space="0"/>
                  </w:tcBorders>
                  <w:vAlign w:val="center"/>
                </w:tcPr>
                <w:p w14:paraId="722AD156">
                  <w:pPr>
                    <w:jc w:val="center"/>
                    <w:rPr>
                      <w:color w:val="auto"/>
                      <w:sz w:val="22"/>
                      <w:szCs w:val="22"/>
                    </w:rPr>
                  </w:pPr>
                  <w:r>
                    <w:rPr>
                      <w:color w:val="auto"/>
                      <w:sz w:val="22"/>
                      <w:szCs w:val="22"/>
                    </w:rPr>
                    <w:t>58</w:t>
                  </w:r>
                </w:p>
              </w:tc>
              <w:tc>
                <w:tcPr>
                  <w:tcW w:w="908" w:type="pct"/>
                  <w:tcBorders>
                    <w:top w:val="single" w:color="auto" w:sz="12" w:space="0"/>
                  </w:tcBorders>
                  <w:vAlign w:val="center"/>
                </w:tcPr>
                <w:p w14:paraId="28837732">
                  <w:pPr>
                    <w:jc w:val="center"/>
                    <w:rPr>
                      <w:color w:val="auto"/>
                      <w:sz w:val="22"/>
                      <w:szCs w:val="22"/>
                    </w:rPr>
                  </w:pPr>
                  <w:r>
                    <w:rPr>
                      <w:color w:val="auto"/>
                      <w:sz w:val="22"/>
                      <w:szCs w:val="22"/>
                    </w:rPr>
                    <w:t>3个</w:t>
                  </w:r>
                </w:p>
                <w:p w14:paraId="3D2704BE">
                  <w:pPr>
                    <w:jc w:val="center"/>
                    <w:rPr>
                      <w:color w:val="auto"/>
                      <w:sz w:val="22"/>
                      <w:szCs w:val="22"/>
                    </w:rPr>
                  </w:pPr>
                  <w:r>
                    <w:rPr>
                      <w:color w:val="auto"/>
                      <w:sz w:val="22"/>
                      <w:szCs w:val="22"/>
                    </w:rPr>
                    <w:t>古黄河（涟水）饮用水水源保护区、江苏涟水涟漪湖黄嘴白鹭省级自然保护区、废黄河（涟水县）重要湿地</w:t>
                  </w:r>
                </w:p>
              </w:tc>
              <w:tc>
                <w:tcPr>
                  <w:tcW w:w="2521" w:type="pct"/>
                  <w:tcBorders>
                    <w:top w:val="single" w:color="auto" w:sz="12" w:space="0"/>
                  </w:tcBorders>
                  <w:vAlign w:val="center"/>
                </w:tcPr>
                <w:p w14:paraId="1A884F44">
                  <w:pPr>
                    <w:jc w:val="center"/>
                    <w:rPr>
                      <w:color w:val="auto"/>
                      <w:sz w:val="22"/>
                      <w:szCs w:val="22"/>
                    </w:rPr>
                  </w:pPr>
                  <w:r>
                    <w:rPr>
                      <w:color w:val="auto"/>
                      <w:sz w:val="22"/>
                      <w:szCs w:val="22"/>
                    </w:rPr>
                    <w:t>36个</w:t>
                  </w:r>
                </w:p>
                <w:p w14:paraId="7A97A56F">
                  <w:pPr>
                    <w:jc w:val="center"/>
                    <w:rPr>
                      <w:color w:val="auto"/>
                      <w:sz w:val="22"/>
                      <w:szCs w:val="22"/>
                    </w:rPr>
                  </w:pPr>
                  <w:r>
                    <w:rPr>
                      <w:color w:val="auto"/>
                      <w:sz w:val="22"/>
                      <w:szCs w:val="22"/>
                    </w:rPr>
                    <w:t>江苏涟水经济开发区、淮安</w:t>
                  </w:r>
                  <w:r>
                    <w:rPr>
                      <w:rFonts w:hint="eastAsia"/>
                      <w:color w:val="auto"/>
                      <w:sz w:val="22"/>
                      <w:szCs w:val="22"/>
                      <w:lang w:eastAsia="zh-CN"/>
                    </w:rPr>
                    <w:t>（</w:t>
                  </w:r>
                  <w:r>
                    <w:rPr>
                      <w:color w:val="auto"/>
                      <w:sz w:val="22"/>
                      <w:szCs w:val="22"/>
                    </w:rPr>
                    <w:t>薛行）循环经济产业园、凌庄新型金属材料工业集中区、淮安</w:t>
                  </w:r>
                  <w:r>
                    <w:rPr>
                      <w:rFonts w:hint="eastAsia"/>
                      <w:color w:val="auto"/>
                      <w:sz w:val="22"/>
                      <w:szCs w:val="22"/>
                      <w:lang w:eastAsia="zh-CN"/>
                    </w:rPr>
                    <w:t>（</w:t>
                  </w:r>
                  <w:r>
                    <w:rPr>
                      <w:color w:val="auto"/>
                      <w:sz w:val="22"/>
                      <w:szCs w:val="22"/>
                    </w:rPr>
                    <w:t>涟水</w:t>
                  </w:r>
                  <w:r>
                    <w:rPr>
                      <w:rFonts w:hint="eastAsia"/>
                      <w:color w:val="auto"/>
                      <w:sz w:val="22"/>
                      <w:szCs w:val="22"/>
                      <w:lang w:eastAsia="zh-CN"/>
                    </w:rPr>
                    <w:t>）</w:t>
                  </w:r>
                  <w:r>
                    <w:rPr>
                      <w:color w:val="auto"/>
                      <w:sz w:val="22"/>
                      <w:szCs w:val="22"/>
                    </w:rPr>
                    <w:t>空港产业园、涟城街道工业集中区、红窑镇工业集中区、粱岔镇工业集中区、涟城街道</w:t>
                  </w:r>
                  <w:r>
                    <w:rPr>
                      <w:rFonts w:hint="eastAsia"/>
                      <w:color w:val="auto"/>
                      <w:sz w:val="22"/>
                      <w:szCs w:val="22"/>
                      <w:lang w:eastAsia="zh-CN"/>
                    </w:rPr>
                    <w:t>（</w:t>
                  </w:r>
                  <w:r>
                    <w:rPr>
                      <w:color w:val="auto"/>
                      <w:sz w:val="22"/>
                      <w:szCs w:val="22"/>
                    </w:rPr>
                    <w:t>徐集</w:t>
                  </w:r>
                  <w:r>
                    <w:rPr>
                      <w:rFonts w:hint="eastAsia"/>
                      <w:color w:val="auto"/>
                      <w:sz w:val="22"/>
                      <w:szCs w:val="22"/>
                      <w:lang w:eastAsia="zh-CN"/>
                    </w:rPr>
                    <w:t>）</w:t>
                  </w:r>
                  <w:r>
                    <w:rPr>
                      <w:color w:val="auto"/>
                      <w:sz w:val="22"/>
                      <w:szCs w:val="22"/>
                    </w:rPr>
                    <w:t>工业集中区、东胡集镇扶贫产业园、东胡集镇</w:t>
                  </w:r>
                  <w:r>
                    <w:rPr>
                      <w:rFonts w:hint="eastAsia"/>
                      <w:color w:val="auto"/>
                      <w:sz w:val="22"/>
                      <w:szCs w:val="22"/>
                      <w:lang w:eastAsia="zh-CN"/>
                    </w:rPr>
                    <w:t>（</w:t>
                  </w:r>
                  <w:r>
                    <w:rPr>
                      <w:color w:val="auto"/>
                      <w:sz w:val="22"/>
                      <w:szCs w:val="22"/>
                    </w:rPr>
                    <w:t>嵇码</w:t>
                  </w:r>
                  <w:r>
                    <w:rPr>
                      <w:rFonts w:hint="eastAsia"/>
                      <w:color w:val="auto"/>
                      <w:sz w:val="22"/>
                      <w:szCs w:val="22"/>
                      <w:lang w:eastAsia="zh-CN"/>
                    </w:rPr>
                    <w:t>）</w:t>
                  </w:r>
                  <w:r>
                    <w:rPr>
                      <w:color w:val="auto"/>
                      <w:sz w:val="22"/>
                      <w:szCs w:val="22"/>
                    </w:rPr>
                    <w:t>工业集中区、陈师街道工业集中区、大东镇工业集中区、岔庙镇工业集中区、黄营镇工业集中区、黄营镇</w:t>
                  </w:r>
                  <w:r>
                    <w:rPr>
                      <w:rFonts w:hint="eastAsia"/>
                      <w:color w:val="auto"/>
                      <w:sz w:val="22"/>
                      <w:szCs w:val="22"/>
                      <w:lang w:eastAsia="zh-CN"/>
                    </w:rPr>
                    <w:t>（</w:t>
                  </w:r>
                  <w:r>
                    <w:rPr>
                      <w:color w:val="auto"/>
                      <w:sz w:val="22"/>
                      <w:szCs w:val="22"/>
                    </w:rPr>
                    <w:t>北集</w:t>
                  </w:r>
                  <w:r>
                    <w:rPr>
                      <w:rFonts w:hint="eastAsia"/>
                      <w:color w:val="auto"/>
                      <w:sz w:val="22"/>
                      <w:szCs w:val="22"/>
                      <w:lang w:eastAsia="zh-CN"/>
                    </w:rPr>
                    <w:t>）</w:t>
                  </w:r>
                  <w:r>
                    <w:rPr>
                      <w:color w:val="auto"/>
                      <w:sz w:val="22"/>
                      <w:szCs w:val="22"/>
                    </w:rPr>
                    <w:t>工业集中区、南集镇工业集中区、朱码街道工业集中区、朱码街道民营经济产</w:t>
                  </w:r>
                  <w:r>
                    <w:rPr>
                      <w:rFonts w:hint="eastAsia"/>
                      <w:color w:val="auto"/>
                      <w:sz w:val="22"/>
                      <w:szCs w:val="22"/>
                      <w:lang w:eastAsia="zh-CN"/>
                    </w:rPr>
                    <w:t>业区</w:t>
                  </w:r>
                  <w:r>
                    <w:rPr>
                      <w:color w:val="auto"/>
                      <w:sz w:val="22"/>
                      <w:szCs w:val="22"/>
                    </w:rPr>
                    <w:t>、朱码街道双河工业区、朱码街道河网工业区、成集镇工业集中区、红窑镇</w:t>
                  </w:r>
                  <w:r>
                    <w:rPr>
                      <w:rFonts w:hint="eastAsia"/>
                      <w:color w:val="auto"/>
                      <w:sz w:val="22"/>
                      <w:szCs w:val="22"/>
                      <w:lang w:eastAsia="zh-CN"/>
                    </w:rPr>
                    <w:t>（</w:t>
                  </w:r>
                  <w:r>
                    <w:rPr>
                      <w:color w:val="auto"/>
                      <w:sz w:val="22"/>
                      <w:szCs w:val="22"/>
                    </w:rPr>
                    <w:t>义兴</w:t>
                  </w:r>
                  <w:r>
                    <w:rPr>
                      <w:rFonts w:hint="eastAsia"/>
                      <w:color w:val="auto"/>
                      <w:sz w:val="22"/>
                      <w:szCs w:val="22"/>
                      <w:lang w:eastAsia="zh-CN"/>
                    </w:rPr>
                    <w:t>）</w:t>
                  </w:r>
                  <w:r>
                    <w:rPr>
                      <w:color w:val="auto"/>
                      <w:sz w:val="22"/>
                      <w:szCs w:val="22"/>
                    </w:rPr>
                    <w:t>工业集中区、高沟镇</w:t>
                  </w:r>
                  <w:r>
                    <w:rPr>
                      <w:rFonts w:hint="eastAsia"/>
                      <w:color w:val="auto"/>
                      <w:sz w:val="22"/>
                      <w:szCs w:val="22"/>
                      <w:lang w:eastAsia="zh-CN"/>
                    </w:rPr>
                    <w:t>（</w:t>
                  </w:r>
                  <w:r>
                    <w:rPr>
                      <w:color w:val="auto"/>
                      <w:sz w:val="22"/>
                      <w:szCs w:val="22"/>
                    </w:rPr>
                    <w:t>灰墩</w:t>
                  </w:r>
                  <w:r>
                    <w:rPr>
                      <w:rFonts w:hint="eastAsia"/>
                      <w:color w:val="auto"/>
                      <w:sz w:val="22"/>
                      <w:szCs w:val="22"/>
                      <w:lang w:eastAsia="zh-CN"/>
                    </w:rPr>
                    <w:t>）</w:t>
                  </w:r>
                  <w:r>
                    <w:rPr>
                      <w:color w:val="auto"/>
                      <w:sz w:val="22"/>
                      <w:szCs w:val="22"/>
                    </w:rPr>
                    <w:t>工业集中区、高沟镇（前进</w:t>
                  </w:r>
                  <w:r>
                    <w:rPr>
                      <w:rFonts w:hint="eastAsia"/>
                      <w:color w:val="auto"/>
                      <w:sz w:val="22"/>
                      <w:szCs w:val="22"/>
                      <w:lang w:eastAsia="zh-CN"/>
                    </w:rPr>
                    <w:t>）</w:t>
                  </w:r>
                  <w:r>
                    <w:rPr>
                      <w:color w:val="auto"/>
                      <w:sz w:val="22"/>
                      <w:szCs w:val="22"/>
                    </w:rPr>
                    <w:t>工业集中区、唐集镇工业集中区、高沟镇工业集中区、高沟镇</w:t>
                  </w:r>
                  <w:r>
                    <w:rPr>
                      <w:rFonts w:hint="eastAsia"/>
                      <w:color w:val="auto"/>
                      <w:sz w:val="22"/>
                      <w:szCs w:val="22"/>
                      <w:lang w:eastAsia="zh-CN"/>
                    </w:rPr>
                    <w:t>（</w:t>
                  </w:r>
                  <w:r>
                    <w:rPr>
                      <w:color w:val="auto"/>
                      <w:sz w:val="22"/>
                      <w:szCs w:val="22"/>
                    </w:rPr>
                    <w:t>高杨</w:t>
                  </w:r>
                  <w:r>
                    <w:rPr>
                      <w:rFonts w:hint="eastAsia"/>
                      <w:color w:val="auto"/>
                      <w:sz w:val="22"/>
                      <w:szCs w:val="22"/>
                      <w:lang w:eastAsia="zh-CN"/>
                    </w:rPr>
                    <w:t>）</w:t>
                  </w:r>
                  <w:r>
                    <w:rPr>
                      <w:color w:val="auto"/>
                      <w:sz w:val="22"/>
                      <w:szCs w:val="22"/>
                    </w:rPr>
                    <w:t>集中区、食品产业园、五港镇工业集中区、五港</w:t>
                  </w:r>
                  <w:r>
                    <w:rPr>
                      <w:rFonts w:hint="eastAsia"/>
                      <w:color w:val="auto"/>
                      <w:sz w:val="22"/>
                      <w:szCs w:val="22"/>
                    </w:rPr>
                    <w:t>镇</w:t>
                  </w:r>
                  <w:r>
                    <w:rPr>
                      <w:color w:val="auto"/>
                      <w:sz w:val="22"/>
                      <w:szCs w:val="22"/>
                    </w:rPr>
                    <w:t>工业集中区拓展区</w:t>
                  </w:r>
                  <w:r>
                    <w:rPr>
                      <w:rFonts w:hint="eastAsia"/>
                      <w:color w:val="auto"/>
                      <w:sz w:val="22"/>
                      <w:szCs w:val="22"/>
                      <w:lang w:eastAsia="zh-CN"/>
                    </w:rPr>
                    <w:t>（</w:t>
                  </w:r>
                  <w:r>
                    <w:rPr>
                      <w:color w:val="auto"/>
                      <w:sz w:val="22"/>
                      <w:szCs w:val="22"/>
                    </w:rPr>
                    <w:t>再生纸产业</w:t>
                  </w:r>
                  <w:r>
                    <w:rPr>
                      <w:rFonts w:hint="eastAsia"/>
                      <w:color w:val="auto"/>
                      <w:sz w:val="22"/>
                      <w:szCs w:val="22"/>
                    </w:rPr>
                    <w:t>园</w:t>
                  </w:r>
                  <w:r>
                    <w:rPr>
                      <w:rFonts w:hint="eastAsia"/>
                      <w:color w:val="auto"/>
                      <w:sz w:val="22"/>
                      <w:szCs w:val="22"/>
                      <w:lang w:eastAsia="zh-CN"/>
                    </w:rPr>
                    <w:t>）</w:t>
                  </w:r>
                  <w:r>
                    <w:rPr>
                      <w:color w:val="auto"/>
                      <w:sz w:val="22"/>
                      <w:szCs w:val="22"/>
                    </w:rPr>
                    <w:t>、石湖镇瓦房工业集中区、石湖镇外口工业集中区、石湖镇东兴</w:t>
                  </w:r>
                  <w:r>
                    <w:rPr>
                      <w:rFonts w:hint="eastAsia"/>
                      <w:color w:val="auto"/>
                      <w:sz w:val="22"/>
                      <w:szCs w:val="22"/>
                      <w:lang w:eastAsia="zh-CN"/>
                    </w:rPr>
                    <w:t>工业</w:t>
                  </w:r>
                  <w:r>
                    <w:rPr>
                      <w:color w:val="auto"/>
                      <w:sz w:val="22"/>
                      <w:szCs w:val="22"/>
                    </w:rPr>
                    <w:t>集中区、保滩街道（周集</w:t>
                  </w:r>
                  <w:r>
                    <w:rPr>
                      <w:rFonts w:hint="eastAsia"/>
                      <w:color w:val="auto"/>
                      <w:sz w:val="22"/>
                      <w:szCs w:val="22"/>
                      <w:lang w:eastAsia="zh-CN"/>
                    </w:rPr>
                    <w:t>）</w:t>
                  </w:r>
                  <w:r>
                    <w:rPr>
                      <w:color w:val="auto"/>
                      <w:sz w:val="22"/>
                      <w:szCs w:val="22"/>
                    </w:rPr>
                    <w:t>工业集中区、保滩街道（十堡</w:t>
                  </w:r>
                  <w:r>
                    <w:rPr>
                      <w:rFonts w:hint="eastAsia"/>
                      <w:color w:val="auto"/>
                      <w:sz w:val="22"/>
                      <w:szCs w:val="22"/>
                      <w:lang w:eastAsia="zh-CN"/>
                    </w:rPr>
                    <w:t>）</w:t>
                  </w:r>
                  <w:r>
                    <w:rPr>
                      <w:color w:val="auto"/>
                      <w:sz w:val="22"/>
                      <w:szCs w:val="22"/>
                    </w:rPr>
                    <w:t>工业集中区、淮安（薛行）循环经济产业园西区</w:t>
                  </w:r>
                </w:p>
              </w:tc>
              <w:tc>
                <w:tcPr>
                  <w:tcW w:w="890" w:type="pct"/>
                  <w:tcBorders>
                    <w:top w:val="single" w:color="auto" w:sz="12" w:space="0"/>
                    <w:bottom w:val="single" w:color="auto" w:sz="12" w:space="0"/>
                    <w:right w:val="nil"/>
                  </w:tcBorders>
                  <w:vAlign w:val="center"/>
                </w:tcPr>
                <w:p w14:paraId="5F224AC8">
                  <w:pPr>
                    <w:jc w:val="center"/>
                    <w:rPr>
                      <w:color w:val="auto"/>
                      <w:sz w:val="22"/>
                      <w:szCs w:val="22"/>
                    </w:rPr>
                  </w:pPr>
                  <w:r>
                    <w:rPr>
                      <w:color w:val="auto"/>
                      <w:sz w:val="22"/>
                      <w:szCs w:val="22"/>
                    </w:rPr>
                    <w:t>19个</w:t>
                  </w:r>
                </w:p>
                <w:p w14:paraId="1F70E35E">
                  <w:pPr>
                    <w:jc w:val="center"/>
                    <w:rPr>
                      <w:color w:val="auto"/>
                      <w:sz w:val="22"/>
                      <w:szCs w:val="22"/>
                    </w:rPr>
                  </w:pPr>
                  <w:r>
                    <w:rPr>
                      <w:color w:val="auto"/>
                      <w:sz w:val="22"/>
                      <w:szCs w:val="22"/>
                    </w:rPr>
                    <w:t>保滩街道、徐集乡</w:t>
                  </w:r>
                  <w:r>
                    <w:rPr>
                      <w:rFonts w:hint="eastAsia"/>
                      <w:color w:val="auto"/>
                      <w:sz w:val="22"/>
                      <w:szCs w:val="22"/>
                      <w:lang w:eastAsia="zh-CN"/>
                    </w:rPr>
                    <w:t>（</w:t>
                  </w:r>
                  <w:r>
                    <w:rPr>
                      <w:color w:val="auto"/>
                      <w:sz w:val="22"/>
                      <w:szCs w:val="22"/>
                    </w:rPr>
                    <w:t>涟城街道</w:t>
                  </w:r>
                  <w:r>
                    <w:rPr>
                      <w:rFonts w:hint="eastAsia"/>
                      <w:color w:val="auto"/>
                      <w:sz w:val="22"/>
                      <w:szCs w:val="22"/>
                      <w:lang w:eastAsia="zh-CN"/>
                    </w:rPr>
                    <w:t>）</w:t>
                  </w:r>
                  <w:r>
                    <w:rPr>
                      <w:color w:val="auto"/>
                      <w:sz w:val="22"/>
                      <w:szCs w:val="22"/>
                    </w:rPr>
                    <w:t>、黄营镇、涟城街道、高沟镇、唐集镇、大东镇、五港镇、梁岔镇、朱码街道、岔庙镇、东胡集镇、南集镇、义兴镇</w:t>
                  </w:r>
                  <w:r>
                    <w:rPr>
                      <w:rFonts w:hint="eastAsia"/>
                      <w:color w:val="auto"/>
                      <w:sz w:val="22"/>
                      <w:szCs w:val="22"/>
                      <w:lang w:eastAsia="zh-CN"/>
                    </w:rPr>
                    <w:t>（</w:t>
                  </w:r>
                  <w:r>
                    <w:rPr>
                      <w:color w:val="auto"/>
                      <w:sz w:val="22"/>
                      <w:szCs w:val="22"/>
                    </w:rPr>
                    <w:t>红窑镇</w:t>
                  </w:r>
                  <w:r>
                    <w:rPr>
                      <w:rFonts w:hint="eastAsia"/>
                      <w:color w:val="auto"/>
                      <w:sz w:val="22"/>
                      <w:szCs w:val="22"/>
                      <w:lang w:eastAsia="zh-CN"/>
                    </w:rPr>
                    <w:t>）</w:t>
                  </w:r>
                  <w:r>
                    <w:rPr>
                      <w:color w:val="auto"/>
                      <w:sz w:val="22"/>
                      <w:szCs w:val="22"/>
                    </w:rPr>
                    <w:t>、成集镇、红窑镇、陈师街道、前进镇</w:t>
                  </w:r>
                  <w:r>
                    <w:rPr>
                      <w:rFonts w:hint="eastAsia"/>
                      <w:color w:val="auto"/>
                      <w:sz w:val="22"/>
                      <w:szCs w:val="22"/>
                      <w:lang w:eastAsia="zh-CN"/>
                    </w:rPr>
                    <w:t>（</w:t>
                  </w:r>
                  <w:r>
                    <w:rPr>
                      <w:color w:val="auto"/>
                      <w:sz w:val="22"/>
                      <w:szCs w:val="22"/>
                    </w:rPr>
                    <w:t>高沟镇</w:t>
                  </w:r>
                  <w:r>
                    <w:rPr>
                      <w:rFonts w:hint="eastAsia"/>
                      <w:color w:val="auto"/>
                      <w:sz w:val="22"/>
                      <w:szCs w:val="22"/>
                      <w:lang w:eastAsia="zh-CN"/>
                    </w:rPr>
                    <w:t>）</w:t>
                  </w:r>
                  <w:r>
                    <w:rPr>
                      <w:color w:val="auto"/>
                      <w:sz w:val="22"/>
                      <w:szCs w:val="22"/>
                    </w:rPr>
                    <w:t>、石湖镇</w:t>
                  </w:r>
                </w:p>
              </w:tc>
            </w:tr>
          </w:tbl>
          <w:p w14:paraId="0F80D146">
            <w:pPr>
              <w:autoSpaceDE w:val="0"/>
              <w:autoSpaceDN w:val="0"/>
              <w:adjustRightInd w:val="0"/>
              <w:snapToGrid w:val="0"/>
              <w:spacing w:line="500" w:lineRule="exact"/>
              <w:ind w:firstLine="480" w:firstLineChars="200"/>
              <w:outlineLvl w:val="3"/>
              <w:rPr>
                <w:rFonts w:ascii="宋体" w:eastAsia="仿宋_GB2312" w:cs="宋体"/>
                <w:b/>
                <w:color w:val="auto"/>
                <w:sz w:val="24"/>
              </w:rPr>
            </w:pPr>
            <w:r>
              <w:rPr>
                <w:bCs/>
                <w:color w:val="auto"/>
                <w:sz w:val="24"/>
              </w:rPr>
              <w:t>本项目位于</w:t>
            </w:r>
            <w:r>
              <w:rPr>
                <w:rFonts w:hint="eastAsia"/>
                <w:color w:val="auto"/>
                <w:kern w:val="0"/>
                <w:sz w:val="24"/>
                <w:lang w:val="en-US" w:eastAsia="zh-CN"/>
              </w:rPr>
              <w:t>江苏涟水经济开发区涟水路3号</w:t>
            </w:r>
            <w:r>
              <w:rPr>
                <w:bCs/>
                <w:color w:val="auto"/>
                <w:sz w:val="24"/>
              </w:rPr>
              <w:t>，属于淮安市环境管控单元名录中的重点管控单元。</w:t>
            </w:r>
            <w:r>
              <w:rPr>
                <w:rFonts w:hint="eastAsia"/>
                <w:bCs/>
                <w:color w:val="auto"/>
                <w:sz w:val="24"/>
              </w:rPr>
              <w:t>对照</w:t>
            </w:r>
            <w:r>
              <w:rPr>
                <w:bCs/>
                <w:color w:val="auto"/>
                <w:sz w:val="24"/>
              </w:rPr>
              <w:t>《市政府关于印发淮安市</w:t>
            </w:r>
            <w:r>
              <w:rPr>
                <w:rFonts w:hint="eastAsia"/>
                <w:bCs/>
                <w:color w:val="auto"/>
                <w:sz w:val="24"/>
              </w:rPr>
              <w:t>“</w:t>
            </w:r>
            <w:r>
              <w:rPr>
                <w:bCs/>
                <w:color w:val="auto"/>
                <w:sz w:val="24"/>
              </w:rPr>
              <w:t>三线一单</w:t>
            </w:r>
            <w:r>
              <w:rPr>
                <w:rFonts w:hint="eastAsia"/>
                <w:bCs/>
                <w:color w:val="auto"/>
                <w:sz w:val="24"/>
              </w:rPr>
              <w:t>”</w:t>
            </w:r>
            <w:r>
              <w:rPr>
                <w:bCs/>
                <w:color w:val="auto"/>
                <w:sz w:val="24"/>
              </w:rPr>
              <w:t>生态环境分区管控方案的通知》（淮政发〔2020〕16号）</w:t>
            </w:r>
            <w:r>
              <w:rPr>
                <w:rFonts w:hint="eastAsia"/>
                <w:bCs/>
                <w:color w:val="auto"/>
                <w:sz w:val="24"/>
              </w:rPr>
              <w:t>、</w:t>
            </w:r>
            <w:r>
              <w:rPr>
                <w:bCs/>
                <w:color w:val="auto"/>
                <w:sz w:val="24"/>
              </w:rPr>
              <w:t>《市政府办公室关于对淮安市“三线一单”生态环境分区管控方案内容修改的通知》（淮政办函〔2022〕5号）和《淮安市生态环境分区管控动态更新成果》（</w:t>
            </w:r>
            <w:r>
              <w:rPr>
                <w:rFonts w:hint="eastAsia"/>
                <w:bCs/>
                <w:color w:val="auto"/>
                <w:sz w:val="24"/>
              </w:rPr>
              <w:t>2023版</w:t>
            </w:r>
            <w:r>
              <w:rPr>
                <w:bCs/>
                <w:color w:val="auto"/>
                <w:sz w:val="24"/>
              </w:rPr>
              <w:t>）相符性分析见表1-</w:t>
            </w:r>
            <w:r>
              <w:rPr>
                <w:rFonts w:hint="eastAsia"/>
                <w:bCs/>
                <w:color w:val="auto"/>
                <w:sz w:val="24"/>
                <w:lang w:val="en-US" w:eastAsia="zh-CN"/>
              </w:rPr>
              <w:t>5</w:t>
            </w:r>
            <w:r>
              <w:rPr>
                <w:bCs/>
                <w:color w:val="auto"/>
                <w:sz w:val="24"/>
              </w:rPr>
              <w:t>。</w:t>
            </w:r>
            <w:r>
              <w:rPr>
                <w:rFonts w:hint="eastAsia" w:ascii="宋体" w:hAnsi="宋体" w:cs="宋体"/>
                <w:bCs/>
                <w:color w:val="auto"/>
                <w:sz w:val="24"/>
              </w:rPr>
              <w:t>本项目与《淮安市“三线一单”生态环境分区管控方案》中“淮安市环境管控单元图”位置关系见附图</w:t>
            </w:r>
            <w:r>
              <w:rPr>
                <w:rFonts w:hint="eastAsia"/>
                <w:bCs/>
                <w:color w:val="auto"/>
                <w:sz w:val="24"/>
                <w:lang w:val="en-US" w:eastAsia="zh-CN"/>
              </w:rPr>
              <w:t>4</w:t>
            </w:r>
            <w:r>
              <w:rPr>
                <w:rFonts w:hint="eastAsia" w:ascii="宋体" w:hAnsi="宋体" w:cs="宋体"/>
                <w:bCs/>
                <w:color w:val="auto"/>
                <w:sz w:val="24"/>
              </w:rPr>
              <w:t>。</w:t>
            </w:r>
          </w:p>
          <w:p w14:paraId="2B149C75">
            <w:pPr>
              <w:adjustRightInd w:val="0"/>
              <w:snapToGrid w:val="0"/>
              <w:spacing w:before="120" w:beforeLines="50"/>
              <w:jc w:val="center"/>
              <w:rPr>
                <w:rFonts w:hAnsiTheme="minorEastAsia" w:eastAsiaTheme="minorEastAsia"/>
                <w:b/>
                <w:bCs/>
                <w:color w:val="auto"/>
                <w:sz w:val="22"/>
              </w:rPr>
            </w:pPr>
          </w:p>
          <w:p w14:paraId="2769408A">
            <w:pPr>
              <w:adjustRightInd w:val="0"/>
              <w:snapToGrid w:val="0"/>
              <w:spacing w:before="120" w:beforeLines="50"/>
              <w:jc w:val="center"/>
              <w:rPr>
                <w:rFonts w:hAnsiTheme="minorEastAsia" w:eastAsiaTheme="minorEastAsia"/>
                <w:b/>
                <w:bCs/>
                <w:color w:val="auto"/>
                <w:sz w:val="22"/>
              </w:rPr>
            </w:pPr>
          </w:p>
          <w:p w14:paraId="65B26B5D">
            <w:pPr>
              <w:adjustRightInd w:val="0"/>
              <w:snapToGrid w:val="0"/>
              <w:spacing w:before="120" w:beforeLines="50"/>
              <w:jc w:val="center"/>
              <w:rPr>
                <w:rFonts w:hAnsiTheme="minorEastAsia" w:eastAsiaTheme="minorEastAsia"/>
                <w:b/>
                <w:bCs/>
                <w:color w:val="auto"/>
                <w:sz w:val="22"/>
              </w:rPr>
            </w:pPr>
          </w:p>
          <w:p w14:paraId="17FF9F8F">
            <w:pPr>
              <w:adjustRightInd w:val="0"/>
              <w:snapToGrid w:val="0"/>
              <w:spacing w:before="120" w:beforeLines="50"/>
              <w:jc w:val="center"/>
              <w:rPr>
                <w:rFonts w:hAnsiTheme="minorEastAsia" w:eastAsiaTheme="minorEastAsia"/>
                <w:b/>
                <w:bCs/>
                <w:color w:val="auto"/>
                <w:sz w:val="22"/>
              </w:rPr>
            </w:pPr>
          </w:p>
          <w:p w14:paraId="31BE77E1">
            <w:pPr>
              <w:adjustRightInd w:val="0"/>
              <w:snapToGrid w:val="0"/>
              <w:spacing w:before="120" w:beforeLines="50"/>
              <w:jc w:val="center"/>
              <w:rPr>
                <w:rFonts w:eastAsiaTheme="minorEastAsia"/>
                <w:b/>
                <w:bCs/>
                <w:color w:val="auto"/>
                <w:sz w:val="22"/>
              </w:rPr>
            </w:pPr>
            <w:r>
              <w:rPr>
                <w:rFonts w:hAnsiTheme="minorEastAsia" w:eastAsiaTheme="minorEastAsia"/>
                <w:b/>
                <w:bCs/>
                <w:color w:val="auto"/>
                <w:sz w:val="22"/>
              </w:rPr>
              <w:t>表</w:t>
            </w:r>
            <w:r>
              <w:rPr>
                <w:rFonts w:eastAsiaTheme="minorEastAsia"/>
                <w:b/>
                <w:bCs/>
                <w:color w:val="auto"/>
                <w:sz w:val="22"/>
              </w:rPr>
              <w:t>1-</w:t>
            </w:r>
            <w:r>
              <w:rPr>
                <w:rFonts w:hint="eastAsia" w:eastAsiaTheme="minorEastAsia"/>
                <w:b/>
                <w:bCs/>
                <w:color w:val="auto"/>
                <w:sz w:val="22"/>
                <w:lang w:val="en-US" w:eastAsia="zh-CN"/>
              </w:rPr>
              <w:t>6</w:t>
            </w:r>
            <w:r>
              <w:rPr>
                <w:rFonts w:hint="eastAsia" w:eastAsiaTheme="minorEastAsia"/>
                <w:b/>
                <w:bCs/>
                <w:color w:val="auto"/>
                <w:sz w:val="22"/>
              </w:rPr>
              <w:t xml:space="preserve"> </w:t>
            </w:r>
            <w:r>
              <w:rPr>
                <w:rFonts w:eastAsiaTheme="minorEastAsia"/>
                <w:b/>
                <w:bCs/>
                <w:color w:val="auto"/>
                <w:sz w:val="22"/>
              </w:rPr>
              <w:t xml:space="preserve"> </w:t>
            </w:r>
            <w:r>
              <w:rPr>
                <w:rFonts w:hint="eastAsia" w:hAnsiTheme="minorEastAsia" w:eastAsiaTheme="minorEastAsia"/>
                <w:b/>
                <w:color w:val="auto"/>
                <w:sz w:val="22"/>
                <w:lang w:eastAsia="zh-CN"/>
              </w:rPr>
              <w:t>扩建</w:t>
            </w:r>
            <w:r>
              <w:rPr>
                <w:rFonts w:hAnsiTheme="minorEastAsia" w:eastAsiaTheme="minorEastAsia"/>
                <w:b/>
                <w:bCs/>
                <w:snapToGrid w:val="0"/>
                <w:color w:val="auto"/>
                <w:kern w:val="0"/>
                <w:sz w:val="22"/>
              </w:rPr>
              <w:t>与《</w:t>
            </w:r>
            <w:r>
              <w:rPr>
                <w:rFonts w:hAnsiTheme="minorEastAsia" w:eastAsiaTheme="minorEastAsia"/>
                <w:b/>
                <w:bCs/>
                <w:color w:val="auto"/>
                <w:sz w:val="22"/>
              </w:rPr>
              <w:t>淮安市</w:t>
            </w:r>
            <w:r>
              <w:rPr>
                <w:rFonts w:eastAsiaTheme="minorEastAsia"/>
                <w:b/>
                <w:bCs/>
                <w:color w:val="auto"/>
                <w:sz w:val="22"/>
              </w:rPr>
              <w:t>“</w:t>
            </w:r>
            <w:r>
              <w:rPr>
                <w:rFonts w:hAnsiTheme="minorEastAsia" w:eastAsiaTheme="minorEastAsia"/>
                <w:b/>
                <w:bCs/>
                <w:color w:val="auto"/>
                <w:sz w:val="22"/>
              </w:rPr>
              <w:t>三线一单</w:t>
            </w:r>
            <w:r>
              <w:rPr>
                <w:rFonts w:eastAsiaTheme="minorEastAsia"/>
                <w:b/>
                <w:bCs/>
                <w:color w:val="auto"/>
                <w:sz w:val="22"/>
              </w:rPr>
              <w:t>”</w:t>
            </w:r>
            <w:r>
              <w:rPr>
                <w:rFonts w:hAnsiTheme="minorEastAsia" w:eastAsiaTheme="minorEastAsia"/>
                <w:b/>
                <w:bCs/>
                <w:color w:val="auto"/>
                <w:sz w:val="22"/>
              </w:rPr>
              <w:t>生态环境分区管控方案》相符性分析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9"/>
              <w:gridCol w:w="4665"/>
              <w:gridCol w:w="2263"/>
              <w:gridCol w:w="751"/>
            </w:tblGrid>
            <w:tr w14:paraId="570C5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12" w:space="0"/>
                    <w:left w:val="nil"/>
                    <w:bottom w:val="single" w:color="auto" w:sz="4" w:space="0"/>
                    <w:right w:val="single" w:color="auto" w:sz="4" w:space="0"/>
                  </w:tcBorders>
                  <w:vAlign w:val="center"/>
                </w:tcPr>
                <w:p w14:paraId="2CBA9F5C">
                  <w:pPr>
                    <w:adjustRightInd w:val="0"/>
                    <w:snapToGrid w:val="0"/>
                    <w:jc w:val="center"/>
                    <w:rPr>
                      <w:rFonts w:eastAsiaTheme="minorEastAsia"/>
                      <w:b/>
                      <w:bCs/>
                      <w:color w:val="auto"/>
                      <w:sz w:val="22"/>
                      <w:szCs w:val="22"/>
                    </w:rPr>
                  </w:pPr>
                  <w:r>
                    <w:rPr>
                      <w:rFonts w:hAnsiTheme="minorEastAsia" w:eastAsiaTheme="minorEastAsia"/>
                      <w:b/>
                      <w:bCs/>
                      <w:color w:val="auto"/>
                      <w:sz w:val="22"/>
                      <w:szCs w:val="22"/>
                    </w:rPr>
                    <w:t>类型</w:t>
                  </w:r>
                </w:p>
              </w:tc>
              <w:tc>
                <w:tcPr>
                  <w:tcW w:w="2797" w:type="pct"/>
                  <w:tcBorders>
                    <w:top w:val="single" w:color="auto" w:sz="12" w:space="0"/>
                    <w:left w:val="single" w:color="auto" w:sz="4" w:space="0"/>
                    <w:bottom w:val="single" w:color="auto" w:sz="4" w:space="0"/>
                    <w:right w:val="single" w:color="auto" w:sz="4" w:space="0"/>
                  </w:tcBorders>
                  <w:vAlign w:val="center"/>
                </w:tcPr>
                <w:p w14:paraId="5A0B54FF">
                  <w:pPr>
                    <w:adjustRightInd w:val="0"/>
                    <w:snapToGrid w:val="0"/>
                    <w:jc w:val="center"/>
                    <w:rPr>
                      <w:rFonts w:eastAsiaTheme="minorEastAsia"/>
                      <w:b/>
                      <w:bCs/>
                      <w:color w:val="auto"/>
                      <w:sz w:val="22"/>
                      <w:szCs w:val="22"/>
                    </w:rPr>
                  </w:pPr>
                  <w:r>
                    <w:rPr>
                      <w:rFonts w:hAnsiTheme="minorEastAsia" w:eastAsiaTheme="minorEastAsia"/>
                      <w:b/>
                      <w:bCs/>
                      <w:color w:val="auto"/>
                      <w:sz w:val="22"/>
                      <w:szCs w:val="22"/>
                    </w:rPr>
                    <w:t>重点管控要求</w:t>
                  </w:r>
                </w:p>
              </w:tc>
              <w:tc>
                <w:tcPr>
                  <w:tcW w:w="1357" w:type="pct"/>
                  <w:tcBorders>
                    <w:top w:val="single" w:color="auto" w:sz="12" w:space="0"/>
                    <w:left w:val="single" w:color="auto" w:sz="4" w:space="0"/>
                    <w:bottom w:val="single" w:color="auto" w:sz="4" w:space="0"/>
                    <w:right w:val="single" w:color="auto" w:sz="4" w:space="0"/>
                  </w:tcBorders>
                  <w:vAlign w:val="center"/>
                </w:tcPr>
                <w:p w14:paraId="0202D640">
                  <w:pPr>
                    <w:adjustRightInd w:val="0"/>
                    <w:snapToGrid w:val="0"/>
                    <w:jc w:val="center"/>
                    <w:rPr>
                      <w:rFonts w:eastAsiaTheme="minorEastAsia"/>
                      <w:b/>
                      <w:bCs/>
                      <w:color w:val="auto"/>
                      <w:sz w:val="22"/>
                      <w:szCs w:val="22"/>
                    </w:rPr>
                  </w:pPr>
                  <w:r>
                    <w:rPr>
                      <w:rFonts w:hint="eastAsia" w:hAnsiTheme="minorEastAsia" w:eastAsiaTheme="minorEastAsia"/>
                      <w:b/>
                      <w:color w:val="auto"/>
                      <w:sz w:val="22"/>
                      <w:szCs w:val="22"/>
                      <w:lang w:eastAsia="zh-CN"/>
                    </w:rPr>
                    <w:t>扩建项目</w:t>
                  </w:r>
                  <w:r>
                    <w:rPr>
                      <w:rFonts w:hAnsiTheme="minorEastAsia" w:eastAsiaTheme="minorEastAsia"/>
                      <w:b/>
                      <w:bCs/>
                      <w:color w:val="auto"/>
                      <w:sz w:val="22"/>
                      <w:szCs w:val="22"/>
                    </w:rPr>
                    <w:t>情况</w:t>
                  </w:r>
                </w:p>
              </w:tc>
              <w:tc>
                <w:tcPr>
                  <w:tcW w:w="450" w:type="pct"/>
                  <w:tcBorders>
                    <w:top w:val="single" w:color="auto" w:sz="12" w:space="0"/>
                    <w:left w:val="single" w:color="auto" w:sz="4" w:space="0"/>
                    <w:bottom w:val="single" w:color="auto" w:sz="4" w:space="0"/>
                    <w:right w:val="nil"/>
                  </w:tcBorders>
                  <w:vAlign w:val="center"/>
                </w:tcPr>
                <w:p w14:paraId="7DC37265">
                  <w:pPr>
                    <w:adjustRightInd w:val="0"/>
                    <w:snapToGrid w:val="0"/>
                    <w:jc w:val="center"/>
                    <w:rPr>
                      <w:rFonts w:eastAsiaTheme="minorEastAsia"/>
                      <w:b/>
                      <w:bCs/>
                      <w:color w:val="auto"/>
                      <w:sz w:val="22"/>
                      <w:szCs w:val="22"/>
                    </w:rPr>
                  </w:pPr>
                  <w:r>
                    <w:rPr>
                      <w:rFonts w:hAnsiTheme="minorEastAsia" w:eastAsiaTheme="minorEastAsia"/>
                      <w:b/>
                      <w:bCs/>
                      <w:color w:val="auto"/>
                      <w:sz w:val="22"/>
                      <w:szCs w:val="22"/>
                    </w:rPr>
                    <w:t>相符性分析</w:t>
                  </w:r>
                </w:p>
              </w:tc>
            </w:tr>
            <w:tr w14:paraId="76A71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4" w:space="0"/>
                    <w:left w:val="nil"/>
                    <w:bottom w:val="single" w:color="auto" w:sz="4" w:space="0"/>
                    <w:right w:val="single" w:color="auto" w:sz="4" w:space="0"/>
                  </w:tcBorders>
                  <w:vAlign w:val="center"/>
                </w:tcPr>
                <w:p w14:paraId="7BA8F19F">
                  <w:pPr>
                    <w:adjustRightInd w:val="0"/>
                    <w:snapToGrid w:val="0"/>
                    <w:jc w:val="center"/>
                    <w:rPr>
                      <w:rFonts w:eastAsiaTheme="minorEastAsia"/>
                      <w:color w:val="auto"/>
                      <w:sz w:val="22"/>
                      <w:szCs w:val="22"/>
                    </w:rPr>
                  </w:pPr>
                  <w:r>
                    <w:rPr>
                      <w:rFonts w:hAnsiTheme="minorEastAsia" w:eastAsiaTheme="minorEastAsia"/>
                      <w:color w:val="auto"/>
                      <w:sz w:val="22"/>
                      <w:szCs w:val="22"/>
                    </w:rPr>
                    <w:t>空间布局约束</w:t>
                  </w:r>
                </w:p>
              </w:tc>
              <w:tc>
                <w:tcPr>
                  <w:tcW w:w="2797" w:type="pct"/>
                  <w:tcBorders>
                    <w:top w:val="single" w:color="auto" w:sz="4" w:space="0"/>
                    <w:left w:val="single" w:color="auto" w:sz="4" w:space="0"/>
                    <w:bottom w:val="single" w:color="auto" w:sz="4" w:space="0"/>
                    <w:right w:val="single" w:color="auto" w:sz="4" w:space="0"/>
                  </w:tcBorders>
                  <w:vAlign w:val="center"/>
                </w:tcPr>
                <w:p w14:paraId="7CAED2C6">
                  <w:pPr>
                    <w:adjustRightInd w:val="0"/>
                    <w:snapToGrid w:val="0"/>
                    <w:jc w:val="left"/>
                    <w:rPr>
                      <w:rFonts w:eastAsiaTheme="minorEastAsia"/>
                      <w:color w:val="auto"/>
                      <w:sz w:val="22"/>
                      <w:szCs w:val="22"/>
                    </w:rPr>
                  </w:pPr>
                  <w:r>
                    <w:rPr>
                      <w:color w:val="auto"/>
                      <w:sz w:val="22"/>
                      <w:szCs w:val="22"/>
                    </w:rPr>
                    <w:t>1.严格执行《中共淮安市委淮安市人民政府关于全面加强生态环境保护坚决打好污染防治攻坚战的实施意见》（淮发〔2018〕33号）、《淮安市打赢蓝天保卫战三年行动计划实施方案》（淮政发〔2018〕113号）、《淮安市“两减六治三提升”专项行动方案》（淮发〔2017〕26号）、《淮安市土壤污染防治工作方案》（淮政发〔2017〕86号）、《淮安市水污染防治工作方案》（淮政发〔2016〕95号）等文件要求。2.严格执行《中共淮安市委淮安市人民政府关于优化全市空间功能定位和产业布局的意见》（淮发〔2016〕37号）、《淮安市产业结构调整指导目录（2018</w:t>
                  </w:r>
                  <w:r>
                    <w:rPr>
                      <w:rFonts w:hint="eastAsia"/>
                      <w:color w:val="auto"/>
                      <w:sz w:val="22"/>
                      <w:szCs w:val="22"/>
                      <w:lang w:eastAsia="zh-CN"/>
                    </w:rPr>
                    <w:t>—</w:t>
                  </w:r>
                  <w:r>
                    <w:rPr>
                      <w:color w:val="auto"/>
                      <w:sz w:val="22"/>
                      <w:szCs w:val="22"/>
                    </w:rPr>
                    <w:t>2020年版）》（淮政办发〔2018〕6号）等文件要求，重点鼓励休闲农业、电子信息、高端装备制造、新能源汽车及零部件、金融、旅游、健康养生等资源节约型、环境友好型产业。对钢铁、电解铝、水泥、平板玻璃、船舶等产能严重过剩行业，以及酒精、造纸、皮革、农药、橡胶、水泥、金属冶炼等高耗能、高污染、技术落后的产业进行限制和禁止。同时，对属于限制类的现有生产能力，允许企业开展</w:t>
                  </w:r>
                  <w:r>
                    <w:rPr>
                      <w:rFonts w:hint="eastAsia"/>
                      <w:color w:val="auto"/>
                      <w:sz w:val="22"/>
                      <w:szCs w:val="22"/>
                      <w:lang w:eastAsia="zh-CN"/>
                    </w:rPr>
                    <w:t>改建</w:t>
                  </w:r>
                  <w:r>
                    <w:rPr>
                      <w:color w:val="auto"/>
                      <w:sz w:val="22"/>
                      <w:szCs w:val="22"/>
                    </w:rPr>
                    <w:t>，推动产业转型升级。3.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4.根据《中共淮安市委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5.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w:t>
                  </w:r>
                  <w:r>
                    <w:rPr>
                      <w:rFonts w:hint="eastAsia"/>
                      <w:color w:val="auto"/>
                      <w:sz w:val="22"/>
                      <w:szCs w:val="22"/>
                      <w:lang w:eastAsia="zh-CN"/>
                    </w:rPr>
                    <w:t>工地</w:t>
                  </w:r>
                  <w:r>
                    <w:rPr>
                      <w:color w:val="auto"/>
                      <w:sz w:val="22"/>
                      <w:szCs w:val="22"/>
                    </w:rPr>
                    <w:t>和污染物排放总量的情况下可以实施产业政策鼓励类、允许类的</w:t>
                  </w:r>
                  <w:r>
                    <w:rPr>
                      <w:rFonts w:hint="eastAsia"/>
                      <w:color w:val="auto"/>
                      <w:sz w:val="22"/>
                      <w:szCs w:val="22"/>
                      <w:lang w:eastAsia="zh-CN"/>
                    </w:rPr>
                    <w:t>改建</w:t>
                  </w:r>
                  <w:r>
                    <w:rPr>
                      <w:color w:val="auto"/>
                      <w:sz w:val="22"/>
                      <w:szCs w:val="22"/>
                    </w:rPr>
                    <w:t>项目。</w:t>
                  </w:r>
                </w:p>
              </w:tc>
              <w:tc>
                <w:tcPr>
                  <w:tcW w:w="1357" w:type="pct"/>
                  <w:tcBorders>
                    <w:top w:val="single" w:color="auto" w:sz="4" w:space="0"/>
                    <w:left w:val="single" w:color="auto" w:sz="4" w:space="0"/>
                    <w:bottom w:val="single" w:color="auto" w:sz="4" w:space="0"/>
                    <w:right w:val="single" w:color="auto" w:sz="4" w:space="0"/>
                  </w:tcBorders>
                  <w:vAlign w:val="center"/>
                </w:tcPr>
                <w:p w14:paraId="6EEDE447">
                  <w:pPr>
                    <w:adjustRightInd w:val="0"/>
                    <w:snapToGrid w:val="0"/>
                    <w:jc w:val="left"/>
                    <w:rPr>
                      <w:rFonts w:eastAsiaTheme="minorEastAsia"/>
                      <w:color w:val="auto"/>
                      <w:sz w:val="22"/>
                      <w:szCs w:val="22"/>
                    </w:rPr>
                  </w:pPr>
                  <w:r>
                    <w:rPr>
                      <w:rFonts w:hint="eastAsia"/>
                      <w:color w:val="auto"/>
                      <w:sz w:val="22"/>
                      <w:szCs w:val="22"/>
                      <w:lang w:eastAsia="zh-CN"/>
                    </w:rPr>
                    <w:t>本</w:t>
                  </w:r>
                  <w:r>
                    <w:rPr>
                      <w:color w:val="auto"/>
                      <w:sz w:val="22"/>
                      <w:szCs w:val="22"/>
                    </w:rPr>
                    <w:t>项目属于</w:t>
                  </w:r>
                  <w:r>
                    <w:rPr>
                      <w:rFonts w:hint="eastAsia"/>
                      <w:color w:val="auto"/>
                      <w:sz w:val="22"/>
                      <w:szCs w:val="22"/>
                      <w:lang w:eastAsia="zh-CN"/>
                    </w:rPr>
                    <w:t>食品制造业</w:t>
                  </w:r>
                  <w:r>
                    <w:rPr>
                      <w:color w:val="auto"/>
                      <w:sz w:val="22"/>
                      <w:szCs w:val="22"/>
                    </w:rPr>
                    <w:t>，位于</w:t>
                  </w:r>
                  <w:r>
                    <w:rPr>
                      <w:rFonts w:hint="eastAsia"/>
                      <w:color w:val="auto"/>
                      <w:sz w:val="22"/>
                      <w:szCs w:val="22"/>
                      <w:lang w:val="en-US" w:eastAsia="zh-CN"/>
                    </w:rPr>
                    <w:t>江苏涟水经济开发区涟水路3号</w:t>
                  </w:r>
                  <w:r>
                    <w:rPr>
                      <w:color w:val="auto"/>
                      <w:sz w:val="22"/>
                      <w:szCs w:val="22"/>
                    </w:rPr>
                    <w:t>，不属于高耗能、高污染、技术落后的产业，不属于新建、扩建化工项目。不属于限制类和禁止类行业，属于允许入园项目，满足空间布局管控要求。</w:t>
                  </w:r>
                  <w:r>
                    <w:rPr>
                      <w:rFonts w:hint="eastAsia"/>
                      <w:color w:val="auto"/>
                      <w:sz w:val="22"/>
                      <w:szCs w:val="22"/>
                    </w:rPr>
                    <w:t xml:space="preserve"> </w:t>
                  </w:r>
                </w:p>
              </w:tc>
              <w:tc>
                <w:tcPr>
                  <w:tcW w:w="450" w:type="pct"/>
                  <w:tcBorders>
                    <w:top w:val="single" w:color="auto" w:sz="4" w:space="0"/>
                    <w:left w:val="single" w:color="auto" w:sz="4" w:space="0"/>
                    <w:bottom w:val="single" w:color="auto" w:sz="4" w:space="0"/>
                    <w:right w:val="nil"/>
                  </w:tcBorders>
                  <w:vAlign w:val="center"/>
                </w:tcPr>
                <w:p w14:paraId="6522A021">
                  <w:pPr>
                    <w:adjustRightInd w:val="0"/>
                    <w:snapToGrid w:val="0"/>
                    <w:jc w:val="center"/>
                    <w:rPr>
                      <w:rFonts w:eastAsiaTheme="minorEastAsia"/>
                      <w:color w:val="auto"/>
                      <w:sz w:val="22"/>
                      <w:szCs w:val="22"/>
                    </w:rPr>
                  </w:pPr>
                  <w:r>
                    <w:rPr>
                      <w:rFonts w:hAnsiTheme="minorEastAsia" w:eastAsiaTheme="minorEastAsia"/>
                      <w:color w:val="auto"/>
                      <w:sz w:val="22"/>
                      <w:szCs w:val="22"/>
                    </w:rPr>
                    <w:t>相符</w:t>
                  </w:r>
                </w:p>
              </w:tc>
            </w:tr>
            <w:tr w14:paraId="24237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4" w:space="0"/>
                    <w:left w:val="nil"/>
                    <w:bottom w:val="single" w:color="auto" w:sz="4" w:space="0"/>
                    <w:right w:val="single" w:color="auto" w:sz="4" w:space="0"/>
                  </w:tcBorders>
                  <w:vAlign w:val="center"/>
                </w:tcPr>
                <w:p w14:paraId="3B6F1D93">
                  <w:pPr>
                    <w:adjustRightInd w:val="0"/>
                    <w:snapToGrid w:val="0"/>
                    <w:jc w:val="center"/>
                    <w:rPr>
                      <w:rFonts w:eastAsiaTheme="minorEastAsia"/>
                      <w:color w:val="auto"/>
                      <w:sz w:val="22"/>
                      <w:szCs w:val="22"/>
                    </w:rPr>
                  </w:pPr>
                  <w:r>
                    <w:rPr>
                      <w:color w:val="auto"/>
                      <w:sz w:val="22"/>
                      <w:szCs w:val="22"/>
                    </w:rPr>
                    <w:t>污染物排放管控</w:t>
                  </w:r>
                </w:p>
              </w:tc>
              <w:tc>
                <w:tcPr>
                  <w:tcW w:w="2797" w:type="pct"/>
                  <w:tcBorders>
                    <w:top w:val="single" w:color="auto" w:sz="4" w:space="0"/>
                    <w:left w:val="single" w:color="auto" w:sz="4" w:space="0"/>
                    <w:bottom w:val="single" w:color="auto" w:sz="4" w:space="0"/>
                    <w:right w:val="single" w:color="auto" w:sz="4" w:space="0"/>
                  </w:tcBorders>
                  <w:vAlign w:val="center"/>
                </w:tcPr>
                <w:p w14:paraId="530871B1">
                  <w:pPr>
                    <w:adjustRightInd w:val="0"/>
                    <w:snapToGrid w:val="0"/>
                    <w:jc w:val="left"/>
                    <w:rPr>
                      <w:rFonts w:eastAsiaTheme="minorEastAsia"/>
                      <w:color w:val="auto"/>
                      <w:sz w:val="22"/>
                      <w:szCs w:val="22"/>
                    </w:rPr>
                  </w:pPr>
                  <w:r>
                    <w:rPr>
                      <w:color w:val="auto"/>
                      <w:sz w:val="22"/>
                      <w:szCs w:val="22"/>
                    </w:rPr>
                    <w:t>1.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2.新增源排放标准限制：根据《淮安市打赢蓝天保卫战三年行动计划实施方案》（淮政发〔2018〕113号），全市范围内二氧化硫、氮氧化物、颗粒物、VOCS全面执行大气污染物特别排放限值。</w:t>
                  </w:r>
                </w:p>
              </w:tc>
              <w:tc>
                <w:tcPr>
                  <w:tcW w:w="1357" w:type="pct"/>
                  <w:tcBorders>
                    <w:top w:val="single" w:color="auto" w:sz="4" w:space="0"/>
                    <w:left w:val="single" w:color="auto" w:sz="4" w:space="0"/>
                    <w:bottom w:val="single" w:color="auto" w:sz="4" w:space="0"/>
                    <w:right w:val="single" w:color="auto" w:sz="4" w:space="0"/>
                  </w:tcBorders>
                  <w:vAlign w:val="center"/>
                </w:tcPr>
                <w:p w14:paraId="539717F0">
                  <w:pPr>
                    <w:autoSpaceDE w:val="0"/>
                    <w:autoSpaceDN w:val="0"/>
                    <w:adjustRightInd w:val="0"/>
                    <w:jc w:val="left"/>
                    <w:rPr>
                      <w:rFonts w:eastAsiaTheme="minorEastAsia"/>
                      <w:color w:val="auto"/>
                      <w:sz w:val="22"/>
                      <w:szCs w:val="22"/>
                    </w:rPr>
                  </w:pPr>
                  <w:r>
                    <w:rPr>
                      <w:rFonts w:hint="eastAsia"/>
                      <w:color w:val="auto"/>
                      <w:sz w:val="22"/>
                      <w:szCs w:val="22"/>
                      <w:lang w:eastAsia="zh-CN"/>
                    </w:rPr>
                    <w:t>扩建</w:t>
                  </w:r>
                  <w:r>
                    <w:rPr>
                      <w:color w:val="auto"/>
                      <w:sz w:val="22"/>
                      <w:szCs w:val="22"/>
                    </w:rPr>
                    <w:t>项目排放</w:t>
                  </w:r>
                  <w:r>
                    <w:rPr>
                      <w:rFonts w:hint="eastAsia"/>
                      <w:color w:val="auto"/>
                      <w:sz w:val="22"/>
                      <w:szCs w:val="22"/>
                      <w:lang w:eastAsia="zh-CN"/>
                    </w:rPr>
                    <w:t>的废水总量在厂区内平衡，废气无需申请总量</w:t>
                  </w:r>
                </w:p>
              </w:tc>
              <w:tc>
                <w:tcPr>
                  <w:tcW w:w="450" w:type="pct"/>
                  <w:tcBorders>
                    <w:top w:val="single" w:color="auto" w:sz="4" w:space="0"/>
                    <w:left w:val="single" w:color="auto" w:sz="4" w:space="0"/>
                    <w:bottom w:val="single" w:color="auto" w:sz="4" w:space="0"/>
                    <w:right w:val="nil"/>
                  </w:tcBorders>
                  <w:vAlign w:val="center"/>
                </w:tcPr>
                <w:p w14:paraId="53BEDF83">
                  <w:pPr>
                    <w:adjustRightInd w:val="0"/>
                    <w:snapToGrid w:val="0"/>
                    <w:jc w:val="center"/>
                    <w:rPr>
                      <w:rFonts w:eastAsiaTheme="minorEastAsia"/>
                      <w:color w:val="auto"/>
                      <w:sz w:val="22"/>
                      <w:szCs w:val="22"/>
                    </w:rPr>
                  </w:pPr>
                  <w:r>
                    <w:rPr>
                      <w:rFonts w:hAnsiTheme="minorEastAsia" w:eastAsiaTheme="minorEastAsia"/>
                      <w:color w:val="auto"/>
                      <w:sz w:val="22"/>
                      <w:szCs w:val="22"/>
                    </w:rPr>
                    <w:t>相符</w:t>
                  </w:r>
                </w:p>
              </w:tc>
            </w:tr>
            <w:tr w14:paraId="524F7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4" w:space="0"/>
                    <w:left w:val="nil"/>
                    <w:bottom w:val="single" w:color="auto" w:sz="4" w:space="0"/>
                    <w:right w:val="single" w:color="auto" w:sz="4" w:space="0"/>
                  </w:tcBorders>
                  <w:vAlign w:val="center"/>
                </w:tcPr>
                <w:p w14:paraId="3DCB64B9">
                  <w:pPr>
                    <w:adjustRightInd w:val="0"/>
                    <w:snapToGrid w:val="0"/>
                    <w:jc w:val="center"/>
                    <w:rPr>
                      <w:rFonts w:eastAsiaTheme="minorEastAsia"/>
                      <w:color w:val="auto"/>
                      <w:sz w:val="22"/>
                      <w:szCs w:val="22"/>
                    </w:rPr>
                  </w:pPr>
                  <w:r>
                    <w:rPr>
                      <w:color w:val="auto"/>
                      <w:sz w:val="22"/>
                      <w:szCs w:val="22"/>
                    </w:rPr>
                    <w:t>环境风险防控</w:t>
                  </w:r>
                </w:p>
              </w:tc>
              <w:tc>
                <w:tcPr>
                  <w:tcW w:w="2797" w:type="pct"/>
                  <w:tcBorders>
                    <w:top w:val="single" w:color="auto" w:sz="4" w:space="0"/>
                    <w:left w:val="single" w:color="auto" w:sz="4" w:space="0"/>
                    <w:bottom w:val="single" w:color="auto" w:sz="4" w:space="0"/>
                    <w:right w:val="single" w:color="auto" w:sz="4" w:space="0"/>
                  </w:tcBorders>
                  <w:vAlign w:val="center"/>
                </w:tcPr>
                <w:p w14:paraId="62AB1B25">
                  <w:pPr>
                    <w:adjustRightInd w:val="0"/>
                    <w:snapToGrid w:val="0"/>
                    <w:jc w:val="left"/>
                    <w:rPr>
                      <w:rFonts w:eastAsiaTheme="minorEastAsia"/>
                      <w:color w:val="auto"/>
                      <w:sz w:val="22"/>
                      <w:szCs w:val="22"/>
                    </w:rPr>
                  </w:pPr>
                  <w:r>
                    <w:rPr>
                      <w:color w:val="auto"/>
                      <w:sz w:val="22"/>
                      <w:szCs w:val="22"/>
                    </w:rPr>
                    <w:t>1.严格执行《淮安市突发环境事件应急预案》（淮政办发〔2017〕93号）、《淮安市集中式饮用水源突发污染事件应急预案》（淮政办发〔2010〕173号）、《淮安市核与辐射突发环境事件应急预案》《淮安市重污染天气应急预案》（淮政办发〔2016〕159号）等文件要求，建立区域监测预警系统，建立省市县上下联动、区域之间左右联动等联动应急响应体系，实行联防联控。2.根据《淮安市“两减六治三提升”专项行动方案》（淮发〔2017〕26号），加强县以上城市应急备用水源建设和管理，强化应急体系建设，建立饮用水源地实时监测监控系统，落实水源地日常巡查制度。3.根据《中共淮安市委淮安市人民政府关于全面加强生态环境保护坚决打好污染防治攻坚战的实施意见》（淮发〔2018〕33号），严格控制环境风险项目，整合和提升现有工业集聚区，加快城市建成区内石化、化工、水泥、钢铁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1357" w:type="pct"/>
                  <w:tcBorders>
                    <w:top w:val="single" w:color="auto" w:sz="4" w:space="0"/>
                    <w:left w:val="single" w:color="auto" w:sz="4" w:space="0"/>
                    <w:bottom w:val="single" w:color="auto" w:sz="4" w:space="0"/>
                    <w:right w:val="single" w:color="auto" w:sz="4" w:space="0"/>
                  </w:tcBorders>
                  <w:vAlign w:val="center"/>
                </w:tcPr>
                <w:p w14:paraId="1A222284">
                  <w:pPr>
                    <w:adjustRightInd w:val="0"/>
                    <w:snapToGrid w:val="0"/>
                    <w:jc w:val="left"/>
                    <w:rPr>
                      <w:rFonts w:eastAsiaTheme="minorEastAsia"/>
                      <w:color w:val="auto"/>
                      <w:sz w:val="22"/>
                      <w:szCs w:val="22"/>
                    </w:rPr>
                  </w:pPr>
                  <w:r>
                    <w:rPr>
                      <w:color w:val="auto"/>
                      <w:sz w:val="22"/>
                      <w:szCs w:val="22"/>
                    </w:rPr>
                    <w:t>项目建成后将积极主动加入区域联动系统，响应联防联控，减小环境事件的影响。</w:t>
                  </w:r>
                  <w:r>
                    <w:rPr>
                      <w:rFonts w:hint="eastAsia"/>
                      <w:color w:val="auto"/>
                      <w:sz w:val="22"/>
                      <w:szCs w:val="22"/>
                    </w:rPr>
                    <w:t>企业</w:t>
                  </w:r>
                  <w:r>
                    <w:rPr>
                      <w:color w:val="auto"/>
                      <w:sz w:val="22"/>
                      <w:szCs w:val="22"/>
                    </w:rPr>
                    <w:t>将建立完善的环境应急措施，并将应急装备和储备物资纳入储备体系，积极响应市、县、乡突发环境</w:t>
                  </w:r>
                  <w:r>
                    <w:rPr>
                      <w:rFonts w:hint="eastAsia"/>
                      <w:color w:val="auto"/>
                      <w:sz w:val="22"/>
                      <w:szCs w:val="22"/>
                    </w:rPr>
                    <w:t>事件</w:t>
                  </w:r>
                  <w:r>
                    <w:rPr>
                      <w:color w:val="auto"/>
                      <w:sz w:val="22"/>
                      <w:szCs w:val="22"/>
                    </w:rPr>
                    <w:t>应急响应体系，并积极参加定期组织的演练，从而提高应急处置能力。</w:t>
                  </w:r>
                </w:p>
              </w:tc>
              <w:tc>
                <w:tcPr>
                  <w:tcW w:w="450" w:type="pct"/>
                  <w:tcBorders>
                    <w:top w:val="single" w:color="auto" w:sz="4" w:space="0"/>
                    <w:left w:val="single" w:color="auto" w:sz="4" w:space="0"/>
                    <w:bottom w:val="single" w:color="auto" w:sz="4" w:space="0"/>
                    <w:right w:val="nil"/>
                  </w:tcBorders>
                  <w:vAlign w:val="center"/>
                </w:tcPr>
                <w:p w14:paraId="10F21F54">
                  <w:pPr>
                    <w:adjustRightInd w:val="0"/>
                    <w:snapToGrid w:val="0"/>
                    <w:jc w:val="center"/>
                    <w:rPr>
                      <w:rFonts w:eastAsiaTheme="minorEastAsia"/>
                      <w:color w:val="auto"/>
                      <w:sz w:val="22"/>
                      <w:szCs w:val="22"/>
                    </w:rPr>
                  </w:pPr>
                  <w:r>
                    <w:rPr>
                      <w:rFonts w:hAnsiTheme="minorEastAsia" w:eastAsiaTheme="minorEastAsia"/>
                      <w:color w:val="auto"/>
                      <w:sz w:val="22"/>
                      <w:szCs w:val="22"/>
                    </w:rPr>
                    <w:t>相符</w:t>
                  </w:r>
                </w:p>
              </w:tc>
            </w:tr>
            <w:tr w14:paraId="31195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4" w:space="0"/>
                    <w:left w:val="nil"/>
                    <w:bottom w:val="single" w:color="auto" w:sz="12" w:space="0"/>
                    <w:right w:val="single" w:color="auto" w:sz="4" w:space="0"/>
                  </w:tcBorders>
                  <w:vAlign w:val="center"/>
                </w:tcPr>
                <w:p w14:paraId="46E93E69">
                  <w:pPr>
                    <w:adjustRightInd w:val="0"/>
                    <w:snapToGrid w:val="0"/>
                    <w:jc w:val="center"/>
                    <w:rPr>
                      <w:rFonts w:eastAsiaTheme="minorEastAsia"/>
                      <w:color w:val="auto"/>
                      <w:sz w:val="22"/>
                      <w:szCs w:val="22"/>
                    </w:rPr>
                  </w:pPr>
                  <w:r>
                    <w:rPr>
                      <w:color w:val="auto"/>
                      <w:sz w:val="22"/>
                      <w:szCs w:val="22"/>
                    </w:rPr>
                    <w:t>资源利用效率要求</w:t>
                  </w:r>
                </w:p>
              </w:tc>
              <w:tc>
                <w:tcPr>
                  <w:tcW w:w="2797" w:type="pct"/>
                  <w:tcBorders>
                    <w:top w:val="single" w:color="auto" w:sz="4" w:space="0"/>
                    <w:left w:val="single" w:color="auto" w:sz="4" w:space="0"/>
                    <w:bottom w:val="single" w:color="auto" w:sz="12" w:space="0"/>
                    <w:right w:val="single" w:color="auto" w:sz="4" w:space="0"/>
                  </w:tcBorders>
                  <w:vAlign w:val="center"/>
                </w:tcPr>
                <w:p w14:paraId="6720D721">
                  <w:pPr>
                    <w:adjustRightInd w:val="0"/>
                    <w:snapToGrid w:val="0"/>
                    <w:jc w:val="left"/>
                    <w:rPr>
                      <w:rFonts w:eastAsiaTheme="minorEastAsia"/>
                      <w:color w:val="auto"/>
                      <w:sz w:val="22"/>
                      <w:szCs w:val="22"/>
                    </w:rPr>
                  </w:pPr>
                  <w:r>
                    <w:rPr>
                      <w:color w:val="auto"/>
                      <w:sz w:val="22"/>
                      <w:szCs w:val="22"/>
                    </w:rPr>
                    <w:t>1.水资源利用总量及效率要求：根据《省最严格水资源管理考核联席会议关于下达2020年和2030年全省实行最严格水资源管理制度控制指标的通知》（苏水资联〔2016〕5号），到2020年，淮安市用水总量不得超过33.33亿立方米，万元地区生产总值用水量降至79立方米以下，万元工业增加值用水量降至10.3立方米以下，农田灌溉水有效利用系数达到0.610以上。2.地下水开采要求：根据《淮安市“两减六治三提升”专项行动方案》（淮发〔2017〕26号），到2020年，淮安市地下水超采区全面达到用水总量控制和水位红线控制要求，累计压缩地下水开采量3952.3万立方米。3.土地资源利用总量及效率要求：根据《淮安市土地利用总体规划（2006</w:t>
                  </w:r>
                  <w:r>
                    <w:rPr>
                      <w:rFonts w:hint="eastAsia"/>
                      <w:color w:val="auto"/>
                      <w:sz w:val="22"/>
                      <w:szCs w:val="22"/>
                      <w:lang w:eastAsia="zh-CN"/>
                    </w:rPr>
                    <w:t>—</w:t>
                  </w:r>
                  <w:r>
                    <w:rPr>
                      <w:color w:val="auto"/>
                      <w:sz w:val="22"/>
                      <w:szCs w:val="22"/>
                    </w:rPr>
                    <w:t>2020年）调整方案》，到2020年，淮安市耕地保有量不得低于47.6027万公顷，永久基本农田保护面积不低于39.4699万公顷，开发强度不得高于18%。4.能源利用总量及效率要求：根据《淮安市“两减六治三提升”专项行动方案》（淮发〔2017〕26号），到2020年，淮安市煤炭消费总量比2016年减少55万吨，电子行业煤炭消费占煤炭消费总量的比重提高到65%以上，非化石能源占一次能源比重达到10%。5.禁燃区要求：根据《江苏省大气污染防治条例》，禁燃区禁止新建、扩建燃用高污染燃料的项目和设施，已建成的应逐步或依法限期改用天然气、</w:t>
                  </w:r>
                  <w:r>
                    <w:rPr>
                      <w:rFonts w:hint="eastAsia"/>
                      <w:color w:val="auto"/>
                      <w:sz w:val="22"/>
                      <w:szCs w:val="22"/>
                      <w:lang w:eastAsia="zh-CN"/>
                    </w:rPr>
                    <w:t>电力</w:t>
                  </w:r>
                  <w:r>
                    <w:rPr>
                      <w:color w:val="auto"/>
                      <w:sz w:val="22"/>
                      <w:szCs w:val="22"/>
                    </w:rPr>
                    <w:t>或者其他清洁能源。6.能耗要求：根据《淮安市打赢蓝天保卫战三年行动计划实施方案》（淮政发〔2018〕113号），新建高耗能项目单位产品（产值）能耗要达到国际先进水平。</w:t>
                  </w:r>
                </w:p>
              </w:tc>
              <w:tc>
                <w:tcPr>
                  <w:tcW w:w="1357" w:type="pct"/>
                  <w:tcBorders>
                    <w:top w:val="single" w:color="auto" w:sz="4" w:space="0"/>
                    <w:left w:val="single" w:color="auto" w:sz="4" w:space="0"/>
                    <w:bottom w:val="single" w:color="auto" w:sz="12" w:space="0"/>
                    <w:right w:val="single" w:color="auto" w:sz="4" w:space="0"/>
                  </w:tcBorders>
                  <w:vAlign w:val="center"/>
                </w:tcPr>
                <w:p w14:paraId="78CB9377">
                  <w:pPr>
                    <w:adjustRightInd w:val="0"/>
                    <w:snapToGrid w:val="0"/>
                    <w:jc w:val="left"/>
                    <w:rPr>
                      <w:rFonts w:eastAsiaTheme="minorEastAsia"/>
                      <w:color w:val="auto"/>
                      <w:sz w:val="22"/>
                      <w:szCs w:val="22"/>
                    </w:rPr>
                  </w:pPr>
                  <w:r>
                    <w:rPr>
                      <w:rFonts w:hint="eastAsia"/>
                      <w:color w:val="auto"/>
                      <w:sz w:val="22"/>
                      <w:szCs w:val="22"/>
                      <w:lang w:eastAsia="zh-CN"/>
                    </w:rPr>
                    <w:t>扩建</w:t>
                  </w:r>
                  <w:r>
                    <w:rPr>
                      <w:color w:val="auto"/>
                      <w:sz w:val="22"/>
                      <w:szCs w:val="22"/>
                    </w:rPr>
                    <w:t>项目不属于高耗水行业；项目占地为工业用地，不占用基本农田；项目不使用高污染燃料；项目不属于高耗能项目。</w:t>
                  </w:r>
                </w:p>
              </w:tc>
              <w:tc>
                <w:tcPr>
                  <w:tcW w:w="450" w:type="pct"/>
                  <w:tcBorders>
                    <w:top w:val="single" w:color="auto" w:sz="4" w:space="0"/>
                    <w:left w:val="single" w:color="auto" w:sz="4" w:space="0"/>
                    <w:bottom w:val="single" w:color="auto" w:sz="12" w:space="0"/>
                    <w:right w:val="nil"/>
                  </w:tcBorders>
                  <w:vAlign w:val="center"/>
                </w:tcPr>
                <w:p w14:paraId="3E812166">
                  <w:pPr>
                    <w:adjustRightInd w:val="0"/>
                    <w:snapToGrid w:val="0"/>
                    <w:jc w:val="center"/>
                    <w:rPr>
                      <w:rFonts w:eastAsiaTheme="minorEastAsia"/>
                      <w:color w:val="auto"/>
                      <w:sz w:val="22"/>
                      <w:szCs w:val="22"/>
                    </w:rPr>
                  </w:pPr>
                  <w:r>
                    <w:rPr>
                      <w:rFonts w:hAnsiTheme="minorEastAsia" w:eastAsiaTheme="minorEastAsia"/>
                      <w:color w:val="auto"/>
                      <w:sz w:val="22"/>
                      <w:szCs w:val="22"/>
                    </w:rPr>
                    <w:t>相符</w:t>
                  </w:r>
                </w:p>
              </w:tc>
            </w:tr>
          </w:tbl>
          <w:p w14:paraId="1E7ED7C7">
            <w:pPr>
              <w:keepNext w:val="0"/>
              <w:keepLines w:val="0"/>
              <w:pageBreakBefore w:val="0"/>
              <w:widowControl w:val="0"/>
              <w:kinsoku/>
              <w:wordWrap/>
              <w:overflowPunct/>
              <w:topLinePunct w:val="0"/>
              <w:autoSpaceDE/>
              <w:autoSpaceDN/>
              <w:bidi w:val="0"/>
              <w:adjustRightInd w:val="0"/>
              <w:snapToGrid w:val="0"/>
              <w:spacing w:before="240" w:beforeLines="100" w:line="360" w:lineRule="auto"/>
              <w:ind w:firstLine="480" w:firstLineChars="200"/>
              <w:textAlignment w:val="auto"/>
              <w:rPr>
                <w:rFonts w:hAnsiTheme="minorEastAsia" w:eastAsiaTheme="minorEastAsia"/>
                <w:color w:val="auto"/>
                <w:sz w:val="24"/>
              </w:rPr>
            </w:pPr>
            <w:r>
              <w:rPr>
                <w:rFonts w:hAnsiTheme="minorEastAsia" w:eastAsiaTheme="minorEastAsia"/>
                <w:color w:val="auto"/>
                <w:sz w:val="24"/>
              </w:rPr>
              <w:t>根据上表分析可知，</w:t>
            </w:r>
            <w:r>
              <w:rPr>
                <w:rFonts w:hint="eastAsia" w:hAnsiTheme="minorEastAsia" w:eastAsiaTheme="minorEastAsia"/>
                <w:color w:val="auto"/>
                <w:sz w:val="24"/>
                <w:lang w:eastAsia="zh-CN"/>
              </w:rPr>
              <w:t>扩建</w:t>
            </w:r>
            <w:r>
              <w:rPr>
                <w:rFonts w:hAnsiTheme="minorEastAsia" w:eastAsiaTheme="minorEastAsia"/>
                <w:color w:val="auto"/>
                <w:sz w:val="24"/>
              </w:rPr>
              <w:t>项目与《淮安市</w:t>
            </w:r>
            <w:r>
              <w:rPr>
                <w:rFonts w:eastAsiaTheme="minorEastAsia"/>
                <w:color w:val="auto"/>
                <w:sz w:val="24"/>
              </w:rPr>
              <w:t>“</w:t>
            </w:r>
            <w:r>
              <w:rPr>
                <w:rFonts w:hAnsiTheme="minorEastAsia" w:eastAsiaTheme="minorEastAsia"/>
                <w:color w:val="auto"/>
                <w:sz w:val="24"/>
              </w:rPr>
              <w:t>三线一单</w:t>
            </w:r>
            <w:r>
              <w:rPr>
                <w:rFonts w:eastAsiaTheme="minorEastAsia"/>
                <w:color w:val="auto"/>
                <w:sz w:val="24"/>
              </w:rPr>
              <w:t>”</w:t>
            </w:r>
            <w:r>
              <w:rPr>
                <w:rFonts w:hAnsiTheme="minorEastAsia" w:eastAsiaTheme="minorEastAsia"/>
                <w:color w:val="auto"/>
                <w:sz w:val="24"/>
              </w:rPr>
              <w:t>生态环境分区管控方案》</w:t>
            </w:r>
            <w:r>
              <w:rPr>
                <w:rFonts w:hAnsiTheme="minorEastAsia" w:eastAsiaTheme="minorEastAsia"/>
                <w:bCs/>
                <w:color w:val="auto"/>
                <w:sz w:val="24"/>
              </w:rPr>
              <w:t>（淮政发〔</w:t>
            </w:r>
            <w:r>
              <w:rPr>
                <w:rFonts w:eastAsiaTheme="minorEastAsia"/>
                <w:bCs/>
                <w:color w:val="auto"/>
                <w:sz w:val="24"/>
              </w:rPr>
              <w:t>2020</w:t>
            </w:r>
            <w:r>
              <w:rPr>
                <w:rFonts w:hAnsiTheme="minorEastAsia" w:eastAsiaTheme="minorEastAsia"/>
                <w:bCs/>
                <w:color w:val="auto"/>
                <w:sz w:val="24"/>
              </w:rPr>
              <w:t>〕</w:t>
            </w:r>
            <w:r>
              <w:rPr>
                <w:rFonts w:eastAsiaTheme="minorEastAsia"/>
                <w:bCs/>
                <w:color w:val="auto"/>
                <w:sz w:val="24"/>
              </w:rPr>
              <w:t>16</w:t>
            </w:r>
            <w:r>
              <w:rPr>
                <w:rFonts w:hAnsiTheme="minorEastAsia" w:eastAsiaTheme="minorEastAsia"/>
                <w:bCs/>
                <w:color w:val="auto"/>
                <w:sz w:val="24"/>
              </w:rPr>
              <w:t>号）</w:t>
            </w:r>
            <w:r>
              <w:rPr>
                <w:rFonts w:hint="eastAsia" w:hAnsiTheme="minorEastAsia" w:eastAsiaTheme="minorEastAsia"/>
                <w:bCs/>
                <w:color w:val="auto"/>
                <w:sz w:val="24"/>
              </w:rPr>
              <w:t>及</w:t>
            </w:r>
            <w:r>
              <w:rPr>
                <w:rFonts w:hint="eastAsia" w:hAnsiTheme="minorEastAsia" w:eastAsiaTheme="minorEastAsia"/>
                <w:color w:val="auto"/>
                <w:sz w:val="24"/>
              </w:rPr>
              <w:t>《市政府办公室关于对淮安市“三线一单”生态环境分区管控方案内容修改的通知》（淮政办函</w:t>
            </w:r>
            <w:r>
              <w:rPr>
                <w:rFonts w:hAnsiTheme="minorEastAsia" w:eastAsiaTheme="minorEastAsia"/>
                <w:color w:val="auto"/>
                <w:sz w:val="24"/>
              </w:rPr>
              <w:t>〔</w:t>
            </w:r>
            <w:r>
              <w:rPr>
                <w:rFonts w:eastAsiaTheme="minorEastAsia"/>
                <w:color w:val="auto"/>
                <w:sz w:val="24"/>
              </w:rPr>
              <w:t>2022</w:t>
            </w:r>
            <w:r>
              <w:rPr>
                <w:rFonts w:hAnsiTheme="minorEastAsia" w:eastAsiaTheme="minorEastAsia"/>
                <w:color w:val="auto"/>
                <w:sz w:val="24"/>
              </w:rPr>
              <w:t>〕</w:t>
            </w:r>
            <w:r>
              <w:rPr>
                <w:rFonts w:eastAsiaTheme="minorEastAsia"/>
                <w:color w:val="auto"/>
                <w:sz w:val="24"/>
              </w:rPr>
              <w:t>5</w:t>
            </w:r>
            <w:r>
              <w:rPr>
                <w:rFonts w:hAnsiTheme="minorEastAsia" w:eastAsiaTheme="minorEastAsia"/>
                <w:color w:val="auto"/>
                <w:sz w:val="24"/>
              </w:rPr>
              <w:t>号</w:t>
            </w:r>
            <w:r>
              <w:rPr>
                <w:rFonts w:hint="eastAsia" w:hAnsiTheme="minorEastAsia" w:eastAsiaTheme="minorEastAsia"/>
                <w:color w:val="auto"/>
                <w:sz w:val="24"/>
              </w:rPr>
              <w:t>）</w:t>
            </w:r>
            <w:r>
              <w:rPr>
                <w:rFonts w:hAnsiTheme="minorEastAsia" w:eastAsiaTheme="minorEastAsia"/>
                <w:color w:val="auto"/>
                <w:sz w:val="24"/>
              </w:rPr>
              <w:t>是相符的。</w:t>
            </w:r>
          </w:p>
          <w:p w14:paraId="0A028173">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textAlignment w:val="auto"/>
              <w:rPr>
                <w:rFonts w:hAnsiTheme="minorEastAsia" w:eastAsiaTheme="minorEastAsia"/>
                <w:b/>
                <w:color w:val="auto"/>
                <w:sz w:val="24"/>
              </w:rPr>
            </w:pPr>
            <w:r>
              <w:rPr>
                <w:rFonts w:hAnsiTheme="minorEastAsia" w:eastAsiaTheme="minorEastAsia"/>
                <w:b/>
                <w:color w:val="auto"/>
                <w:sz w:val="24"/>
              </w:rPr>
              <w:t>（2）</w:t>
            </w:r>
            <w:r>
              <w:rPr>
                <w:rFonts w:hint="eastAsia" w:hAnsiTheme="minorEastAsia" w:eastAsiaTheme="minorEastAsia"/>
                <w:b/>
                <w:color w:val="auto"/>
                <w:sz w:val="24"/>
              </w:rPr>
              <w:t>与</w:t>
            </w:r>
            <w:r>
              <w:rPr>
                <w:rFonts w:hAnsiTheme="minorEastAsia" w:eastAsiaTheme="minorEastAsia"/>
                <w:b/>
                <w:color w:val="auto"/>
                <w:sz w:val="24"/>
              </w:rPr>
              <w:t>环境质量底线</w:t>
            </w:r>
            <w:r>
              <w:rPr>
                <w:rFonts w:hint="eastAsia" w:hAnsiTheme="minorEastAsia" w:eastAsiaTheme="minorEastAsia"/>
                <w:b/>
                <w:color w:val="auto"/>
                <w:sz w:val="24"/>
              </w:rPr>
              <w:t>相符性</w:t>
            </w:r>
          </w:p>
          <w:p w14:paraId="70B874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cs="Times New Roman" w:hAnsiTheme="minorEastAsia" w:eastAsiaTheme="minorEastAsia"/>
                <w:color w:val="auto"/>
                <w:sz w:val="24"/>
              </w:rPr>
            </w:pPr>
            <w:r>
              <w:rPr>
                <w:rFonts w:hAnsiTheme="minorEastAsia" w:eastAsiaTheme="minorEastAsia"/>
                <w:color w:val="auto"/>
                <w:sz w:val="24"/>
              </w:rPr>
              <w:t>①环境空气：</w:t>
            </w:r>
            <w:r>
              <w:rPr>
                <w:color w:val="auto"/>
                <w:sz w:val="24"/>
              </w:rPr>
              <w:t>本项目位于</w:t>
            </w:r>
            <w:r>
              <w:rPr>
                <w:rFonts w:hint="eastAsia"/>
                <w:color w:val="auto"/>
                <w:sz w:val="24"/>
              </w:rPr>
              <w:t>淮安市</w:t>
            </w:r>
            <w:r>
              <w:rPr>
                <w:rFonts w:hint="eastAsia"/>
                <w:color w:val="auto"/>
                <w:sz w:val="24"/>
                <w:lang w:eastAsia="zh-CN"/>
              </w:rPr>
              <w:t>涟水县</w:t>
            </w:r>
            <w:r>
              <w:rPr>
                <w:rFonts w:hint="eastAsia"/>
                <w:color w:val="auto"/>
                <w:sz w:val="24"/>
                <w:lang w:val="en-US" w:eastAsia="zh-CN"/>
              </w:rPr>
              <w:t>经济开发区</w:t>
            </w:r>
            <w:r>
              <w:rPr>
                <w:color w:val="auto"/>
                <w:sz w:val="24"/>
              </w:rPr>
              <w:t>，</w:t>
            </w:r>
            <w:r>
              <w:rPr>
                <w:rFonts w:hint="eastAsia"/>
                <w:color w:val="auto"/>
                <w:sz w:val="24"/>
              </w:rPr>
              <w:t>项目</w:t>
            </w:r>
            <w:r>
              <w:rPr>
                <w:rFonts w:hint="eastAsia"/>
                <w:color w:val="auto"/>
                <w:sz w:val="24"/>
                <w:lang w:eastAsia="zh-CN"/>
              </w:rPr>
              <w:t>所在</w:t>
            </w:r>
            <w:r>
              <w:rPr>
                <w:rFonts w:hint="eastAsia"/>
                <w:color w:val="auto"/>
                <w:sz w:val="24"/>
              </w:rPr>
              <w:t>区域为环境空气二类功能区，执行《环境空气质量标准》（</w:t>
            </w:r>
            <w:r>
              <w:rPr>
                <w:color w:val="auto"/>
                <w:sz w:val="24"/>
              </w:rPr>
              <w:t>GB3095-2012</w:t>
            </w:r>
            <w:r>
              <w:rPr>
                <w:rFonts w:hint="eastAsia"/>
                <w:color w:val="auto"/>
                <w:sz w:val="24"/>
              </w:rPr>
              <w:t>）及其修改单中二级标准。</w:t>
            </w:r>
            <w:r>
              <w:rPr>
                <w:rFonts w:hint="default" w:ascii="Times New Roman" w:hAnsi="Times New Roman" w:cs="Times New Roman"/>
                <w:color w:val="auto"/>
                <w:sz w:val="24"/>
              </w:rPr>
              <w:t>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cs="Times New Roman"/>
                <w:color w:val="auto"/>
                <w:sz w:val="24"/>
              </w:rPr>
              <w:t>》</w:t>
            </w:r>
            <w:r>
              <w:rPr>
                <w:rFonts w:hint="eastAsia" w:cs="Times New Roman"/>
                <w:color w:val="auto"/>
                <w:sz w:val="24"/>
                <w:lang w:eastAsia="zh-CN"/>
              </w:rPr>
              <w:t>：</w:t>
            </w:r>
            <w:r>
              <w:rPr>
                <w:rFonts w:hint="eastAsia" w:cs="Times New Roman"/>
                <w:color w:val="auto"/>
                <w:sz w:val="24"/>
                <w:lang w:val="en-US" w:eastAsia="zh-CN"/>
              </w:rPr>
              <w:t>2024年</w:t>
            </w:r>
            <w:r>
              <w:rPr>
                <w:rFonts w:hint="eastAsia" w:cs="Times New Roman"/>
                <w:color w:val="auto"/>
                <w:sz w:val="24"/>
                <w:lang w:eastAsia="zh-CN"/>
              </w:rPr>
              <w:t>全</w:t>
            </w:r>
            <w:r>
              <w:rPr>
                <w:rFonts w:hint="eastAsia" w:cs="Times New Roman"/>
                <w:color w:val="auto"/>
                <w:sz w:val="24"/>
                <w:lang w:val="en-US" w:eastAsia="zh-CN"/>
              </w:rPr>
              <w:t>县</w:t>
            </w:r>
            <w:r>
              <w:rPr>
                <w:rFonts w:hint="eastAsia" w:cs="Times New Roman"/>
                <w:color w:val="auto"/>
                <w:sz w:val="24"/>
                <w:lang w:eastAsia="zh-CN"/>
              </w:rPr>
              <w:t>细颗粒物（PM</w:t>
            </w:r>
            <w:r>
              <w:rPr>
                <w:rFonts w:hint="eastAsia" w:cs="Times New Roman"/>
                <w:color w:val="auto"/>
                <w:sz w:val="24"/>
                <w:vertAlign w:val="subscript"/>
                <w:lang w:eastAsia="zh-CN"/>
              </w:rPr>
              <w:t>2.5）</w:t>
            </w:r>
            <w:r>
              <w:rPr>
                <w:rFonts w:hint="eastAsia" w:cs="Times New Roman"/>
                <w:color w:val="auto"/>
                <w:sz w:val="24"/>
                <w:lang w:eastAsia="zh-CN"/>
              </w:rPr>
              <w:t>可吸入颗粒物（PM</w:t>
            </w:r>
            <w:r>
              <w:rPr>
                <w:rFonts w:hint="eastAsia" w:cs="Times New Roman"/>
                <w:color w:val="auto"/>
                <w:sz w:val="24"/>
                <w:vertAlign w:val="subscript"/>
                <w:lang w:eastAsia="zh-CN"/>
              </w:rPr>
              <w:t>10</w:t>
            </w:r>
            <w:r>
              <w:rPr>
                <w:rFonts w:hint="eastAsia" w:cs="Times New Roman"/>
                <w:color w:val="auto"/>
                <w:sz w:val="24"/>
                <w:lang w:eastAsia="zh-CN"/>
              </w:rPr>
              <w:t>）、二氧化硫（SO</w:t>
            </w:r>
            <w:r>
              <w:rPr>
                <w:rFonts w:hint="eastAsia" w:cs="Times New Roman"/>
                <w:color w:val="auto"/>
                <w:sz w:val="24"/>
                <w:vertAlign w:val="subscript"/>
                <w:lang w:eastAsia="zh-CN"/>
              </w:rPr>
              <w:t>2</w:t>
            </w:r>
            <w:r>
              <w:rPr>
                <w:rFonts w:hint="eastAsia" w:cs="Times New Roman"/>
                <w:color w:val="auto"/>
                <w:sz w:val="24"/>
                <w:lang w:eastAsia="zh-CN"/>
              </w:rPr>
              <w:t>）、二氧化氮（NO</w:t>
            </w:r>
            <w:r>
              <w:rPr>
                <w:rFonts w:hint="eastAsia" w:cs="Times New Roman"/>
                <w:color w:val="auto"/>
                <w:sz w:val="24"/>
                <w:vertAlign w:val="subscript"/>
                <w:lang w:eastAsia="zh-CN"/>
              </w:rPr>
              <w:t>2</w:t>
            </w:r>
            <w:r>
              <w:rPr>
                <w:rFonts w:hint="eastAsia" w:cs="Times New Roman"/>
                <w:color w:val="auto"/>
                <w:sz w:val="24"/>
                <w:lang w:eastAsia="zh-CN"/>
              </w:rPr>
              <w:t>）、一氧化碳（CO）和臭氧（O</w:t>
            </w:r>
            <w:r>
              <w:rPr>
                <w:rFonts w:hint="eastAsia" w:cs="Times New Roman"/>
                <w:color w:val="auto"/>
                <w:sz w:val="24"/>
                <w:vertAlign w:val="subscript"/>
                <w:lang w:eastAsia="zh-CN"/>
              </w:rPr>
              <w:t>3</w:t>
            </w:r>
            <w:r>
              <w:rPr>
                <w:rFonts w:hint="eastAsia" w:cs="Times New Roman"/>
                <w:color w:val="auto"/>
                <w:sz w:val="24"/>
                <w:lang w:eastAsia="zh-CN"/>
              </w:rPr>
              <w:t>）浓度年均浓度分别为3</w:t>
            </w:r>
            <w:r>
              <w:rPr>
                <w:rFonts w:hint="eastAsia" w:cs="Times New Roman"/>
                <w:color w:val="auto"/>
                <w:sz w:val="24"/>
                <w:lang w:val="en-US" w:eastAsia="zh-CN"/>
              </w:rPr>
              <w:t>4.8</w:t>
            </w:r>
            <w:r>
              <w:rPr>
                <w:rFonts w:hint="eastAsia" w:cs="Times New Roman"/>
                <w:color w:val="auto"/>
                <w:sz w:val="24"/>
                <w:lang w:eastAsia="zh-CN"/>
              </w:rPr>
              <w:t>微克/立方米、5</w:t>
            </w:r>
            <w:r>
              <w:rPr>
                <w:rFonts w:hint="eastAsia" w:cs="Times New Roman"/>
                <w:color w:val="auto"/>
                <w:sz w:val="24"/>
                <w:lang w:val="en-US" w:eastAsia="zh-CN"/>
              </w:rPr>
              <w:t>8</w:t>
            </w:r>
            <w:r>
              <w:rPr>
                <w:rFonts w:hint="eastAsia" w:cs="Times New Roman"/>
                <w:color w:val="auto"/>
                <w:sz w:val="24"/>
                <w:lang w:eastAsia="zh-CN"/>
              </w:rPr>
              <w:t>微克/立方米、</w:t>
            </w:r>
            <w:r>
              <w:rPr>
                <w:rFonts w:hint="eastAsia" w:cs="Times New Roman"/>
                <w:color w:val="auto"/>
                <w:sz w:val="24"/>
                <w:lang w:val="en-US" w:eastAsia="zh-CN"/>
              </w:rPr>
              <w:t>18</w:t>
            </w:r>
            <w:r>
              <w:rPr>
                <w:rFonts w:hint="eastAsia" w:cs="Times New Roman"/>
                <w:color w:val="auto"/>
                <w:sz w:val="24"/>
                <w:lang w:eastAsia="zh-CN"/>
              </w:rPr>
              <w:t>微克/立方米、25微克/立方米、0.</w:t>
            </w:r>
            <w:r>
              <w:rPr>
                <w:rFonts w:hint="eastAsia" w:cs="Times New Roman"/>
                <w:color w:val="auto"/>
                <w:sz w:val="24"/>
                <w:lang w:val="en-US" w:eastAsia="zh-CN"/>
              </w:rPr>
              <w:t>7</w:t>
            </w:r>
            <w:r>
              <w:rPr>
                <w:rFonts w:hint="eastAsia" w:cs="Times New Roman"/>
                <w:color w:val="auto"/>
                <w:sz w:val="24"/>
                <w:lang w:eastAsia="zh-CN"/>
              </w:rPr>
              <w:t>毫克/立方米、1</w:t>
            </w:r>
            <w:r>
              <w:rPr>
                <w:rFonts w:hint="eastAsia" w:cs="Times New Roman"/>
                <w:color w:val="auto"/>
                <w:sz w:val="24"/>
                <w:lang w:val="en-US" w:eastAsia="zh-CN"/>
              </w:rPr>
              <w:t>05</w:t>
            </w:r>
            <w:r>
              <w:rPr>
                <w:rFonts w:hint="eastAsia" w:cs="Times New Roman"/>
                <w:color w:val="auto"/>
                <w:sz w:val="24"/>
                <w:lang w:eastAsia="zh-CN"/>
              </w:rPr>
              <w:t>微克/立方米。PM</w:t>
            </w:r>
            <w:r>
              <w:rPr>
                <w:rFonts w:hint="eastAsia" w:cs="Times New Roman"/>
                <w:color w:val="auto"/>
                <w:sz w:val="24"/>
                <w:vertAlign w:val="subscript"/>
                <w:lang w:eastAsia="zh-CN"/>
              </w:rPr>
              <w:t>10</w:t>
            </w:r>
            <w:r>
              <w:rPr>
                <w:rFonts w:hint="eastAsia" w:cs="Times New Roman"/>
                <w:color w:val="auto"/>
                <w:sz w:val="24"/>
                <w:lang w:eastAsia="zh-CN"/>
              </w:rPr>
              <w:t>、SO</w:t>
            </w:r>
            <w:r>
              <w:rPr>
                <w:rFonts w:hint="eastAsia" w:cs="Times New Roman"/>
                <w:color w:val="auto"/>
                <w:sz w:val="24"/>
                <w:vertAlign w:val="subscript"/>
                <w:lang w:eastAsia="zh-CN"/>
              </w:rPr>
              <w:t>2</w:t>
            </w:r>
            <w:r>
              <w:rPr>
                <w:rFonts w:hint="eastAsia" w:cs="Times New Roman"/>
                <w:color w:val="auto"/>
                <w:sz w:val="24"/>
                <w:lang w:eastAsia="zh-CN"/>
              </w:rPr>
              <w:t>、CO、O</w:t>
            </w:r>
            <w:r>
              <w:rPr>
                <w:rFonts w:hint="eastAsia" w:cs="Times New Roman"/>
                <w:color w:val="auto"/>
                <w:sz w:val="24"/>
                <w:vertAlign w:val="subscript"/>
                <w:lang w:eastAsia="zh-CN"/>
              </w:rPr>
              <w:t>3</w:t>
            </w:r>
            <w:r>
              <w:rPr>
                <w:rFonts w:hint="eastAsia" w:cs="Times New Roman"/>
                <w:color w:val="auto"/>
                <w:sz w:val="24"/>
                <w:lang w:eastAsia="zh-CN"/>
              </w:rPr>
              <w:t>降幅分别为6.9%、12.5%、10%、3.8%。</w:t>
            </w:r>
            <w:r>
              <w:rPr>
                <w:rFonts w:hint="default" w:ascii="Times New Roman" w:hAnsi="Times New Roman" w:cs="Times New Roman"/>
                <w:color w:val="auto"/>
                <w:sz w:val="24"/>
              </w:rPr>
              <w:t>可吸入颗粒物（PM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）、二氧化硫（SO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）、二氧化氮（NO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）、一氧化碳（CO）和臭氧（O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）浓度均达到国家二级标准限值。因此，202</w:t>
            </w:r>
            <w:r>
              <w:rPr>
                <w:rFonts w:hint="eastAsia"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涟水县</w:t>
            </w:r>
            <w:r>
              <w:rPr>
                <w:rFonts w:hint="default" w:ascii="Times New Roman" w:hAnsi="Times New Roman" w:cs="Times New Roman"/>
                <w:color w:val="auto"/>
                <w:sz w:val="24"/>
              </w:rPr>
              <w:t>环境空气质量为达标区。</w:t>
            </w:r>
          </w:p>
          <w:p w14:paraId="1DD95B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cs="Times New Roman" w:hAnsiTheme="minorEastAsia" w:eastAsiaTheme="minorEastAsia"/>
                <w:color w:val="auto"/>
                <w:sz w:val="24"/>
              </w:rPr>
            </w:pPr>
            <w:r>
              <w:rPr>
                <w:rFonts w:hint="eastAsia" w:ascii="Times New Roman" w:cs="Times New Roman" w:hAnsiTheme="minorEastAsia" w:eastAsiaTheme="minorEastAsia"/>
                <w:color w:val="auto"/>
                <w:sz w:val="24"/>
              </w:rPr>
              <w:t>②地表水环境：</w:t>
            </w:r>
            <w:r>
              <w:rPr>
                <w:rFonts w:hint="eastAsia" w:ascii="Times New Roman" w:hAnsi="Times New Roman" w:cs="Times New Roman"/>
                <w:color w:val="auto"/>
                <w:sz w:val="24"/>
                <w:lang w:val="en-US" w:eastAsia="zh-CN"/>
              </w:rPr>
              <w:t>本项目废水最终纳污水体为公兴河，公兴河监测断面为头圩渡口，为“十四五”新增省考断面，考核标准为</w:t>
            </w:r>
            <w:r>
              <w:rPr>
                <w:rFonts w:hint="default" w:ascii="Times New Roman" w:hAnsi="Times New Roman" w:cs="Times New Roman"/>
                <w:color w:val="auto"/>
                <w:sz w:val="24"/>
                <w:lang w:val="en-US" w:eastAsia="zh-CN"/>
              </w:rPr>
              <w:t>Ⅳ</w:t>
            </w:r>
            <w:r>
              <w:rPr>
                <w:rFonts w:hint="eastAsia" w:ascii="Times New Roman" w:hAnsi="Times New Roman" w:cs="Times New Roman"/>
                <w:color w:val="auto"/>
                <w:sz w:val="24"/>
                <w:lang w:val="en-US" w:eastAsia="zh-CN"/>
              </w:rPr>
              <w:t>类水。</w:t>
            </w: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涟水县</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4年度环境质量公告</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：2024年监测结果均值显示水质达到</w:t>
            </w:r>
            <w:r>
              <w:rPr>
                <w:rFonts w:hint="default" w:ascii="Times New Roman" w:hAnsi="Times New Roman" w:cs="Times New Roman"/>
                <w:color w:val="auto"/>
                <w:sz w:val="24"/>
                <w:lang w:eastAsia="zh-CN"/>
              </w:rPr>
              <w:t>Ⅳ</w:t>
            </w:r>
            <w:r>
              <w:rPr>
                <w:rFonts w:hint="eastAsia" w:ascii="Times New Roman" w:hAnsi="Times New Roman" w:cs="Times New Roman"/>
                <w:color w:val="auto"/>
                <w:sz w:val="24"/>
                <w:lang w:eastAsia="zh-CN"/>
              </w:rPr>
              <w:t>类水标准。</w:t>
            </w:r>
          </w:p>
          <w:p w14:paraId="00F761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hAnsiTheme="minorEastAsia" w:eastAsiaTheme="minorEastAsia"/>
                <w:color w:val="auto"/>
                <w:sz w:val="24"/>
              </w:rPr>
              <w:t>③声环境：</w:t>
            </w:r>
            <w:r>
              <w:rPr>
                <w:rFonts w:hint="default" w:ascii="Times New Roman" w:hAnsi="Times New Roman" w:eastAsia="宋体" w:cs="Times New Roman"/>
                <w:color w:val="auto"/>
                <w:sz w:val="24"/>
              </w:rPr>
              <w:t>本项目位于</w:t>
            </w:r>
            <w:r>
              <w:rPr>
                <w:rFonts w:hint="eastAsia" w:cs="Times New Roman"/>
                <w:color w:val="auto"/>
                <w:sz w:val="24"/>
                <w:lang w:val="en-US" w:eastAsia="zh-CN"/>
              </w:rPr>
              <w:t>江苏涟水经济开发区</w:t>
            </w:r>
            <w:r>
              <w:rPr>
                <w:rFonts w:hint="default" w:ascii="Times New Roman" w:hAnsi="Times New Roman" w:eastAsia="宋体" w:cs="Times New Roman"/>
                <w:color w:val="auto"/>
                <w:sz w:val="24"/>
              </w:rPr>
              <w:t>，</w:t>
            </w:r>
            <w:r>
              <w:rPr>
                <w:rFonts w:hint="eastAsia" w:cs="Times New Roman"/>
                <w:color w:val="auto"/>
                <w:sz w:val="24"/>
                <w:lang w:val="en-US" w:eastAsia="zh-CN"/>
              </w:rPr>
              <w:t>属于</w:t>
            </w:r>
            <w:r>
              <w:rPr>
                <w:rFonts w:hint="default" w:ascii="Times New Roman" w:hAnsi="Times New Roman" w:eastAsia="宋体" w:cs="Times New Roman"/>
                <w:color w:val="auto"/>
                <w:sz w:val="24"/>
              </w:rPr>
              <w:t>3类功能区。根据《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eastAsia="宋体" w:cs="Times New Roman"/>
                <w:color w:val="auto"/>
                <w:sz w:val="24"/>
              </w:rPr>
              <w:t>》</w:t>
            </w:r>
            <w:r>
              <w:rPr>
                <w:rFonts w:hint="eastAsia" w:cs="Times New Roman"/>
                <w:color w:val="auto"/>
                <w:sz w:val="24"/>
                <w:lang w:eastAsia="zh-CN"/>
              </w:rPr>
              <w:t>：</w:t>
            </w:r>
            <w:r>
              <w:rPr>
                <w:rFonts w:hint="default" w:ascii="Times New Roman" w:hAnsi="Times New Roman" w:eastAsia="宋体" w:cs="Times New Roman"/>
                <w:color w:val="auto"/>
                <w:sz w:val="24"/>
              </w:rPr>
              <w:t>2024年</w:t>
            </w:r>
            <w:r>
              <w:rPr>
                <w:rFonts w:hint="eastAsia" w:cs="Times New Roman"/>
                <w:color w:val="auto"/>
                <w:sz w:val="24"/>
                <w:lang w:eastAsia="zh-CN"/>
              </w:rPr>
              <w:t>，</w:t>
            </w:r>
            <w:r>
              <w:rPr>
                <w:rFonts w:hint="eastAsia" w:cs="Times New Roman"/>
                <w:color w:val="auto"/>
                <w:sz w:val="24"/>
                <w:lang w:val="en-US" w:eastAsia="zh-CN"/>
              </w:rPr>
              <w:t>全县</w:t>
            </w:r>
            <w:r>
              <w:rPr>
                <w:rFonts w:hint="default" w:ascii="Times New Roman" w:hAnsi="Times New Roman" w:eastAsia="宋体" w:cs="Times New Roman"/>
                <w:color w:val="auto"/>
                <w:sz w:val="24"/>
              </w:rPr>
              <w:t>声环境总体较好，各功能区昼、夜平均等效声级均达标，全县4个功能区噪声监测点的合计昼间达标率为99.1%，较去年上升1.5百分点，夜间达标率为82.4%，较去年下降4.6百分点。</w:t>
            </w:r>
          </w:p>
          <w:p w14:paraId="5D805E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综上，</w:t>
            </w:r>
            <w:r>
              <w:rPr>
                <w:rFonts w:hint="eastAsia"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rPr>
              <w:t>项目营运期各类污染物采取相应污染防治措施后，对周围环境影响均较小，不会降低当地环境质量，符合环境质量底线标准。</w:t>
            </w:r>
          </w:p>
          <w:p w14:paraId="395661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Theme="minorEastAsia" w:eastAsiaTheme="minorEastAsia"/>
                <w:color w:val="auto"/>
                <w:sz w:val="24"/>
              </w:rPr>
            </w:pPr>
            <w:r>
              <w:rPr>
                <w:rFonts w:hint="eastAsia" w:hAnsiTheme="minorEastAsia" w:eastAsiaTheme="minorEastAsia"/>
                <w:color w:val="auto"/>
                <w:sz w:val="24"/>
              </w:rPr>
              <w:t>因此</w:t>
            </w:r>
            <w:r>
              <w:rPr>
                <w:rFonts w:hint="eastAsia" w:hAnsiTheme="minorEastAsia" w:eastAsiaTheme="minorEastAsia"/>
                <w:color w:val="auto"/>
                <w:sz w:val="24"/>
                <w:lang w:eastAsia="zh-CN"/>
              </w:rPr>
              <w:t>扩建</w:t>
            </w:r>
            <w:r>
              <w:rPr>
                <w:rFonts w:hint="eastAsia" w:hAnsiTheme="minorEastAsia" w:eastAsiaTheme="minorEastAsia"/>
                <w:color w:val="auto"/>
                <w:sz w:val="24"/>
              </w:rPr>
              <w:t>项目的建设符合环境质量底线要求。</w:t>
            </w:r>
          </w:p>
          <w:p w14:paraId="5E41E59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eastAsiaTheme="minorEastAsia"/>
                <w:b/>
                <w:color w:val="auto"/>
                <w:sz w:val="24"/>
              </w:rPr>
            </w:pPr>
            <w:r>
              <w:rPr>
                <w:rFonts w:eastAsiaTheme="minorEastAsia"/>
                <w:b/>
                <w:color w:val="auto"/>
                <w:sz w:val="24"/>
              </w:rPr>
              <w:t>（3）</w:t>
            </w:r>
            <w:r>
              <w:rPr>
                <w:rFonts w:hint="eastAsia" w:eastAsiaTheme="minorEastAsia"/>
                <w:b/>
                <w:color w:val="auto"/>
                <w:sz w:val="24"/>
              </w:rPr>
              <w:t>与</w:t>
            </w:r>
            <w:r>
              <w:rPr>
                <w:rFonts w:eastAsiaTheme="minorEastAsia"/>
                <w:b/>
                <w:color w:val="auto"/>
                <w:sz w:val="24"/>
              </w:rPr>
              <w:t>资源利用上线</w:t>
            </w:r>
            <w:r>
              <w:rPr>
                <w:rFonts w:hint="eastAsia" w:eastAsiaTheme="minorEastAsia"/>
                <w:b/>
                <w:color w:val="auto"/>
                <w:sz w:val="24"/>
              </w:rPr>
              <w:t>相符性</w:t>
            </w:r>
          </w:p>
          <w:p w14:paraId="76444D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根据《关于加强资源环境生态红线管控的指导意见》（发改环资</w:t>
            </w:r>
            <w:r>
              <w:rPr>
                <w:rFonts w:hint="eastAsia"/>
                <w:color w:val="auto"/>
                <w:sz w:val="24"/>
                <w:lang w:eastAsia="zh-CN"/>
              </w:rPr>
              <w:t>〔2016〕1162号</w:t>
            </w:r>
            <w:r>
              <w:rPr>
                <w:color w:val="auto"/>
                <w:sz w:val="24"/>
              </w:rPr>
              <w:t>），建设项目与资源利用上线的相符性分析见表1-</w:t>
            </w:r>
            <w:r>
              <w:rPr>
                <w:rFonts w:hint="eastAsia"/>
                <w:color w:val="auto"/>
                <w:sz w:val="24"/>
                <w:lang w:val="en-US" w:eastAsia="zh-CN"/>
              </w:rPr>
              <w:t>7</w:t>
            </w:r>
            <w:r>
              <w:rPr>
                <w:color w:val="auto"/>
                <w:sz w:val="24"/>
              </w:rPr>
              <w:t>。</w:t>
            </w:r>
          </w:p>
          <w:p w14:paraId="0C3A53CD">
            <w:pPr>
              <w:adjustRightInd w:val="0"/>
              <w:snapToGrid w:val="0"/>
              <w:jc w:val="center"/>
              <w:rPr>
                <w:rFonts w:hint="eastAsia" w:eastAsiaTheme="minorEastAsia"/>
                <w:b/>
                <w:bCs/>
                <w:color w:val="auto"/>
                <w:sz w:val="24"/>
                <w:lang w:val="en-US" w:eastAsia="zh-CN"/>
              </w:rPr>
            </w:pPr>
            <w:r>
              <w:rPr>
                <w:rFonts w:hint="eastAsia" w:eastAsiaTheme="minorEastAsia"/>
                <w:b/>
                <w:bCs/>
                <w:color w:val="auto"/>
                <w:sz w:val="24"/>
                <w:lang w:val="en-US" w:eastAsia="zh-CN"/>
              </w:rPr>
              <w:t>表1-7  扩建项目所涉及生态空间管控区域</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68"/>
              <w:gridCol w:w="1269"/>
              <w:gridCol w:w="5065"/>
              <w:gridCol w:w="1236"/>
            </w:tblGrid>
            <w:tr w14:paraId="66441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tcBorders>
                    <w:top w:val="single" w:color="auto" w:sz="12" w:space="0"/>
                    <w:bottom w:val="single" w:color="auto" w:sz="12" w:space="0"/>
                  </w:tcBorders>
                  <w:vAlign w:val="center"/>
                </w:tcPr>
                <w:p w14:paraId="096887B4">
                  <w:pPr>
                    <w:jc w:val="center"/>
                    <w:rPr>
                      <w:b/>
                      <w:color w:val="auto"/>
                      <w:szCs w:val="21"/>
                    </w:rPr>
                  </w:pPr>
                  <w:r>
                    <w:rPr>
                      <w:b/>
                      <w:color w:val="auto"/>
                      <w:szCs w:val="21"/>
                    </w:rPr>
                    <w:t>序号</w:t>
                  </w:r>
                </w:p>
              </w:tc>
              <w:tc>
                <w:tcPr>
                  <w:tcW w:w="761" w:type="pct"/>
                  <w:tcBorders>
                    <w:top w:val="single" w:color="auto" w:sz="12" w:space="0"/>
                    <w:bottom w:val="single" w:color="auto" w:sz="12" w:space="0"/>
                  </w:tcBorders>
                  <w:vAlign w:val="center"/>
                </w:tcPr>
                <w:p w14:paraId="07FD7A2B">
                  <w:pPr>
                    <w:jc w:val="center"/>
                    <w:rPr>
                      <w:b/>
                      <w:color w:val="auto"/>
                      <w:szCs w:val="21"/>
                    </w:rPr>
                  </w:pPr>
                  <w:r>
                    <w:rPr>
                      <w:b/>
                      <w:color w:val="auto"/>
                      <w:szCs w:val="21"/>
                    </w:rPr>
                    <w:t>内容</w:t>
                  </w:r>
                </w:p>
              </w:tc>
              <w:tc>
                <w:tcPr>
                  <w:tcW w:w="3037" w:type="pct"/>
                  <w:tcBorders>
                    <w:top w:val="single" w:color="auto" w:sz="12" w:space="0"/>
                    <w:bottom w:val="single" w:color="auto" w:sz="12" w:space="0"/>
                  </w:tcBorders>
                  <w:vAlign w:val="center"/>
                </w:tcPr>
                <w:p w14:paraId="5ACBB5C5">
                  <w:pPr>
                    <w:jc w:val="center"/>
                    <w:rPr>
                      <w:b/>
                      <w:color w:val="auto"/>
                      <w:szCs w:val="21"/>
                    </w:rPr>
                  </w:pPr>
                  <w:r>
                    <w:rPr>
                      <w:b/>
                      <w:color w:val="auto"/>
                      <w:szCs w:val="21"/>
                    </w:rPr>
                    <w:t>与资源利用上线的相符性</w:t>
                  </w:r>
                </w:p>
              </w:tc>
              <w:tc>
                <w:tcPr>
                  <w:tcW w:w="741" w:type="pct"/>
                  <w:tcBorders>
                    <w:top w:val="single" w:color="auto" w:sz="12" w:space="0"/>
                    <w:bottom w:val="single" w:color="auto" w:sz="12" w:space="0"/>
                  </w:tcBorders>
                  <w:vAlign w:val="center"/>
                </w:tcPr>
                <w:p w14:paraId="625EF694">
                  <w:pPr>
                    <w:jc w:val="center"/>
                    <w:rPr>
                      <w:b/>
                      <w:color w:val="auto"/>
                      <w:szCs w:val="21"/>
                    </w:rPr>
                  </w:pPr>
                  <w:r>
                    <w:rPr>
                      <w:b/>
                      <w:color w:val="auto"/>
                      <w:szCs w:val="21"/>
                    </w:rPr>
                    <w:t>是否符合</w:t>
                  </w:r>
                </w:p>
              </w:tc>
            </w:tr>
            <w:tr w14:paraId="78B60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tcBorders>
                    <w:top w:val="single" w:color="auto" w:sz="12" w:space="0"/>
                  </w:tcBorders>
                  <w:vAlign w:val="center"/>
                </w:tcPr>
                <w:p w14:paraId="13AD38B5">
                  <w:pPr>
                    <w:jc w:val="center"/>
                    <w:rPr>
                      <w:color w:val="auto"/>
                      <w:szCs w:val="21"/>
                    </w:rPr>
                  </w:pPr>
                  <w:r>
                    <w:rPr>
                      <w:color w:val="auto"/>
                      <w:szCs w:val="21"/>
                    </w:rPr>
                    <w:t>1</w:t>
                  </w:r>
                </w:p>
              </w:tc>
              <w:tc>
                <w:tcPr>
                  <w:tcW w:w="761" w:type="pct"/>
                  <w:tcBorders>
                    <w:top w:val="single" w:color="auto" w:sz="12" w:space="0"/>
                  </w:tcBorders>
                  <w:vAlign w:val="center"/>
                </w:tcPr>
                <w:p w14:paraId="009C422C">
                  <w:pPr>
                    <w:jc w:val="center"/>
                    <w:rPr>
                      <w:color w:val="auto"/>
                      <w:szCs w:val="21"/>
                    </w:rPr>
                  </w:pPr>
                  <w:r>
                    <w:rPr>
                      <w:color w:val="auto"/>
                      <w:szCs w:val="21"/>
                    </w:rPr>
                    <w:t>能源消耗</w:t>
                  </w:r>
                </w:p>
              </w:tc>
              <w:tc>
                <w:tcPr>
                  <w:tcW w:w="3037" w:type="pct"/>
                  <w:tcBorders>
                    <w:top w:val="single" w:color="auto" w:sz="12" w:space="0"/>
                  </w:tcBorders>
                  <w:vAlign w:val="center"/>
                </w:tcPr>
                <w:p w14:paraId="69273C61">
                  <w:pPr>
                    <w:jc w:val="center"/>
                    <w:rPr>
                      <w:color w:val="auto"/>
                      <w:szCs w:val="21"/>
                    </w:rPr>
                  </w:pPr>
                  <w:r>
                    <w:rPr>
                      <w:color w:val="auto"/>
                      <w:szCs w:val="21"/>
                    </w:rPr>
                    <w:t>本项目不使用煤炭；不属于压缩产能、过剩产能，“两高”行业；用电所在地便可满足</w:t>
                  </w:r>
                </w:p>
              </w:tc>
              <w:tc>
                <w:tcPr>
                  <w:tcW w:w="741" w:type="pct"/>
                  <w:tcBorders>
                    <w:top w:val="single" w:color="auto" w:sz="12" w:space="0"/>
                  </w:tcBorders>
                  <w:vAlign w:val="center"/>
                </w:tcPr>
                <w:p w14:paraId="1A52AD2C">
                  <w:pPr>
                    <w:jc w:val="center"/>
                    <w:rPr>
                      <w:color w:val="auto"/>
                      <w:szCs w:val="21"/>
                    </w:rPr>
                  </w:pPr>
                  <w:r>
                    <w:rPr>
                      <w:color w:val="auto"/>
                      <w:szCs w:val="21"/>
                    </w:rPr>
                    <w:t>符合</w:t>
                  </w:r>
                </w:p>
              </w:tc>
            </w:tr>
            <w:tr w14:paraId="43482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vAlign w:val="center"/>
                </w:tcPr>
                <w:p w14:paraId="16003E75">
                  <w:pPr>
                    <w:jc w:val="center"/>
                    <w:rPr>
                      <w:color w:val="auto"/>
                      <w:szCs w:val="21"/>
                    </w:rPr>
                  </w:pPr>
                  <w:r>
                    <w:rPr>
                      <w:color w:val="auto"/>
                      <w:szCs w:val="21"/>
                    </w:rPr>
                    <w:t>2</w:t>
                  </w:r>
                </w:p>
              </w:tc>
              <w:tc>
                <w:tcPr>
                  <w:tcW w:w="761" w:type="pct"/>
                  <w:vAlign w:val="center"/>
                </w:tcPr>
                <w:p w14:paraId="1DD2A84A">
                  <w:pPr>
                    <w:jc w:val="center"/>
                    <w:rPr>
                      <w:color w:val="auto"/>
                      <w:szCs w:val="21"/>
                    </w:rPr>
                  </w:pPr>
                  <w:r>
                    <w:rPr>
                      <w:color w:val="auto"/>
                      <w:szCs w:val="21"/>
                    </w:rPr>
                    <w:t>水资源消耗</w:t>
                  </w:r>
                </w:p>
              </w:tc>
              <w:tc>
                <w:tcPr>
                  <w:tcW w:w="3037" w:type="pct"/>
                  <w:vAlign w:val="center"/>
                </w:tcPr>
                <w:p w14:paraId="27BCA19E">
                  <w:pPr>
                    <w:jc w:val="center"/>
                    <w:rPr>
                      <w:color w:val="auto"/>
                      <w:szCs w:val="21"/>
                    </w:rPr>
                  </w:pPr>
                  <w:r>
                    <w:rPr>
                      <w:color w:val="auto"/>
                      <w:szCs w:val="21"/>
                    </w:rPr>
                    <w:t>本项目所在地不属于严重缺水地区；区域供水管网可以满足项目用水；本项目不涉及地下水开采。</w:t>
                  </w:r>
                </w:p>
              </w:tc>
              <w:tc>
                <w:tcPr>
                  <w:tcW w:w="741" w:type="pct"/>
                  <w:vAlign w:val="center"/>
                </w:tcPr>
                <w:p w14:paraId="36B61A5C">
                  <w:pPr>
                    <w:jc w:val="center"/>
                    <w:rPr>
                      <w:color w:val="auto"/>
                      <w:szCs w:val="21"/>
                    </w:rPr>
                  </w:pPr>
                  <w:r>
                    <w:rPr>
                      <w:color w:val="auto"/>
                      <w:szCs w:val="21"/>
                    </w:rPr>
                    <w:t>符合</w:t>
                  </w:r>
                </w:p>
              </w:tc>
            </w:tr>
            <w:tr w14:paraId="25CF8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1" w:type="pct"/>
                  <w:vAlign w:val="center"/>
                </w:tcPr>
                <w:p w14:paraId="04ED0178">
                  <w:pPr>
                    <w:jc w:val="center"/>
                    <w:rPr>
                      <w:color w:val="auto"/>
                      <w:szCs w:val="21"/>
                    </w:rPr>
                  </w:pPr>
                  <w:r>
                    <w:rPr>
                      <w:color w:val="auto"/>
                      <w:szCs w:val="21"/>
                    </w:rPr>
                    <w:t>3</w:t>
                  </w:r>
                </w:p>
              </w:tc>
              <w:tc>
                <w:tcPr>
                  <w:tcW w:w="761" w:type="pct"/>
                  <w:vAlign w:val="center"/>
                </w:tcPr>
                <w:p w14:paraId="43B9DE94">
                  <w:pPr>
                    <w:jc w:val="center"/>
                    <w:rPr>
                      <w:color w:val="auto"/>
                      <w:szCs w:val="21"/>
                    </w:rPr>
                  </w:pPr>
                  <w:r>
                    <w:rPr>
                      <w:color w:val="auto"/>
                      <w:szCs w:val="21"/>
                    </w:rPr>
                    <w:t>土地资源</w:t>
                  </w:r>
                </w:p>
              </w:tc>
              <w:tc>
                <w:tcPr>
                  <w:tcW w:w="3037" w:type="pct"/>
                  <w:vAlign w:val="center"/>
                </w:tcPr>
                <w:p w14:paraId="713D71F2">
                  <w:pPr>
                    <w:jc w:val="center"/>
                    <w:rPr>
                      <w:color w:val="auto"/>
                      <w:szCs w:val="21"/>
                    </w:rPr>
                  </w:pPr>
                  <w:r>
                    <w:rPr>
                      <w:color w:val="auto"/>
                      <w:szCs w:val="21"/>
                    </w:rPr>
                    <w:t>本项目选址位于</w:t>
                  </w:r>
                  <w:r>
                    <w:rPr>
                      <w:rFonts w:hint="eastAsia"/>
                      <w:color w:val="auto"/>
                      <w:szCs w:val="21"/>
                      <w:lang w:val="en-US" w:eastAsia="zh-CN"/>
                    </w:rPr>
                    <w:t>江苏涟水经济开发区涟水路3号</w:t>
                  </w:r>
                  <w:r>
                    <w:rPr>
                      <w:color w:val="auto"/>
                      <w:szCs w:val="21"/>
                    </w:rPr>
                    <w:t>，在涟水开发区范围内，用地类型为工业用地。</w:t>
                  </w:r>
                </w:p>
              </w:tc>
              <w:tc>
                <w:tcPr>
                  <w:tcW w:w="741" w:type="pct"/>
                  <w:vAlign w:val="center"/>
                </w:tcPr>
                <w:p w14:paraId="62A89F71">
                  <w:pPr>
                    <w:jc w:val="center"/>
                    <w:rPr>
                      <w:color w:val="auto"/>
                      <w:szCs w:val="21"/>
                    </w:rPr>
                  </w:pPr>
                  <w:r>
                    <w:rPr>
                      <w:color w:val="auto"/>
                      <w:szCs w:val="21"/>
                    </w:rPr>
                    <w:t>符合</w:t>
                  </w:r>
                </w:p>
              </w:tc>
            </w:tr>
          </w:tbl>
          <w:p w14:paraId="0A08EDE3">
            <w:pPr>
              <w:adjustRightInd w:val="0"/>
              <w:snapToGrid w:val="0"/>
              <w:spacing w:line="360" w:lineRule="auto"/>
              <w:ind w:firstLine="480" w:firstLineChars="200"/>
              <w:rPr>
                <w:color w:val="auto"/>
                <w:sz w:val="24"/>
              </w:rPr>
            </w:pPr>
            <w:r>
              <w:rPr>
                <w:color w:val="auto"/>
                <w:sz w:val="24"/>
              </w:rPr>
              <w:t>由上表可见，</w:t>
            </w:r>
            <w:r>
              <w:rPr>
                <w:rFonts w:hint="eastAsia"/>
                <w:color w:val="auto"/>
                <w:sz w:val="24"/>
                <w:lang w:eastAsia="zh-CN"/>
              </w:rPr>
              <w:t>扩建</w:t>
            </w:r>
            <w:r>
              <w:rPr>
                <w:color w:val="auto"/>
                <w:sz w:val="24"/>
              </w:rPr>
              <w:t>项目与资源利用上线相容。</w:t>
            </w:r>
          </w:p>
          <w:p w14:paraId="43BB7DD7">
            <w:pPr>
              <w:adjustRightInd w:val="0"/>
              <w:snapToGrid w:val="0"/>
              <w:spacing w:before="120" w:beforeLines="50" w:line="360" w:lineRule="auto"/>
              <w:ind w:firstLine="482" w:firstLineChars="200"/>
              <w:rPr>
                <w:rFonts w:eastAsiaTheme="minorEastAsia"/>
                <w:b/>
                <w:color w:val="auto"/>
                <w:sz w:val="24"/>
              </w:rPr>
            </w:pPr>
            <w:r>
              <w:rPr>
                <w:rFonts w:eastAsiaTheme="minorEastAsia"/>
                <w:b/>
                <w:color w:val="auto"/>
                <w:sz w:val="24"/>
              </w:rPr>
              <w:t>（4）环境准入负面清单</w:t>
            </w:r>
          </w:p>
          <w:p w14:paraId="0733151F">
            <w:pPr>
              <w:adjustRightInd w:val="0"/>
              <w:snapToGrid w:val="0"/>
              <w:spacing w:line="360" w:lineRule="auto"/>
              <w:ind w:firstLine="480" w:firstLineChars="200"/>
              <w:rPr>
                <w:rFonts w:eastAsiaTheme="minorEastAsia"/>
                <w:color w:val="auto"/>
                <w:sz w:val="24"/>
              </w:rPr>
            </w:pPr>
            <w:r>
              <w:rPr>
                <w:rFonts w:hAnsiTheme="minorEastAsia" w:eastAsiaTheme="minorEastAsia"/>
                <w:color w:val="auto"/>
                <w:sz w:val="24"/>
              </w:rPr>
              <w:t>对照《关于印发</w:t>
            </w:r>
            <w:r>
              <w:rPr>
                <w:rFonts w:hint="eastAsia" w:hAnsiTheme="minorEastAsia" w:eastAsiaTheme="minorEastAsia"/>
                <w:color w:val="auto"/>
                <w:sz w:val="24"/>
                <w:lang w:eastAsia="zh-CN"/>
              </w:rPr>
              <w:t>〈</w:t>
            </w:r>
            <w:r>
              <w:rPr>
                <w:rFonts w:hAnsiTheme="minorEastAsia" w:eastAsiaTheme="minorEastAsia"/>
                <w:color w:val="auto"/>
                <w:sz w:val="24"/>
              </w:rPr>
              <w:t>淮安市环境管控单元生态环境准入清单</w:t>
            </w:r>
            <w:r>
              <w:rPr>
                <w:rFonts w:hint="eastAsia" w:hAnsiTheme="minorEastAsia" w:eastAsiaTheme="minorEastAsia"/>
                <w:color w:val="auto"/>
                <w:sz w:val="24"/>
                <w:lang w:eastAsia="zh-CN"/>
              </w:rPr>
              <w:t>〉</w:t>
            </w:r>
            <w:r>
              <w:rPr>
                <w:rFonts w:hAnsiTheme="minorEastAsia" w:eastAsiaTheme="minorEastAsia"/>
                <w:color w:val="auto"/>
                <w:sz w:val="24"/>
              </w:rPr>
              <w:t>的通知》（淮环发〔</w:t>
            </w:r>
            <w:r>
              <w:rPr>
                <w:rFonts w:eastAsiaTheme="minorEastAsia"/>
                <w:color w:val="auto"/>
                <w:sz w:val="24"/>
              </w:rPr>
              <w:t>2020</w:t>
            </w:r>
            <w:r>
              <w:rPr>
                <w:rFonts w:hAnsiTheme="minorEastAsia" w:eastAsiaTheme="minorEastAsia"/>
                <w:color w:val="auto"/>
                <w:sz w:val="24"/>
              </w:rPr>
              <w:t>〕</w:t>
            </w:r>
            <w:r>
              <w:rPr>
                <w:rFonts w:eastAsiaTheme="minorEastAsia"/>
                <w:color w:val="auto"/>
                <w:sz w:val="24"/>
              </w:rPr>
              <w:t>264</w:t>
            </w:r>
            <w:r>
              <w:rPr>
                <w:rFonts w:hAnsiTheme="minorEastAsia" w:eastAsiaTheme="minorEastAsia"/>
                <w:color w:val="auto"/>
                <w:sz w:val="24"/>
              </w:rPr>
              <w:t>号），</w:t>
            </w:r>
            <w:r>
              <w:rPr>
                <w:rFonts w:hint="eastAsia" w:hAnsiTheme="minorEastAsia" w:eastAsiaTheme="minorEastAsia"/>
                <w:color w:val="auto"/>
                <w:sz w:val="24"/>
                <w:lang w:eastAsia="zh-CN"/>
              </w:rPr>
              <w:t>扩建</w:t>
            </w:r>
            <w:r>
              <w:rPr>
                <w:rFonts w:hAnsiTheme="minorEastAsia" w:eastAsiaTheme="minorEastAsia"/>
                <w:color w:val="auto"/>
                <w:sz w:val="24"/>
              </w:rPr>
              <w:t>项目位于</w:t>
            </w:r>
            <w:r>
              <w:rPr>
                <w:rFonts w:hint="eastAsia"/>
                <w:color w:val="auto"/>
                <w:kern w:val="0"/>
                <w:sz w:val="24"/>
                <w:lang w:val="en-US" w:eastAsia="zh-CN"/>
              </w:rPr>
              <w:t>江苏涟水经济开发区涟水路3号</w:t>
            </w:r>
            <w:r>
              <w:rPr>
                <w:color w:val="auto"/>
                <w:sz w:val="24"/>
              </w:rPr>
              <w:t>，在江苏省涟水县经济技术开发区（省级）范围内</w:t>
            </w:r>
            <w:r>
              <w:rPr>
                <w:rFonts w:hAnsiTheme="minorEastAsia" w:eastAsiaTheme="minorEastAsia"/>
                <w:color w:val="auto"/>
                <w:sz w:val="24"/>
              </w:rPr>
              <w:t>，属于重点管控单元，相符性分析表</w:t>
            </w:r>
            <w:r>
              <w:rPr>
                <w:rFonts w:eastAsiaTheme="minorEastAsia"/>
                <w:color w:val="auto"/>
                <w:sz w:val="24"/>
              </w:rPr>
              <w:t>1-</w:t>
            </w:r>
            <w:r>
              <w:rPr>
                <w:rFonts w:hint="eastAsia" w:eastAsiaTheme="minorEastAsia"/>
                <w:color w:val="auto"/>
                <w:sz w:val="24"/>
                <w:lang w:val="en-US" w:eastAsia="zh-CN"/>
              </w:rPr>
              <w:t>8</w:t>
            </w:r>
            <w:r>
              <w:rPr>
                <w:rFonts w:hAnsiTheme="minorEastAsia" w:eastAsiaTheme="minorEastAsia"/>
                <w:color w:val="auto"/>
                <w:sz w:val="24"/>
              </w:rPr>
              <w:t>。</w:t>
            </w:r>
          </w:p>
          <w:p w14:paraId="143FEFDF">
            <w:pPr>
              <w:adjustRightInd w:val="0"/>
              <w:snapToGrid w:val="0"/>
              <w:jc w:val="center"/>
              <w:rPr>
                <w:rFonts w:eastAsiaTheme="minorEastAsia"/>
                <w:b/>
                <w:bCs/>
                <w:color w:val="auto"/>
                <w:sz w:val="24"/>
              </w:rPr>
            </w:pPr>
            <w:r>
              <w:rPr>
                <w:rFonts w:hAnsiTheme="minorEastAsia" w:eastAsiaTheme="minorEastAsia"/>
                <w:b/>
                <w:bCs/>
                <w:color w:val="auto"/>
                <w:sz w:val="24"/>
              </w:rPr>
              <w:t>表</w:t>
            </w:r>
            <w:r>
              <w:rPr>
                <w:rFonts w:eastAsiaTheme="minorEastAsia"/>
                <w:b/>
                <w:bCs/>
                <w:color w:val="auto"/>
                <w:sz w:val="24"/>
              </w:rPr>
              <w:t>1-</w:t>
            </w:r>
            <w:r>
              <w:rPr>
                <w:rFonts w:hint="eastAsia" w:eastAsiaTheme="minorEastAsia"/>
                <w:b/>
                <w:bCs/>
                <w:color w:val="auto"/>
                <w:sz w:val="24"/>
                <w:lang w:val="en-US" w:eastAsia="zh-CN"/>
              </w:rPr>
              <w:t>8</w:t>
            </w:r>
            <w:r>
              <w:rPr>
                <w:rFonts w:eastAsiaTheme="minorEastAsia"/>
                <w:b/>
                <w:bCs/>
                <w:color w:val="auto"/>
                <w:sz w:val="24"/>
              </w:rPr>
              <w:t xml:space="preserve">  </w:t>
            </w:r>
            <w:r>
              <w:rPr>
                <w:rFonts w:hint="eastAsia" w:hAnsiTheme="minorEastAsia" w:eastAsiaTheme="minorEastAsia"/>
                <w:b/>
                <w:color w:val="auto"/>
                <w:sz w:val="24"/>
                <w:lang w:eastAsia="zh-CN"/>
              </w:rPr>
              <w:t>扩建</w:t>
            </w:r>
            <w:r>
              <w:rPr>
                <w:rFonts w:hAnsiTheme="minorEastAsia" w:eastAsiaTheme="minorEastAsia"/>
                <w:b/>
                <w:bCs/>
                <w:color w:val="auto"/>
                <w:sz w:val="24"/>
              </w:rPr>
              <w:t>项目</w:t>
            </w:r>
            <w:r>
              <w:rPr>
                <w:rFonts w:hAnsiTheme="minorEastAsia" w:eastAsiaTheme="minorEastAsia"/>
                <w:b/>
                <w:bCs/>
                <w:snapToGrid w:val="0"/>
                <w:color w:val="auto"/>
                <w:kern w:val="0"/>
                <w:sz w:val="24"/>
              </w:rPr>
              <w:t>与《</w:t>
            </w:r>
            <w:r>
              <w:rPr>
                <w:rFonts w:hAnsiTheme="minorEastAsia" w:eastAsiaTheme="minorEastAsia"/>
                <w:b/>
                <w:bCs/>
                <w:color w:val="auto"/>
                <w:sz w:val="24"/>
              </w:rPr>
              <w:t>淮安市环境管控单元生态环境准入清单》相符性分析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63"/>
              <w:gridCol w:w="3017"/>
              <w:gridCol w:w="3394"/>
              <w:gridCol w:w="1164"/>
            </w:tblGrid>
            <w:tr w14:paraId="0F23F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58" w:type="pct"/>
                  <w:tcBorders>
                    <w:top w:val="single" w:color="auto" w:sz="12" w:space="0"/>
                    <w:left w:val="nil"/>
                    <w:bottom w:val="single" w:color="auto" w:sz="4" w:space="0"/>
                    <w:right w:val="single" w:color="auto" w:sz="4" w:space="0"/>
                  </w:tcBorders>
                  <w:vAlign w:val="center"/>
                </w:tcPr>
                <w:p w14:paraId="677E1440">
                  <w:pPr>
                    <w:adjustRightInd w:val="0"/>
                    <w:snapToGrid w:val="0"/>
                    <w:jc w:val="center"/>
                    <w:rPr>
                      <w:rFonts w:eastAsiaTheme="minorEastAsia"/>
                      <w:b/>
                      <w:bCs/>
                      <w:color w:val="auto"/>
                      <w:szCs w:val="21"/>
                    </w:rPr>
                  </w:pPr>
                  <w:r>
                    <w:rPr>
                      <w:rFonts w:hAnsiTheme="minorEastAsia" w:eastAsiaTheme="minorEastAsia"/>
                      <w:b/>
                      <w:bCs/>
                      <w:color w:val="auto"/>
                      <w:szCs w:val="21"/>
                    </w:rPr>
                    <w:t>类型</w:t>
                  </w:r>
                </w:p>
              </w:tc>
              <w:tc>
                <w:tcPr>
                  <w:tcW w:w="1809" w:type="pct"/>
                  <w:tcBorders>
                    <w:top w:val="single" w:color="auto" w:sz="12" w:space="0"/>
                    <w:left w:val="single" w:color="auto" w:sz="4" w:space="0"/>
                    <w:bottom w:val="single" w:color="auto" w:sz="4" w:space="0"/>
                    <w:right w:val="single" w:color="auto" w:sz="4" w:space="0"/>
                  </w:tcBorders>
                  <w:vAlign w:val="center"/>
                </w:tcPr>
                <w:p w14:paraId="00770AEF">
                  <w:pPr>
                    <w:adjustRightInd w:val="0"/>
                    <w:snapToGrid w:val="0"/>
                    <w:jc w:val="center"/>
                    <w:rPr>
                      <w:rFonts w:eastAsiaTheme="minorEastAsia"/>
                      <w:b/>
                      <w:bCs/>
                      <w:color w:val="auto"/>
                      <w:szCs w:val="21"/>
                    </w:rPr>
                  </w:pPr>
                  <w:r>
                    <w:rPr>
                      <w:rFonts w:hAnsiTheme="minorEastAsia" w:eastAsiaTheme="minorEastAsia"/>
                      <w:b/>
                      <w:bCs/>
                      <w:color w:val="auto"/>
                      <w:szCs w:val="21"/>
                    </w:rPr>
                    <w:t>重点管控要求</w:t>
                  </w:r>
                </w:p>
              </w:tc>
              <w:tc>
                <w:tcPr>
                  <w:tcW w:w="2035" w:type="pct"/>
                  <w:tcBorders>
                    <w:top w:val="single" w:color="auto" w:sz="12" w:space="0"/>
                    <w:left w:val="single" w:color="auto" w:sz="4" w:space="0"/>
                    <w:bottom w:val="single" w:color="auto" w:sz="4" w:space="0"/>
                    <w:right w:val="single" w:color="auto" w:sz="4" w:space="0"/>
                  </w:tcBorders>
                  <w:vAlign w:val="center"/>
                </w:tcPr>
                <w:p w14:paraId="7FE44275">
                  <w:pPr>
                    <w:adjustRightInd w:val="0"/>
                    <w:snapToGrid w:val="0"/>
                    <w:jc w:val="center"/>
                    <w:rPr>
                      <w:rFonts w:eastAsiaTheme="minorEastAsia"/>
                      <w:b/>
                      <w:bCs/>
                      <w:color w:val="auto"/>
                      <w:szCs w:val="21"/>
                    </w:rPr>
                  </w:pPr>
                  <w:r>
                    <w:rPr>
                      <w:rFonts w:hint="eastAsia" w:hAnsiTheme="minorEastAsia" w:eastAsiaTheme="minorEastAsia"/>
                      <w:b/>
                      <w:color w:val="auto"/>
                      <w:szCs w:val="21"/>
                      <w:lang w:eastAsia="zh-CN"/>
                    </w:rPr>
                    <w:t>技改</w:t>
                  </w:r>
                  <w:r>
                    <w:rPr>
                      <w:rFonts w:hAnsiTheme="minorEastAsia" w:eastAsiaTheme="minorEastAsia"/>
                      <w:b/>
                      <w:bCs/>
                      <w:color w:val="auto"/>
                      <w:szCs w:val="21"/>
                    </w:rPr>
                    <w:t>项目情况</w:t>
                  </w:r>
                </w:p>
              </w:tc>
              <w:tc>
                <w:tcPr>
                  <w:tcW w:w="698" w:type="pct"/>
                  <w:tcBorders>
                    <w:top w:val="single" w:color="auto" w:sz="12" w:space="0"/>
                    <w:left w:val="single" w:color="auto" w:sz="4" w:space="0"/>
                    <w:bottom w:val="single" w:color="auto" w:sz="4" w:space="0"/>
                    <w:right w:val="nil"/>
                  </w:tcBorders>
                  <w:vAlign w:val="center"/>
                </w:tcPr>
                <w:p w14:paraId="2DC50AA4">
                  <w:pPr>
                    <w:adjustRightInd w:val="0"/>
                    <w:snapToGrid w:val="0"/>
                    <w:jc w:val="center"/>
                    <w:rPr>
                      <w:rFonts w:eastAsiaTheme="minorEastAsia"/>
                      <w:b/>
                      <w:bCs/>
                      <w:color w:val="auto"/>
                      <w:szCs w:val="21"/>
                    </w:rPr>
                  </w:pPr>
                  <w:r>
                    <w:rPr>
                      <w:rFonts w:hAnsiTheme="minorEastAsia" w:eastAsiaTheme="minorEastAsia"/>
                      <w:b/>
                      <w:bCs/>
                      <w:color w:val="auto"/>
                      <w:szCs w:val="21"/>
                    </w:rPr>
                    <w:t>相符性分析</w:t>
                  </w:r>
                </w:p>
              </w:tc>
            </w:tr>
            <w:tr w14:paraId="3F45E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tcBorders>
                    <w:top w:val="single" w:color="auto" w:sz="4" w:space="0"/>
                    <w:left w:val="nil"/>
                    <w:bottom w:val="single" w:color="auto" w:sz="4" w:space="0"/>
                    <w:right w:val="single" w:color="auto" w:sz="4" w:space="0"/>
                  </w:tcBorders>
                  <w:vAlign w:val="center"/>
                </w:tcPr>
                <w:p w14:paraId="12C51045">
                  <w:pPr>
                    <w:adjustRightInd w:val="0"/>
                    <w:snapToGrid w:val="0"/>
                    <w:jc w:val="center"/>
                    <w:rPr>
                      <w:rFonts w:eastAsiaTheme="minorEastAsia"/>
                      <w:color w:val="auto"/>
                      <w:szCs w:val="21"/>
                    </w:rPr>
                  </w:pPr>
                  <w:r>
                    <w:rPr>
                      <w:rFonts w:hAnsiTheme="minorEastAsia" w:eastAsiaTheme="minorEastAsia"/>
                      <w:color w:val="auto"/>
                      <w:szCs w:val="21"/>
                    </w:rPr>
                    <w:t>空间布局约束</w:t>
                  </w:r>
                </w:p>
              </w:tc>
              <w:tc>
                <w:tcPr>
                  <w:tcW w:w="1809" w:type="pct"/>
                  <w:tcBorders>
                    <w:top w:val="single" w:color="auto" w:sz="4" w:space="0"/>
                    <w:left w:val="single" w:color="auto" w:sz="4" w:space="0"/>
                    <w:bottom w:val="single" w:color="auto" w:sz="4" w:space="0"/>
                    <w:right w:val="single" w:color="auto" w:sz="4" w:space="0"/>
                  </w:tcBorders>
                  <w:vAlign w:val="center"/>
                </w:tcPr>
                <w:p w14:paraId="489FF5FB">
                  <w:pPr>
                    <w:adjustRightInd w:val="0"/>
                    <w:snapToGrid w:val="0"/>
                    <w:jc w:val="left"/>
                    <w:rPr>
                      <w:rFonts w:eastAsiaTheme="minorEastAsia"/>
                      <w:color w:val="auto"/>
                      <w:szCs w:val="21"/>
                    </w:rPr>
                  </w:pPr>
                  <w:r>
                    <w:rPr>
                      <w:rFonts w:hint="eastAsia" w:eastAsiaTheme="minorEastAsia"/>
                      <w:color w:val="auto"/>
                      <w:szCs w:val="21"/>
                      <w:lang w:eastAsia="zh-CN"/>
                    </w:rPr>
                    <w:t>（</w:t>
                  </w:r>
                  <w:r>
                    <w:rPr>
                      <w:rFonts w:eastAsiaTheme="minorEastAsia"/>
                      <w:color w:val="auto"/>
                      <w:szCs w:val="21"/>
                    </w:rPr>
                    <w:t>1</w:t>
                  </w:r>
                  <w:r>
                    <w:rPr>
                      <w:rFonts w:hint="eastAsia" w:eastAsiaTheme="minorEastAsia"/>
                      <w:color w:val="auto"/>
                      <w:szCs w:val="21"/>
                      <w:lang w:eastAsia="zh-CN"/>
                    </w:rPr>
                    <w:t>）</w:t>
                  </w:r>
                  <w:r>
                    <w:rPr>
                      <w:rFonts w:eastAsiaTheme="minorEastAsia"/>
                      <w:color w:val="auto"/>
                      <w:szCs w:val="21"/>
                    </w:rPr>
                    <w:t>优先发展</w:t>
                  </w:r>
                  <w:r>
                    <w:rPr>
                      <w:rFonts w:hint="eastAsia" w:eastAsiaTheme="minorEastAsia"/>
                      <w:color w:val="auto"/>
                      <w:szCs w:val="21"/>
                      <w:lang w:eastAsia="zh-CN"/>
                    </w:rPr>
                    <w:t>：</w:t>
                  </w:r>
                  <w:r>
                    <w:rPr>
                      <w:rFonts w:eastAsiaTheme="minorEastAsia"/>
                      <w:color w:val="auto"/>
                      <w:szCs w:val="21"/>
                    </w:rPr>
                    <w:t>东区主要发展机电轻纺；西区主要发展食品、医药、机械制造、新型建材、高新电子、</w:t>
                  </w:r>
                  <w:r>
                    <w:rPr>
                      <w:rFonts w:hint="eastAsia" w:eastAsiaTheme="minorEastAsia"/>
                      <w:color w:val="auto"/>
                      <w:szCs w:val="21"/>
                      <w:lang w:eastAsia="zh-CN"/>
                    </w:rPr>
                    <w:t>特色</w:t>
                  </w:r>
                  <w:r>
                    <w:rPr>
                      <w:rFonts w:eastAsiaTheme="minorEastAsia"/>
                      <w:color w:val="auto"/>
                      <w:szCs w:val="21"/>
                    </w:rPr>
                    <w:t>化纤、纺织印染。</w:t>
                  </w:r>
                </w:p>
                <w:p w14:paraId="128F3403">
                  <w:pPr>
                    <w:adjustRightInd w:val="0"/>
                    <w:snapToGrid w:val="0"/>
                    <w:jc w:val="left"/>
                    <w:rPr>
                      <w:rFonts w:eastAsiaTheme="minorEastAsia"/>
                      <w:color w:val="auto"/>
                      <w:szCs w:val="21"/>
                    </w:rPr>
                  </w:pPr>
                  <w:r>
                    <w:rPr>
                      <w:rFonts w:hint="eastAsia" w:eastAsiaTheme="minorEastAsia"/>
                      <w:color w:val="auto"/>
                      <w:szCs w:val="21"/>
                      <w:lang w:eastAsia="zh-CN"/>
                    </w:rPr>
                    <w:t>（</w:t>
                  </w:r>
                  <w:r>
                    <w:rPr>
                      <w:rFonts w:eastAsiaTheme="minorEastAsia"/>
                      <w:color w:val="auto"/>
                      <w:szCs w:val="21"/>
                    </w:rPr>
                    <w:t>2</w:t>
                  </w:r>
                  <w:r>
                    <w:rPr>
                      <w:rFonts w:hint="eastAsia" w:eastAsiaTheme="minorEastAsia"/>
                      <w:color w:val="auto"/>
                      <w:szCs w:val="21"/>
                      <w:lang w:eastAsia="zh-CN"/>
                    </w:rPr>
                    <w:t>）</w:t>
                  </w:r>
                  <w:r>
                    <w:rPr>
                      <w:rFonts w:eastAsiaTheme="minorEastAsia"/>
                      <w:color w:val="auto"/>
                      <w:szCs w:val="21"/>
                    </w:rPr>
                    <w:t>限制发展</w:t>
                  </w:r>
                  <w:r>
                    <w:rPr>
                      <w:rFonts w:hint="eastAsia" w:eastAsiaTheme="minorEastAsia"/>
                      <w:color w:val="auto"/>
                      <w:szCs w:val="21"/>
                      <w:lang w:eastAsia="zh-CN"/>
                    </w:rPr>
                    <w:t>：</w:t>
                  </w:r>
                  <w:r>
                    <w:rPr>
                      <w:rFonts w:eastAsiaTheme="minorEastAsia"/>
                      <w:color w:val="auto"/>
                      <w:szCs w:val="21"/>
                    </w:rPr>
                    <w:t>高新电子（线路板）限于电子产业园建设；纺织印染</w:t>
                  </w:r>
                  <w:r>
                    <w:rPr>
                      <w:rFonts w:hint="eastAsia" w:eastAsiaTheme="minorEastAsia"/>
                      <w:color w:val="auto"/>
                      <w:szCs w:val="21"/>
                      <w:lang w:eastAsia="zh-CN"/>
                    </w:rPr>
                    <w:t>（</w:t>
                  </w:r>
                  <w:r>
                    <w:rPr>
                      <w:rFonts w:eastAsiaTheme="minorEastAsia"/>
                      <w:color w:val="auto"/>
                      <w:szCs w:val="21"/>
                    </w:rPr>
                    <w:t>大中型印染</w:t>
                  </w:r>
                  <w:r>
                    <w:rPr>
                      <w:rFonts w:hint="eastAsia" w:eastAsiaTheme="minorEastAsia"/>
                      <w:color w:val="auto"/>
                      <w:szCs w:val="21"/>
                      <w:lang w:eastAsia="zh-CN"/>
                    </w:rPr>
                    <w:t>）</w:t>
                  </w:r>
                  <w:r>
                    <w:rPr>
                      <w:rFonts w:eastAsiaTheme="minorEastAsia"/>
                      <w:color w:val="auto"/>
                      <w:szCs w:val="21"/>
                    </w:rPr>
                    <w:t>，总废水量不超过6000吨/天。</w:t>
                  </w:r>
                </w:p>
                <w:p w14:paraId="3824A099">
                  <w:pPr>
                    <w:adjustRightInd w:val="0"/>
                    <w:snapToGrid w:val="0"/>
                    <w:jc w:val="left"/>
                    <w:rPr>
                      <w:rFonts w:eastAsiaTheme="minorEastAsia"/>
                      <w:color w:val="auto"/>
                      <w:szCs w:val="21"/>
                    </w:rPr>
                  </w:pPr>
                  <w:r>
                    <w:rPr>
                      <w:rFonts w:hint="eastAsia" w:eastAsiaTheme="minorEastAsia"/>
                      <w:color w:val="auto"/>
                      <w:szCs w:val="21"/>
                      <w:lang w:eastAsia="zh-CN"/>
                    </w:rPr>
                    <w:t>（</w:t>
                  </w:r>
                  <w:r>
                    <w:rPr>
                      <w:rFonts w:eastAsiaTheme="minorEastAsia"/>
                      <w:color w:val="auto"/>
                      <w:szCs w:val="21"/>
                    </w:rPr>
                    <w:t>3</w:t>
                  </w:r>
                  <w:r>
                    <w:rPr>
                      <w:rFonts w:hint="eastAsia" w:eastAsiaTheme="minorEastAsia"/>
                      <w:color w:val="auto"/>
                      <w:szCs w:val="21"/>
                      <w:lang w:eastAsia="zh-CN"/>
                    </w:rPr>
                    <w:t>）</w:t>
                  </w:r>
                  <w:r>
                    <w:rPr>
                      <w:rFonts w:eastAsiaTheme="minorEastAsia"/>
                      <w:color w:val="auto"/>
                      <w:szCs w:val="21"/>
                    </w:rPr>
                    <w:t>禁止发展</w:t>
                  </w:r>
                  <w:r>
                    <w:rPr>
                      <w:rFonts w:hint="eastAsia" w:eastAsiaTheme="minorEastAsia"/>
                      <w:color w:val="auto"/>
                      <w:szCs w:val="21"/>
                      <w:lang w:eastAsia="zh-CN"/>
                    </w:rPr>
                    <w:t>：</w:t>
                  </w:r>
                  <w:r>
                    <w:rPr>
                      <w:rFonts w:eastAsiaTheme="minorEastAsia"/>
                      <w:color w:val="auto"/>
                      <w:szCs w:val="21"/>
                    </w:rPr>
                    <w:t>开发区禁止机电轻纺</w:t>
                  </w:r>
                  <w:r>
                    <w:rPr>
                      <w:rFonts w:hint="eastAsia" w:eastAsiaTheme="minorEastAsia"/>
                      <w:color w:val="auto"/>
                      <w:szCs w:val="21"/>
                      <w:lang w:eastAsia="zh-CN"/>
                    </w:rPr>
                    <w:t>（</w:t>
                  </w:r>
                  <w:r>
                    <w:rPr>
                      <w:rFonts w:eastAsiaTheme="minorEastAsia"/>
                      <w:color w:val="auto"/>
                      <w:szCs w:val="21"/>
                    </w:rPr>
                    <w:t>电锁、印染</w:t>
                  </w:r>
                  <w:r>
                    <w:rPr>
                      <w:rFonts w:hint="eastAsia" w:eastAsiaTheme="minorEastAsia"/>
                      <w:color w:val="auto"/>
                      <w:szCs w:val="21"/>
                      <w:lang w:eastAsia="zh-CN"/>
                    </w:rPr>
                    <w:t>）</w:t>
                  </w:r>
                  <w:r>
                    <w:rPr>
                      <w:rFonts w:eastAsiaTheme="minorEastAsia"/>
                      <w:color w:val="auto"/>
                      <w:szCs w:val="21"/>
                    </w:rPr>
                    <w:t>；食品医药</w:t>
                  </w:r>
                  <w:r>
                    <w:rPr>
                      <w:rFonts w:hint="eastAsia" w:eastAsiaTheme="minorEastAsia"/>
                      <w:color w:val="auto"/>
                      <w:szCs w:val="21"/>
                      <w:lang w:eastAsia="zh-CN"/>
                    </w:rPr>
                    <w:t>（</w:t>
                  </w:r>
                  <w:r>
                    <w:rPr>
                      <w:rFonts w:eastAsiaTheme="minorEastAsia"/>
                      <w:color w:val="auto"/>
                      <w:szCs w:val="21"/>
                    </w:rPr>
                    <w:t>原药、医药中间体</w:t>
                  </w:r>
                  <w:r>
                    <w:rPr>
                      <w:rFonts w:hint="eastAsia" w:eastAsiaTheme="minorEastAsia"/>
                      <w:color w:val="auto"/>
                      <w:szCs w:val="21"/>
                      <w:lang w:eastAsia="zh-CN"/>
                    </w:rPr>
                    <w:t>）</w:t>
                  </w:r>
                  <w:r>
                    <w:rPr>
                      <w:rFonts w:eastAsiaTheme="minorEastAsia"/>
                      <w:color w:val="auto"/>
                      <w:szCs w:val="21"/>
                    </w:rPr>
                    <w:t>；高新电子</w:t>
                  </w:r>
                  <w:r>
                    <w:rPr>
                      <w:rFonts w:hint="eastAsia" w:eastAsiaTheme="minorEastAsia"/>
                      <w:color w:val="auto"/>
                      <w:szCs w:val="21"/>
                      <w:lang w:eastAsia="zh-CN"/>
                    </w:rPr>
                    <w:t>（</w:t>
                  </w:r>
                  <w:r>
                    <w:rPr>
                      <w:rFonts w:eastAsiaTheme="minorEastAsia"/>
                      <w:color w:val="auto"/>
                      <w:szCs w:val="21"/>
                    </w:rPr>
                    <w:t>电镀</w:t>
                  </w:r>
                  <w:r>
                    <w:rPr>
                      <w:rFonts w:hint="eastAsia" w:eastAsiaTheme="minorEastAsia"/>
                      <w:color w:val="auto"/>
                      <w:szCs w:val="21"/>
                      <w:lang w:eastAsia="zh-CN"/>
                    </w:rPr>
                    <w:t>）</w:t>
                  </w:r>
                  <w:r>
                    <w:rPr>
                      <w:rFonts w:eastAsiaTheme="minorEastAsia"/>
                      <w:color w:val="auto"/>
                      <w:szCs w:val="21"/>
                    </w:rPr>
                    <w:t>；特种化纤</w:t>
                  </w:r>
                  <w:r>
                    <w:rPr>
                      <w:rFonts w:hint="eastAsia" w:eastAsiaTheme="minorEastAsia"/>
                      <w:color w:val="auto"/>
                      <w:szCs w:val="21"/>
                      <w:lang w:eastAsia="zh-CN"/>
                    </w:rPr>
                    <w:t>（</w:t>
                  </w:r>
                  <w:r>
                    <w:rPr>
                      <w:rFonts w:eastAsiaTheme="minorEastAsia"/>
                      <w:color w:val="auto"/>
                      <w:szCs w:val="21"/>
                    </w:rPr>
                    <w:t>化纤原料生产</w:t>
                  </w:r>
                  <w:r>
                    <w:rPr>
                      <w:rFonts w:hint="eastAsia" w:eastAsiaTheme="minorEastAsia"/>
                      <w:color w:val="auto"/>
                      <w:szCs w:val="21"/>
                      <w:lang w:eastAsia="zh-CN"/>
                    </w:rPr>
                    <w:t>）</w:t>
                  </w:r>
                  <w:r>
                    <w:rPr>
                      <w:rFonts w:eastAsiaTheme="minorEastAsia"/>
                      <w:color w:val="auto"/>
                      <w:szCs w:val="21"/>
                    </w:rPr>
                    <w:t>；新型建材</w:t>
                  </w:r>
                  <w:r>
                    <w:rPr>
                      <w:rFonts w:hint="eastAsia" w:eastAsiaTheme="minorEastAsia"/>
                      <w:color w:val="auto"/>
                      <w:szCs w:val="21"/>
                      <w:lang w:eastAsia="zh-CN"/>
                    </w:rPr>
                    <w:t>（</w:t>
                  </w:r>
                  <w:r>
                    <w:rPr>
                      <w:rFonts w:eastAsiaTheme="minorEastAsia"/>
                      <w:color w:val="auto"/>
                      <w:szCs w:val="21"/>
                    </w:rPr>
                    <w:t>水泥</w:t>
                  </w:r>
                  <w:r>
                    <w:rPr>
                      <w:rFonts w:hint="eastAsia" w:eastAsiaTheme="minorEastAsia"/>
                      <w:color w:val="auto"/>
                      <w:szCs w:val="21"/>
                      <w:lang w:eastAsia="zh-CN"/>
                    </w:rPr>
                    <w:t>）</w:t>
                  </w:r>
                  <w:r>
                    <w:rPr>
                      <w:rFonts w:eastAsiaTheme="minorEastAsia"/>
                      <w:color w:val="auto"/>
                      <w:szCs w:val="21"/>
                    </w:rPr>
                    <w:t>；机械制造</w:t>
                  </w:r>
                  <w:r>
                    <w:rPr>
                      <w:rFonts w:hint="eastAsia" w:eastAsiaTheme="minorEastAsia"/>
                      <w:color w:val="auto"/>
                      <w:szCs w:val="21"/>
                      <w:lang w:eastAsia="zh-CN"/>
                    </w:rPr>
                    <w:t>（</w:t>
                  </w:r>
                  <w:r>
                    <w:rPr>
                      <w:rFonts w:eastAsiaTheme="minorEastAsia"/>
                      <w:color w:val="auto"/>
                      <w:szCs w:val="21"/>
                    </w:rPr>
                    <w:t>电镀</w:t>
                  </w:r>
                  <w:r>
                    <w:rPr>
                      <w:rFonts w:hint="eastAsia" w:eastAsiaTheme="minorEastAsia"/>
                      <w:color w:val="auto"/>
                      <w:szCs w:val="21"/>
                      <w:lang w:eastAsia="zh-CN"/>
                    </w:rPr>
                    <w:t>）</w:t>
                  </w:r>
                  <w:r>
                    <w:rPr>
                      <w:rFonts w:eastAsiaTheme="minorEastAsia"/>
                      <w:color w:val="auto"/>
                      <w:szCs w:val="21"/>
                    </w:rPr>
                    <w:t>；纺织印染</w:t>
                  </w:r>
                  <w:r>
                    <w:rPr>
                      <w:rFonts w:hint="eastAsia" w:eastAsiaTheme="minorEastAsia"/>
                      <w:color w:val="auto"/>
                      <w:szCs w:val="21"/>
                      <w:lang w:eastAsia="zh-CN"/>
                    </w:rPr>
                    <w:t>（</w:t>
                  </w:r>
                  <w:r>
                    <w:rPr>
                      <w:rFonts w:eastAsiaTheme="minorEastAsia"/>
                      <w:color w:val="auto"/>
                      <w:szCs w:val="21"/>
                    </w:rPr>
                    <w:t>小型印染</w:t>
                  </w:r>
                  <w:r>
                    <w:rPr>
                      <w:rFonts w:hint="eastAsia" w:eastAsiaTheme="minorEastAsia"/>
                      <w:color w:val="auto"/>
                      <w:szCs w:val="21"/>
                      <w:lang w:eastAsia="zh-CN"/>
                    </w:rPr>
                    <w:t>）</w:t>
                  </w:r>
                  <w:r>
                    <w:rPr>
                      <w:rFonts w:eastAsiaTheme="minorEastAsia"/>
                      <w:color w:val="auto"/>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220988A6">
                  <w:pPr>
                    <w:adjustRightInd w:val="0"/>
                    <w:snapToGrid w:val="0"/>
                    <w:jc w:val="left"/>
                    <w:rPr>
                      <w:rFonts w:hint="eastAsia" w:eastAsiaTheme="minorEastAsia"/>
                      <w:color w:val="auto"/>
                      <w:szCs w:val="21"/>
                      <w:lang w:eastAsia="zh-CN"/>
                    </w:rPr>
                  </w:pPr>
                  <w:r>
                    <w:rPr>
                      <w:rFonts w:hint="eastAsia" w:hAnsiTheme="minorEastAsia" w:eastAsiaTheme="minorEastAsia"/>
                      <w:color w:val="auto"/>
                      <w:sz w:val="21"/>
                      <w:szCs w:val="21"/>
                      <w:lang w:eastAsia="zh-CN"/>
                    </w:rPr>
                    <w:t>扩建</w:t>
                  </w:r>
                  <w:r>
                    <w:rPr>
                      <w:rFonts w:hAnsiTheme="minorEastAsia" w:eastAsiaTheme="minorEastAsia"/>
                      <w:color w:val="auto"/>
                      <w:sz w:val="21"/>
                      <w:szCs w:val="21"/>
                    </w:rPr>
                    <w:t>项目为</w:t>
                  </w:r>
                  <w:r>
                    <w:rPr>
                      <w:rFonts w:hint="default" w:ascii="Times New Roman" w:hAnsi="Times New Roman" w:eastAsia="宋体" w:cs="Times New Roman"/>
                      <w:color w:val="auto"/>
                      <w:sz w:val="21"/>
                      <w:szCs w:val="21"/>
                    </w:rPr>
                    <w:t>调味鱼皮及预制水产品</w:t>
                  </w:r>
                  <w:r>
                    <w:rPr>
                      <w:rFonts w:hint="eastAsia" w:ascii="Times New Roman" w:hAnsi="Times New Roman" w:cs="Times New Roman"/>
                      <w:color w:val="auto"/>
                      <w:sz w:val="21"/>
                      <w:szCs w:val="21"/>
                      <w:lang w:eastAsia="zh-CN"/>
                    </w:rPr>
                    <w:t>生产</w:t>
                  </w:r>
                  <w:r>
                    <w:rPr>
                      <w:color w:val="auto"/>
                      <w:sz w:val="21"/>
                      <w:szCs w:val="21"/>
                    </w:rPr>
                    <w:t>项目</w:t>
                  </w:r>
                  <w:r>
                    <w:rPr>
                      <w:rFonts w:hAnsiTheme="minorEastAsia" w:eastAsiaTheme="minorEastAsia"/>
                      <w:color w:val="auto"/>
                      <w:sz w:val="21"/>
                      <w:szCs w:val="21"/>
                    </w:rPr>
                    <w:t>，不属于所述限制和禁止类产业</w:t>
                  </w:r>
                  <w:r>
                    <w:rPr>
                      <w:rFonts w:hint="eastAsia" w:hAnsiTheme="minorEastAsia" w:eastAsiaTheme="minorEastAsia"/>
                      <w:color w:val="auto"/>
                      <w:sz w:val="21"/>
                      <w:szCs w:val="21"/>
                      <w:lang w:eastAsia="zh-CN"/>
                    </w:rPr>
                    <w:t>。</w:t>
                  </w:r>
                </w:p>
              </w:tc>
              <w:tc>
                <w:tcPr>
                  <w:tcW w:w="698" w:type="pct"/>
                  <w:tcBorders>
                    <w:top w:val="single" w:color="auto" w:sz="4" w:space="0"/>
                    <w:left w:val="single" w:color="auto" w:sz="4" w:space="0"/>
                    <w:bottom w:val="single" w:color="auto" w:sz="4" w:space="0"/>
                    <w:right w:val="nil"/>
                  </w:tcBorders>
                  <w:vAlign w:val="center"/>
                </w:tcPr>
                <w:p w14:paraId="704C409A">
                  <w:pPr>
                    <w:adjustRightInd w:val="0"/>
                    <w:snapToGrid w:val="0"/>
                    <w:jc w:val="center"/>
                    <w:rPr>
                      <w:rFonts w:eastAsiaTheme="minorEastAsia"/>
                      <w:color w:val="auto"/>
                      <w:szCs w:val="21"/>
                    </w:rPr>
                  </w:pPr>
                  <w:r>
                    <w:rPr>
                      <w:rFonts w:hAnsiTheme="minorEastAsia" w:eastAsiaTheme="minorEastAsia"/>
                      <w:color w:val="auto"/>
                      <w:szCs w:val="21"/>
                    </w:rPr>
                    <w:t>相符</w:t>
                  </w:r>
                </w:p>
              </w:tc>
            </w:tr>
            <w:tr w14:paraId="2112A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tcBorders>
                    <w:top w:val="single" w:color="auto" w:sz="4" w:space="0"/>
                    <w:left w:val="nil"/>
                    <w:bottom w:val="single" w:color="auto" w:sz="4" w:space="0"/>
                    <w:right w:val="single" w:color="auto" w:sz="4" w:space="0"/>
                  </w:tcBorders>
                  <w:vAlign w:val="center"/>
                </w:tcPr>
                <w:p w14:paraId="218F440E">
                  <w:pPr>
                    <w:adjustRightInd w:val="0"/>
                    <w:snapToGrid w:val="0"/>
                    <w:jc w:val="center"/>
                    <w:rPr>
                      <w:rFonts w:eastAsiaTheme="minorEastAsia"/>
                      <w:color w:val="auto"/>
                      <w:szCs w:val="21"/>
                    </w:rPr>
                  </w:pPr>
                  <w:r>
                    <w:rPr>
                      <w:rFonts w:hAnsiTheme="minorEastAsia" w:eastAsiaTheme="minorEastAsia"/>
                      <w:color w:val="auto"/>
                      <w:szCs w:val="21"/>
                    </w:rPr>
                    <w:t>污染物排放管控</w:t>
                  </w:r>
                </w:p>
              </w:tc>
              <w:tc>
                <w:tcPr>
                  <w:tcW w:w="1809" w:type="pct"/>
                  <w:tcBorders>
                    <w:top w:val="single" w:color="auto" w:sz="4" w:space="0"/>
                    <w:left w:val="single" w:color="auto" w:sz="4" w:space="0"/>
                    <w:bottom w:val="single" w:color="auto" w:sz="4" w:space="0"/>
                    <w:right w:val="single" w:color="auto" w:sz="4" w:space="0"/>
                  </w:tcBorders>
                  <w:vAlign w:val="center"/>
                </w:tcPr>
                <w:p w14:paraId="76DCC7A4">
                  <w:pPr>
                    <w:adjustRightInd w:val="0"/>
                    <w:snapToGrid w:val="0"/>
                    <w:rPr>
                      <w:color w:val="auto"/>
                      <w:szCs w:val="21"/>
                    </w:rPr>
                  </w:pPr>
                  <w:r>
                    <w:rPr>
                      <w:rFonts w:hint="eastAsia"/>
                      <w:color w:val="auto"/>
                      <w:szCs w:val="21"/>
                      <w:lang w:eastAsia="zh-CN"/>
                    </w:rPr>
                    <w:t>（</w:t>
                  </w:r>
                  <w:r>
                    <w:rPr>
                      <w:color w:val="auto"/>
                      <w:szCs w:val="21"/>
                    </w:rPr>
                    <w:t>1</w:t>
                  </w:r>
                  <w:r>
                    <w:rPr>
                      <w:rFonts w:hint="eastAsia"/>
                      <w:color w:val="auto"/>
                      <w:szCs w:val="21"/>
                      <w:lang w:eastAsia="zh-CN"/>
                    </w:rPr>
                    <w:t>）</w:t>
                  </w:r>
                  <w:r>
                    <w:rPr>
                      <w:color w:val="auto"/>
                      <w:szCs w:val="21"/>
                    </w:rPr>
                    <w:t>大气污染物排放总量</w:t>
                  </w:r>
                  <w:r>
                    <w:rPr>
                      <w:rFonts w:hint="eastAsia"/>
                      <w:color w:val="auto"/>
                      <w:szCs w:val="21"/>
                      <w:lang w:eastAsia="zh-CN"/>
                    </w:rPr>
                    <w:t>：</w:t>
                  </w:r>
                  <w:r>
                    <w:rPr>
                      <w:color w:val="auto"/>
                      <w:szCs w:val="21"/>
                    </w:rPr>
                    <w:t>开发区二氧化硫415.07吨/年，烟</w:t>
                  </w:r>
                  <w:r>
                    <w:rPr>
                      <w:rFonts w:hint="eastAsia"/>
                      <w:color w:val="auto"/>
                      <w:szCs w:val="21"/>
                      <w:lang w:eastAsia="zh-CN"/>
                    </w:rPr>
                    <w:t>（</w:t>
                  </w:r>
                  <w:r>
                    <w:rPr>
                      <w:color w:val="auto"/>
                      <w:szCs w:val="21"/>
                    </w:rPr>
                    <w:t>粉</w:t>
                  </w:r>
                  <w:r>
                    <w:rPr>
                      <w:rFonts w:hint="eastAsia"/>
                      <w:color w:val="auto"/>
                      <w:szCs w:val="21"/>
                      <w:lang w:eastAsia="zh-CN"/>
                    </w:rPr>
                    <w:t>）</w:t>
                  </w:r>
                  <w:r>
                    <w:rPr>
                      <w:color w:val="auto"/>
                      <w:szCs w:val="21"/>
                    </w:rPr>
                    <w:t>尘69.81吨</w:t>
                  </w:r>
                  <w:r>
                    <w:rPr>
                      <w:rFonts w:hint="eastAsia"/>
                      <w:color w:val="auto"/>
                      <w:szCs w:val="21"/>
                    </w:rPr>
                    <w:t>/</w:t>
                  </w:r>
                  <w:r>
                    <w:rPr>
                      <w:color w:val="auto"/>
                      <w:szCs w:val="21"/>
                    </w:rPr>
                    <w:t>年，硫酸雾2.38吨/年，苯4.34吨/年，甲苯1.01吨/年，甲醛17.11吨/年，氯化氢6.66吨/年。</w:t>
                  </w:r>
                </w:p>
                <w:p w14:paraId="7B96161A">
                  <w:pPr>
                    <w:adjustRightInd w:val="0"/>
                    <w:snapToGrid w:val="0"/>
                    <w:jc w:val="left"/>
                    <w:rPr>
                      <w:rFonts w:eastAsiaTheme="minorEastAsia"/>
                      <w:color w:val="auto"/>
                      <w:szCs w:val="21"/>
                    </w:rPr>
                  </w:pPr>
                  <w:r>
                    <w:rPr>
                      <w:rFonts w:hint="eastAsia"/>
                      <w:color w:val="auto"/>
                      <w:szCs w:val="21"/>
                      <w:lang w:eastAsia="zh-CN"/>
                    </w:rPr>
                    <w:t>（</w:t>
                  </w:r>
                  <w:r>
                    <w:rPr>
                      <w:color w:val="auto"/>
                      <w:szCs w:val="21"/>
                    </w:rPr>
                    <w:t>2</w:t>
                  </w:r>
                  <w:r>
                    <w:rPr>
                      <w:rFonts w:hint="eastAsia"/>
                      <w:color w:val="auto"/>
                      <w:szCs w:val="21"/>
                      <w:lang w:eastAsia="zh-CN"/>
                    </w:rPr>
                    <w:t>）</w:t>
                  </w:r>
                  <w:r>
                    <w:rPr>
                      <w:color w:val="auto"/>
                      <w:szCs w:val="21"/>
                    </w:rPr>
                    <w:t>水污染物排放总量</w:t>
                  </w:r>
                  <w:r>
                    <w:rPr>
                      <w:rFonts w:hint="eastAsia"/>
                      <w:color w:val="auto"/>
                      <w:szCs w:val="21"/>
                      <w:lang w:eastAsia="zh-CN"/>
                    </w:rPr>
                    <w:t>：</w:t>
                  </w:r>
                  <w:r>
                    <w:rPr>
                      <w:color w:val="auto"/>
                      <w:szCs w:val="21"/>
                    </w:rPr>
                    <w:t>西区化学需氧量462.77吨/年，悬浮物154.26吨/年，氨氮61.7吨/年，总磷7.71吨/年，石油类23.14吨/年。</w:t>
                  </w:r>
                </w:p>
              </w:tc>
              <w:tc>
                <w:tcPr>
                  <w:tcW w:w="2035" w:type="pct"/>
                  <w:tcBorders>
                    <w:top w:val="single" w:color="auto" w:sz="4" w:space="0"/>
                    <w:left w:val="single" w:color="auto" w:sz="4" w:space="0"/>
                    <w:bottom w:val="single" w:color="auto" w:sz="4" w:space="0"/>
                    <w:right w:val="single" w:color="auto" w:sz="4" w:space="0"/>
                  </w:tcBorders>
                  <w:vAlign w:val="center"/>
                </w:tcPr>
                <w:p w14:paraId="2F876A59">
                  <w:pPr>
                    <w:adjustRightInd w:val="0"/>
                    <w:snapToGrid w:val="0"/>
                    <w:rPr>
                      <w:rFonts w:eastAsiaTheme="minorEastAsia"/>
                      <w:color w:val="auto"/>
                      <w:szCs w:val="21"/>
                    </w:rPr>
                  </w:pPr>
                  <w:r>
                    <w:rPr>
                      <w:rFonts w:hint="eastAsia" w:hAnsiTheme="minorEastAsia" w:eastAsiaTheme="minorEastAsia"/>
                      <w:color w:val="auto"/>
                      <w:szCs w:val="21"/>
                      <w:lang w:eastAsia="zh-CN"/>
                    </w:rPr>
                    <w:t>扩建</w:t>
                  </w:r>
                  <w:r>
                    <w:rPr>
                      <w:rFonts w:hAnsiTheme="minorEastAsia" w:eastAsiaTheme="minorEastAsia"/>
                      <w:color w:val="auto"/>
                      <w:szCs w:val="21"/>
                    </w:rPr>
                    <w:t>项目</w:t>
                  </w:r>
                  <w:r>
                    <w:rPr>
                      <w:color w:val="auto"/>
                      <w:szCs w:val="21"/>
                    </w:rPr>
                    <w:t>生产废水</w:t>
                  </w:r>
                  <w:r>
                    <w:rPr>
                      <w:rFonts w:hint="eastAsia"/>
                      <w:color w:val="auto"/>
                      <w:szCs w:val="21"/>
                      <w:lang w:eastAsia="zh-CN"/>
                    </w:rPr>
                    <w:t>经过厂区污水站处理后接管涟水经济开发区西区污水处理厂</w:t>
                  </w:r>
                  <w:r>
                    <w:rPr>
                      <w:color w:val="auto"/>
                      <w:szCs w:val="21"/>
                    </w:rPr>
                    <w:t>，</w:t>
                  </w:r>
                  <w:r>
                    <w:rPr>
                      <w:rFonts w:hint="eastAsia"/>
                      <w:color w:val="auto"/>
                      <w:kern w:val="0"/>
                      <w:szCs w:val="21"/>
                      <w:lang w:eastAsia="zh-CN"/>
                    </w:rPr>
                    <w:t>废水总量在厂区内平衡</w:t>
                  </w:r>
                  <w:r>
                    <w:rPr>
                      <w:color w:val="auto"/>
                      <w:kern w:val="0"/>
                      <w:szCs w:val="21"/>
                    </w:rPr>
                    <w:t>；</w:t>
                  </w:r>
                  <w:r>
                    <w:rPr>
                      <w:rFonts w:hint="eastAsia"/>
                      <w:color w:val="auto"/>
                      <w:kern w:val="0"/>
                      <w:szCs w:val="21"/>
                      <w:lang w:eastAsia="zh-CN"/>
                    </w:rPr>
                    <w:t>扩建项目不涉及</w:t>
                  </w:r>
                  <w:r>
                    <w:rPr>
                      <w:color w:val="auto"/>
                      <w:szCs w:val="21"/>
                    </w:rPr>
                    <w:t>新增废气污染物</w:t>
                  </w:r>
                  <w:r>
                    <w:rPr>
                      <w:rFonts w:hint="eastAsia"/>
                      <w:color w:val="auto"/>
                      <w:szCs w:val="21"/>
                      <w:lang w:eastAsia="zh-CN"/>
                    </w:rPr>
                    <w:t>无</w:t>
                  </w:r>
                  <w:r>
                    <w:rPr>
                      <w:color w:val="auto"/>
                      <w:szCs w:val="21"/>
                    </w:rPr>
                    <w:t>需向淮安市涟水生态环境局申请总量</w:t>
                  </w:r>
                  <w:r>
                    <w:rPr>
                      <w:bCs/>
                      <w:color w:val="auto"/>
                      <w:kern w:val="0"/>
                      <w:szCs w:val="21"/>
                    </w:rPr>
                    <w:t>。</w:t>
                  </w:r>
                </w:p>
              </w:tc>
              <w:tc>
                <w:tcPr>
                  <w:tcW w:w="698" w:type="pct"/>
                  <w:tcBorders>
                    <w:top w:val="single" w:color="auto" w:sz="4" w:space="0"/>
                    <w:left w:val="single" w:color="auto" w:sz="4" w:space="0"/>
                    <w:bottom w:val="single" w:color="auto" w:sz="4" w:space="0"/>
                    <w:right w:val="nil"/>
                  </w:tcBorders>
                  <w:vAlign w:val="center"/>
                </w:tcPr>
                <w:p w14:paraId="12068296">
                  <w:pPr>
                    <w:adjustRightInd w:val="0"/>
                    <w:snapToGrid w:val="0"/>
                    <w:jc w:val="center"/>
                    <w:rPr>
                      <w:rFonts w:eastAsiaTheme="minorEastAsia"/>
                      <w:color w:val="auto"/>
                      <w:szCs w:val="21"/>
                    </w:rPr>
                  </w:pPr>
                  <w:r>
                    <w:rPr>
                      <w:rFonts w:hAnsiTheme="minorEastAsia" w:eastAsiaTheme="minorEastAsia"/>
                      <w:color w:val="auto"/>
                      <w:szCs w:val="21"/>
                    </w:rPr>
                    <w:t>相符</w:t>
                  </w:r>
                </w:p>
              </w:tc>
            </w:tr>
            <w:tr w14:paraId="39DB1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tcBorders>
                    <w:top w:val="single" w:color="auto" w:sz="4" w:space="0"/>
                    <w:left w:val="nil"/>
                    <w:bottom w:val="single" w:color="auto" w:sz="4" w:space="0"/>
                    <w:right w:val="single" w:color="auto" w:sz="4" w:space="0"/>
                  </w:tcBorders>
                  <w:vAlign w:val="center"/>
                </w:tcPr>
                <w:p w14:paraId="687CDE04">
                  <w:pPr>
                    <w:adjustRightInd w:val="0"/>
                    <w:snapToGrid w:val="0"/>
                    <w:jc w:val="center"/>
                    <w:rPr>
                      <w:rFonts w:eastAsiaTheme="minorEastAsia"/>
                      <w:color w:val="auto"/>
                      <w:szCs w:val="21"/>
                    </w:rPr>
                  </w:pPr>
                  <w:r>
                    <w:rPr>
                      <w:rFonts w:hAnsiTheme="minorEastAsia" w:eastAsiaTheme="minorEastAsia"/>
                      <w:color w:val="auto"/>
                      <w:szCs w:val="21"/>
                    </w:rPr>
                    <w:t>环境风险防控</w:t>
                  </w:r>
                </w:p>
              </w:tc>
              <w:tc>
                <w:tcPr>
                  <w:tcW w:w="1809" w:type="pct"/>
                  <w:tcBorders>
                    <w:top w:val="single" w:color="auto" w:sz="4" w:space="0"/>
                    <w:left w:val="single" w:color="auto" w:sz="4" w:space="0"/>
                    <w:bottom w:val="single" w:color="auto" w:sz="4" w:space="0"/>
                    <w:right w:val="single" w:color="auto" w:sz="4" w:space="0"/>
                  </w:tcBorders>
                  <w:vAlign w:val="center"/>
                </w:tcPr>
                <w:p w14:paraId="51DB6801">
                  <w:pPr>
                    <w:adjustRightInd w:val="0"/>
                    <w:snapToGrid w:val="0"/>
                    <w:jc w:val="center"/>
                    <w:rPr>
                      <w:color w:val="auto"/>
                      <w:szCs w:val="21"/>
                    </w:rPr>
                  </w:pPr>
                  <w:r>
                    <w:rPr>
                      <w:rFonts w:hint="eastAsia"/>
                      <w:color w:val="auto"/>
                      <w:kern w:val="0"/>
                      <w:szCs w:val="21"/>
                      <w:lang w:eastAsia="zh-CN"/>
                    </w:rPr>
                    <w:t>（</w:t>
                  </w:r>
                  <w:r>
                    <w:rPr>
                      <w:color w:val="auto"/>
                      <w:kern w:val="0"/>
                      <w:szCs w:val="21"/>
                    </w:rPr>
                    <w:t>1</w:t>
                  </w:r>
                  <w:r>
                    <w:rPr>
                      <w:rFonts w:hint="eastAsia"/>
                      <w:color w:val="auto"/>
                      <w:kern w:val="0"/>
                      <w:szCs w:val="21"/>
                      <w:lang w:eastAsia="zh-CN"/>
                    </w:rPr>
                    <w:t>）</w:t>
                  </w:r>
                  <w:r>
                    <w:rPr>
                      <w:rFonts w:hAnsi="宋体"/>
                      <w:color w:val="auto"/>
                      <w:kern w:val="0"/>
                      <w:szCs w:val="21"/>
                    </w:rPr>
                    <w:t>开发区及区内居住区边界应设置不小于</w:t>
                  </w:r>
                  <w:r>
                    <w:rPr>
                      <w:color w:val="auto"/>
                      <w:kern w:val="0"/>
                      <w:szCs w:val="21"/>
                    </w:rPr>
                    <w:t>100</w:t>
                  </w:r>
                  <w:r>
                    <w:rPr>
                      <w:rFonts w:hAnsi="宋体"/>
                      <w:color w:val="auto"/>
                      <w:kern w:val="0"/>
                      <w:szCs w:val="21"/>
                    </w:rPr>
                    <w:t>米的生态防护隔离带</w:t>
                  </w:r>
                  <w:r>
                    <w:rPr>
                      <w:rFonts w:hint="eastAsia" w:hAnsi="宋体"/>
                      <w:color w:val="auto"/>
                      <w:kern w:val="0"/>
                      <w:szCs w:val="21"/>
                      <w:lang w:eastAsia="zh-CN"/>
                    </w:rPr>
                    <w:t>（</w:t>
                  </w:r>
                  <w:r>
                    <w:rPr>
                      <w:color w:val="auto"/>
                      <w:kern w:val="0"/>
                      <w:szCs w:val="21"/>
                    </w:rPr>
                    <w:t>2</w:t>
                  </w:r>
                  <w:r>
                    <w:rPr>
                      <w:rFonts w:hint="eastAsia"/>
                      <w:color w:val="auto"/>
                      <w:kern w:val="0"/>
                      <w:szCs w:val="21"/>
                      <w:lang w:eastAsia="zh-CN"/>
                    </w:rPr>
                    <w:t>）</w:t>
                  </w:r>
                  <w:r>
                    <w:rPr>
                      <w:rFonts w:hAnsi="宋体"/>
                      <w:color w:val="auto"/>
                      <w:kern w:val="0"/>
                      <w:szCs w:val="21"/>
                    </w:rPr>
                    <w:t>开发区及入区企业均应制定并落实各类事故风险防范措施及应急预案。区内各企业须按规范要求建设贮存、使用危险化学品的生产装置，杜绝泄漏物料进入环境</w:t>
                  </w:r>
                  <w:r>
                    <w:rPr>
                      <w:rFonts w:hAnsi="宋体"/>
                      <w:color w:val="auto"/>
                      <w:szCs w:val="21"/>
                    </w:rPr>
                    <w:t>；</w:t>
                  </w:r>
                  <w:r>
                    <w:rPr>
                      <w:rFonts w:hAnsi="宋体"/>
                      <w:color w:val="auto"/>
                      <w:kern w:val="0"/>
                      <w:szCs w:val="21"/>
                    </w:rPr>
                    <w:t>储备</w:t>
                  </w:r>
                  <w:r>
                    <w:rPr>
                      <w:rFonts w:hint="eastAsia" w:hAnsi="宋体"/>
                      <w:color w:val="auto"/>
                      <w:kern w:val="0"/>
                      <w:szCs w:val="21"/>
                      <w:lang w:eastAsia="zh-CN"/>
                    </w:rPr>
                    <w:t>必需的</w:t>
                  </w:r>
                  <w:r>
                    <w:rPr>
                      <w:rFonts w:hAnsi="宋体"/>
                      <w:color w:val="auto"/>
                      <w:kern w:val="0"/>
                      <w:szCs w:val="21"/>
                    </w:rPr>
                    <w:t>设备物资，并定期组织实战演练，最大限度地防止和减轻事故的危害，确保</w:t>
                  </w:r>
                  <w:r>
                    <w:rPr>
                      <w:rFonts w:hint="eastAsia" w:hAnsi="宋体"/>
                      <w:color w:val="auto"/>
                      <w:kern w:val="0"/>
                      <w:szCs w:val="21"/>
                      <w:lang w:eastAsia="zh-CN"/>
                    </w:rPr>
                    <w:t>易发</w:t>
                  </w:r>
                  <w:r>
                    <w:rPr>
                      <w:rFonts w:hAnsi="宋体"/>
                      <w:color w:val="auto"/>
                      <w:kern w:val="0"/>
                      <w:szCs w:val="21"/>
                    </w:rPr>
                    <w:t>区环境安全。排放工业废水的企业应设置足够容量的事故污水池，严禁污水超标排放</w:t>
                  </w:r>
                  <w:r>
                    <w:rPr>
                      <w:rFonts w:hAnsi="宋体"/>
                      <w:color w:val="auto"/>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33F5B2D8">
                  <w:pPr>
                    <w:adjustRightInd w:val="0"/>
                    <w:snapToGrid w:val="0"/>
                    <w:jc w:val="left"/>
                    <w:rPr>
                      <w:rFonts w:hAnsiTheme="minorEastAsia" w:eastAsiaTheme="minorEastAsia"/>
                      <w:color w:val="auto"/>
                      <w:szCs w:val="21"/>
                    </w:rPr>
                  </w:pPr>
                  <w:r>
                    <w:rPr>
                      <w:rFonts w:hint="eastAsia" w:hAnsiTheme="minorEastAsia" w:eastAsiaTheme="minorEastAsia"/>
                      <w:color w:val="auto"/>
                      <w:szCs w:val="21"/>
                      <w:lang w:eastAsia="zh-CN"/>
                    </w:rPr>
                    <w:t>扩建</w:t>
                  </w:r>
                  <w:r>
                    <w:rPr>
                      <w:rFonts w:hAnsiTheme="minorEastAsia" w:eastAsiaTheme="minorEastAsia"/>
                      <w:color w:val="auto"/>
                      <w:szCs w:val="21"/>
                    </w:rPr>
                    <w:t>项目</w:t>
                  </w:r>
                  <w:r>
                    <w:rPr>
                      <w:rFonts w:hint="eastAsia" w:hAnsiTheme="minorEastAsia" w:eastAsiaTheme="minorEastAsia"/>
                      <w:color w:val="auto"/>
                      <w:szCs w:val="21"/>
                    </w:rPr>
                    <w:t>位于</w:t>
                  </w:r>
                  <w:r>
                    <w:rPr>
                      <w:rFonts w:hint="eastAsia" w:hAnsiTheme="minorEastAsia" w:eastAsiaTheme="minorEastAsia"/>
                      <w:color w:val="auto"/>
                      <w:szCs w:val="21"/>
                      <w:lang w:eastAsia="zh-CN"/>
                    </w:rPr>
                    <w:t>经济开发区内</w:t>
                  </w:r>
                  <w:r>
                    <w:rPr>
                      <w:rFonts w:hint="eastAsia" w:hAnsiTheme="minorEastAsia" w:eastAsiaTheme="minorEastAsia"/>
                      <w:color w:val="auto"/>
                      <w:szCs w:val="21"/>
                    </w:rPr>
                    <w:t>，按要求规范化建设绿化隔离带</w:t>
                  </w:r>
                  <w:r>
                    <w:rPr>
                      <w:rFonts w:hAnsiTheme="minorEastAsia" w:eastAsiaTheme="minorEastAsia"/>
                      <w:color w:val="auto"/>
                      <w:szCs w:val="21"/>
                    </w:rPr>
                    <w:t>。</w:t>
                  </w:r>
                  <w:r>
                    <w:rPr>
                      <w:rFonts w:hint="eastAsia" w:hAnsiTheme="minorEastAsia" w:eastAsiaTheme="minorEastAsia"/>
                      <w:color w:val="auto"/>
                      <w:szCs w:val="21"/>
                      <w:lang w:eastAsia="zh-CN"/>
                    </w:rPr>
                    <w:t>扩建</w:t>
                  </w:r>
                  <w:r>
                    <w:rPr>
                      <w:rFonts w:hAnsiTheme="minorEastAsia" w:eastAsiaTheme="minorEastAsia"/>
                      <w:color w:val="auto"/>
                      <w:szCs w:val="21"/>
                    </w:rPr>
                    <w:t>项目建成后拟制定并落实事故防范对策措施和应急预案，并定期演练。</w:t>
                  </w:r>
                </w:p>
              </w:tc>
              <w:tc>
                <w:tcPr>
                  <w:tcW w:w="698" w:type="pct"/>
                  <w:tcBorders>
                    <w:top w:val="single" w:color="auto" w:sz="4" w:space="0"/>
                    <w:left w:val="single" w:color="auto" w:sz="4" w:space="0"/>
                    <w:bottom w:val="single" w:color="auto" w:sz="4" w:space="0"/>
                    <w:right w:val="nil"/>
                  </w:tcBorders>
                  <w:vAlign w:val="center"/>
                </w:tcPr>
                <w:p w14:paraId="4A1BDD21">
                  <w:pPr>
                    <w:adjustRightInd w:val="0"/>
                    <w:snapToGrid w:val="0"/>
                    <w:jc w:val="center"/>
                    <w:rPr>
                      <w:rFonts w:eastAsiaTheme="minorEastAsia"/>
                      <w:color w:val="auto"/>
                      <w:szCs w:val="21"/>
                    </w:rPr>
                  </w:pPr>
                  <w:r>
                    <w:rPr>
                      <w:rFonts w:hAnsiTheme="minorEastAsia" w:eastAsiaTheme="minorEastAsia"/>
                      <w:color w:val="auto"/>
                      <w:szCs w:val="21"/>
                    </w:rPr>
                    <w:t>相符</w:t>
                  </w:r>
                </w:p>
              </w:tc>
            </w:tr>
            <w:tr w14:paraId="300CC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tcBorders>
                    <w:top w:val="single" w:color="auto" w:sz="4" w:space="0"/>
                    <w:left w:val="nil"/>
                    <w:bottom w:val="single" w:color="auto" w:sz="4" w:space="0"/>
                    <w:right w:val="single" w:color="auto" w:sz="4" w:space="0"/>
                  </w:tcBorders>
                  <w:vAlign w:val="center"/>
                </w:tcPr>
                <w:p w14:paraId="59460EC3">
                  <w:pPr>
                    <w:adjustRightInd w:val="0"/>
                    <w:snapToGrid w:val="0"/>
                    <w:jc w:val="center"/>
                    <w:rPr>
                      <w:rFonts w:eastAsiaTheme="minorEastAsia"/>
                      <w:color w:val="auto"/>
                      <w:szCs w:val="21"/>
                    </w:rPr>
                  </w:pPr>
                  <w:r>
                    <w:rPr>
                      <w:rFonts w:hAnsiTheme="minorEastAsia" w:eastAsiaTheme="minorEastAsia"/>
                      <w:color w:val="auto"/>
                      <w:szCs w:val="21"/>
                    </w:rPr>
                    <w:t>资源利用效率要求</w:t>
                  </w:r>
                </w:p>
              </w:tc>
              <w:tc>
                <w:tcPr>
                  <w:tcW w:w="1809" w:type="pct"/>
                  <w:tcBorders>
                    <w:top w:val="single" w:color="auto" w:sz="4" w:space="0"/>
                    <w:left w:val="single" w:color="auto" w:sz="4" w:space="0"/>
                    <w:bottom w:val="single" w:color="auto" w:sz="4" w:space="0"/>
                    <w:right w:val="single" w:color="auto" w:sz="4" w:space="0"/>
                  </w:tcBorders>
                  <w:vAlign w:val="center"/>
                </w:tcPr>
                <w:p w14:paraId="6A95556D">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单位工业用地工业增加值≥9亿元/平方米。</w:t>
                  </w:r>
                </w:p>
                <w:p w14:paraId="42415F94">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单位工业增加值综合能耗≤0.5吨标煤/万元。</w:t>
                  </w:r>
                </w:p>
                <w:p w14:paraId="5E2CBF9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3</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单位工业增加值新鲜水耗≤9立方米/万元，工业用水重复利用率≥75%。</w:t>
                  </w:r>
                </w:p>
                <w:p w14:paraId="3566B1A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4</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禁止销售使用燃料为“Ⅱ类”（较严），具体包括</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①除单台出力大于等于20蒸吨/小时锅炉以外燃用的煤炭及其制品。②石油焦、油页岩原油、重油、渣油、煤焦油。</w:t>
                  </w:r>
                </w:p>
              </w:tc>
              <w:tc>
                <w:tcPr>
                  <w:tcW w:w="2035" w:type="pct"/>
                  <w:tcBorders>
                    <w:top w:val="single" w:color="auto" w:sz="4" w:space="0"/>
                    <w:left w:val="single" w:color="auto" w:sz="4" w:space="0"/>
                    <w:bottom w:val="single" w:color="auto" w:sz="4" w:space="0"/>
                    <w:right w:val="single" w:color="auto" w:sz="4" w:space="0"/>
                  </w:tcBorders>
                  <w:vAlign w:val="center"/>
                </w:tcPr>
                <w:p w14:paraId="4E791EE6">
                  <w:pPr>
                    <w:adjustRightInd w:val="0"/>
                    <w:snapToGrid w:val="0"/>
                    <w:jc w:val="left"/>
                    <w:rPr>
                      <w:rFonts w:eastAsiaTheme="minorEastAsia"/>
                      <w:color w:val="auto"/>
                      <w:szCs w:val="21"/>
                    </w:rPr>
                  </w:pPr>
                  <w:r>
                    <w:rPr>
                      <w:rFonts w:hint="eastAsia" w:hAnsiTheme="minorEastAsia" w:eastAsiaTheme="minorEastAsia"/>
                      <w:color w:val="auto"/>
                      <w:szCs w:val="21"/>
                      <w:lang w:eastAsia="zh-CN"/>
                    </w:rPr>
                    <w:t>扩建</w:t>
                  </w:r>
                  <w:r>
                    <w:rPr>
                      <w:color w:val="auto"/>
                      <w:szCs w:val="21"/>
                    </w:rPr>
                    <w:t>项目不涉及燃料使用。</w:t>
                  </w:r>
                </w:p>
              </w:tc>
              <w:tc>
                <w:tcPr>
                  <w:tcW w:w="698" w:type="pct"/>
                  <w:tcBorders>
                    <w:top w:val="single" w:color="auto" w:sz="4" w:space="0"/>
                    <w:left w:val="single" w:color="auto" w:sz="4" w:space="0"/>
                    <w:bottom w:val="single" w:color="auto" w:sz="4" w:space="0"/>
                    <w:right w:val="nil"/>
                  </w:tcBorders>
                  <w:vAlign w:val="center"/>
                </w:tcPr>
                <w:p w14:paraId="2DCF521C">
                  <w:pPr>
                    <w:adjustRightInd w:val="0"/>
                    <w:snapToGrid w:val="0"/>
                    <w:jc w:val="center"/>
                    <w:rPr>
                      <w:rFonts w:eastAsiaTheme="minorEastAsia"/>
                      <w:color w:val="auto"/>
                      <w:szCs w:val="21"/>
                    </w:rPr>
                  </w:pPr>
                  <w:r>
                    <w:rPr>
                      <w:rFonts w:hAnsiTheme="minorEastAsia" w:eastAsiaTheme="minorEastAsia"/>
                      <w:color w:val="auto"/>
                      <w:szCs w:val="21"/>
                    </w:rPr>
                    <w:t>相符</w:t>
                  </w:r>
                </w:p>
              </w:tc>
            </w:tr>
            <w:tr w14:paraId="6EF2D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restart"/>
                  <w:tcBorders>
                    <w:top w:val="single" w:color="auto" w:sz="4" w:space="0"/>
                    <w:left w:val="nil"/>
                    <w:right w:val="single" w:color="auto" w:sz="4" w:space="0"/>
                  </w:tcBorders>
                  <w:vAlign w:val="center"/>
                </w:tcPr>
                <w:p w14:paraId="03237E3C">
                  <w:pPr>
                    <w:adjustRightInd w:val="0"/>
                    <w:snapToGrid w:val="0"/>
                    <w:jc w:val="center"/>
                    <w:rPr>
                      <w:rFonts w:hAnsiTheme="minorEastAsia" w:eastAsiaTheme="minorEastAsia"/>
                      <w:color w:val="auto"/>
                      <w:szCs w:val="21"/>
                    </w:rPr>
                  </w:pPr>
                  <w:r>
                    <w:rPr>
                      <w:rFonts w:hint="eastAsia"/>
                      <w:color w:val="auto"/>
                      <w:szCs w:val="21"/>
                    </w:rPr>
                    <w:t>准入分析</w:t>
                  </w:r>
                </w:p>
              </w:tc>
              <w:tc>
                <w:tcPr>
                  <w:tcW w:w="1809" w:type="pct"/>
                  <w:tcBorders>
                    <w:top w:val="single" w:color="auto" w:sz="4" w:space="0"/>
                    <w:left w:val="single" w:color="auto" w:sz="4" w:space="0"/>
                    <w:bottom w:val="single" w:color="auto" w:sz="4" w:space="0"/>
                    <w:right w:val="single" w:color="auto" w:sz="4" w:space="0"/>
                  </w:tcBorders>
                  <w:vAlign w:val="center"/>
                </w:tcPr>
                <w:p w14:paraId="667D963A">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《市场准入负面清单（2022年版）》</w:t>
                  </w:r>
                  <w:r>
                    <w:rPr>
                      <w:rFonts w:hint="default" w:ascii="Times New Roman" w:hAnsi="Times New Roman" w:cs="Times New Roman"/>
                      <w:color w:val="auto"/>
                      <w:kern w:val="0"/>
                      <w:szCs w:val="21"/>
                    </w:rPr>
                    <w:t>（发改体改规</w:t>
                  </w:r>
                  <w:r>
                    <w:rPr>
                      <w:rFonts w:hint="default" w:ascii="Times New Roman" w:hAnsi="Times New Roman" w:cs="Times New Roman"/>
                      <w:color w:val="auto"/>
                      <w:kern w:val="0"/>
                      <w:szCs w:val="21"/>
                      <w:lang w:eastAsia="zh-CN"/>
                    </w:rPr>
                    <w:t>〔2022〕397号</w:t>
                  </w:r>
                  <w:r>
                    <w:rPr>
                      <w:rFonts w:hint="default" w:ascii="Times New Roman" w:hAnsi="Times New Roman" w:cs="Times New Roman"/>
                      <w:color w:val="auto"/>
                      <w:kern w:val="0"/>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57B263FC">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不属于市场禁止准入事项</w:t>
                  </w:r>
                </w:p>
              </w:tc>
              <w:tc>
                <w:tcPr>
                  <w:tcW w:w="698" w:type="pct"/>
                  <w:tcBorders>
                    <w:top w:val="single" w:color="auto" w:sz="4" w:space="0"/>
                    <w:left w:val="single" w:color="auto" w:sz="4" w:space="0"/>
                    <w:bottom w:val="single" w:color="auto" w:sz="4" w:space="0"/>
                    <w:right w:val="nil"/>
                  </w:tcBorders>
                  <w:vAlign w:val="center"/>
                </w:tcPr>
                <w:p w14:paraId="7B283F8D">
                  <w:pPr>
                    <w:adjustRightInd w:val="0"/>
                    <w:snapToGrid w:val="0"/>
                    <w:jc w:val="center"/>
                    <w:rPr>
                      <w:rFonts w:hAnsiTheme="minorEastAsia" w:eastAsiaTheme="minorEastAsia"/>
                      <w:color w:val="auto"/>
                      <w:szCs w:val="21"/>
                    </w:rPr>
                  </w:pPr>
                  <w:r>
                    <w:rPr>
                      <w:rFonts w:hint="eastAsia" w:ascii="宋体" w:hAnsi="宋体" w:cs="宋体"/>
                      <w:color w:val="auto"/>
                      <w:szCs w:val="21"/>
                    </w:rPr>
                    <w:t>相符</w:t>
                  </w:r>
                </w:p>
              </w:tc>
            </w:tr>
            <w:tr w14:paraId="61628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right w:val="single" w:color="auto" w:sz="4" w:space="0"/>
                  </w:tcBorders>
                  <w:vAlign w:val="center"/>
                </w:tcPr>
                <w:p w14:paraId="37C125B5">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4" w:space="0"/>
                    <w:right w:val="single" w:color="auto" w:sz="4" w:space="0"/>
                  </w:tcBorders>
                  <w:vAlign w:val="center"/>
                </w:tcPr>
                <w:p w14:paraId="749C1514">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《长江经济带发展负面清单指南（试行，2022年版）》（长江办</w:t>
                  </w:r>
                  <w:r>
                    <w:rPr>
                      <w:rFonts w:hint="default" w:ascii="Times New Roman" w:hAnsi="Times New Roman" w:cs="Times New Roman"/>
                      <w:color w:val="auto"/>
                      <w:szCs w:val="21"/>
                      <w:lang w:eastAsia="zh-CN"/>
                    </w:rPr>
                    <w:t>〔2022〕7号</w:t>
                  </w:r>
                  <w:r>
                    <w:rPr>
                      <w:rFonts w:hint="default" w:ascii="Times New Roman" w:hAnsi="Times New Roman" w:cs="Times New Roman"/>
                      <w:color w:val="auto"/>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3B9BEF24">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不属于负面清单中禁止类项目</w:t>
                  </w:r>
                </w:p>
              </w:tc>
              <w:tc>
                <w:tcPr>
                  <w:tcW w:w="698" w:type="pct"/>
                  <w:tcBorders>
                    <w:top w:val="single" w:color="auto" w:sz="4" w:space="0"/>
                    <w:left w:val="single" w:color="auto" w:sz="4" w:space="0"/>
                    <w:bottom w:val="single" w:color="auto" w:sz="4" w:space="0"/>
                    <w:right w:val="nil"/>
                  </w:tcBorders>
                  <w:vAlign w:val="center"/>
                </w:tcPr>
                <w:p w14:paraId="3FC69759">
                  <w:pPr>
                    <w:adjustRightInd w:val="0"/>
                    <w:snapToGrid w:val="0"/>
                    <w:jc w:val="center"/>
                    <w:rPr>
                      <w:rFonts w:hAnsiTheme="minorEastAsia" w:eastAsiaTheme="minorEastAsia"/>
                      <w:color w:val="auto"/>
                      <w:szCs w:val="21"/>
                    </w:rPr>
                  </w:pPr>
                  <w:r>
                    <w:rPr>
                      <w:rFonts w:hint="eastAsia" w:ascii="宋体" w:hAnsi="宋体" w:cs="宋体"/>
                      <w:color w:val="auto"/>
                      <w:szCs w:val="21"/>
                    </w:rPr>
                    <w:t>相符</w:t>
                  </w:r>
                </w:p>
              </w:tc>
            </w:tr>
            <w:tr w14:paraId="17BD9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right w:val="single" w:color="auto" w:sz="4" w:space="0"/>
                  </w:tcBorders>
                  <w:vAlign w:val="center"/>
                </w:tcPr>
                <w:p w14:paraId="0D386B93">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4" w:space="0"/>
                    <w:right w:val="single" w:color="auto" w:sz="4" w:space="0"/>
                  </w:tcBorders>
                  <w:vAlign w:val="center"/>
                </w:tcPr>
                <w:p w14:paraId="6F02FD53">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长江经济带发展负面清单指南（试行，2022年版）</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江苏省实施细则》（苏长江办发</w:t>
                  </w:r>
                  <w:r>
                    <w:rPr>
                      <w:rFonts w:hint="default" w:ascii="Times New Roman" w:hAnsi="Times New Roman" w:cs="Times New Roman"/>
                      <w:color w:val="auto"/>
                      <w:szCs w:val="21"/>
                      <w:lang w:eastAsia="zh-CN"/>
                    </w:rPr>
                    <w:t>〔2022〕55号</w:t>
                  </w:r>
                  <w:r>
                    <w:rPr>
                      <w:rFonts w:hint="default" w:ascii="Times New Roman" w:hAnsi="Times New Roman" w:cs="Times New Roman"/>
                      <w:color w:val="auto"/>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0329757B">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不属于负面清单中禁止类项目</w:t>
                  </w:r>
                </w:p>
              </w:tc>
              <w:tc>
                <w:tcPr>
                  <w:tcW w:w="698" w:type="pct"/>
                  <w:tcBorders>
                    <w:top w:val="single" w:color="auto" w:sz="4" w:space="0"/>
                    <w:left w:val="single" w:color="auto" w:sz="4" w:space="0"/>
                    <w:bottom w:val="single" w:color="auto" w:sz="4" w:space="0"/>
                    <w:right w:val="nil"/>
                  </w:tcBorders>
                  <w:vAlign w:val="center"/>
                </w:tcPr>
                <w:p w14:paraId="3E8863F8">
                  <w:pPr>
                    <w:adjustRightInd w:val="0"/>
                    <w:snapToGrid w:val="0"/>
                    <w:jc w:val="center"/>
                    <w:rPr>
                      <w:rFonts w:hAnsiTheme="minorEastAsia" w:eastAsiaTheme="minorEastAsia"/>
                      <w:color w:val="auto"/>
                      <w:szCs w:val="21"/>
                    </w:rPr>
                  </w:pPr>
                  <w:r>
                    <w:rPr>
                      <w:rFonts w:hint="eastAsia" w:ascii="宋体" w:hAnsi="宋体" w:cs="宋体"/>
                      <w:color w:val="auto"/>
                      <w:szCs w:val="21"/>
                    </w:rPr>
                    <w:t>相符</w:t>
                  </w:r>
                </w:p>
              </w:tc>
            </w:tr>
            <w:tr w14:paraId="7B965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right w:val="single" w:color="auto" w:sz="4" w:space="0"/>
                  </w:tcBorders>
                  <w:vAlign w:val="center"/>
                </w:tcPr>
                <w:p w14:paraId="1B4A7DAA">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4" w:space="0"/>
                    <w:right w:val="single" w:color="auto" w:sz="4" w:space="0"/>
                  </w:tcBorders>
                  <w:vAlign w:val="center"/>
                </w:tcPr>
                <w:p w14:paraId="3908931F">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《关于加快全省化工钢铁煤电行业转型升级高质量发展的实施意见》（苏办发</w:t>
                  </w:r>
                  <w:r>
                    <w:rPr>
                      <w:rFonts w:hint="default" w:ascii="Times New Roman" w:hAnsi="Times New Roman" w:cs="Times New Roman"/>
                      <w:color w:val="auto"/>
                      <w:kern w:val="0"/>
                      <w:szCs w:val="21"/>
                      <w:lang w:eastAsia="zh-CN"/>
                    </w:rPr>
                    <w:t>〔2018〕32号</w:t>
                  </w:r>
                  <w:r>
                    <w:rPr>
                      <w:rFonts w:hint="default" w:ascii="Times New Roman" w:hAnsi="Times New Roman" w:cs="Times New Roman"/>
                      <w:color w:val="auto"/>
                      <w:kern w:val="0"/>
                      <w:szCs w:val="21"/>
                    </w:rPr>
                    <w:t>）附件3“江苏省产业结构调整限制、淘汰和禁止目录”</w:t>
                  </w:r>
                </w:p>
              </w:tc>
              <w:tc>
                <w:tcPr>
                  <w:tcW w:w="2035" w:type="pct"/>
                  <w:tcBorders>
                    <w:top w:val="single" w:color="auto" w:sz="4" w:space="0"/>
                    <w:left w:val="single" w:color="auto" w:sz="4" w:space="0"/>
                    <w:bottom w:val="single" w:color="auto" w:sz="4" w:space="0"/>
                    <w:right w:val="single" w:color="auto" w:sz="4" w:space="0"/>
                  </w:tcBorders>
                  <w:vAlign w:val="center"/>
                </w:tcPr>
                <w:p w14:paraId="438110A3">
                  <w:pPr>
                    <w:adjustRightInd w:val="0"/>
                    <w:snapToGrid w:val="0"/>
                    <w:jc w:val="left"/>
                    <w:rPr>
                      <w:color w:val="auto"/>
                      <w:szCs w:val="21"/>
                    </w:rPr>
                  </w:pPr>
                  <w:r>
                    <w:rPr>
                      <w:rFonts w:hint="eastAsia" w:ascii="宋体" w:hAnsi="宋体" w:cs="宋体"/>
                      <w:color w:val="auto"/>
                      <w:kern w:val="0"/>
                      <w:szCs w:val="21"/>
                    </w:rPr>
                    <w:t>不属于限制类、淘汰类、禁止类项目，属于环境准入类</w:t>
                  </w:r>
                </w:p>
              </w:tc>
              <w:tc>
                <w:tcPr>
                  <w:tcW w:w="698" w:type="pct"/>
                  <w:tcBorders>
                    <w:top w:val="single" w:color="auto" w:sz="4" w:space="0"/>
                    <w:left w:val="single" w:color="auto" w:sz="4" w:space="0"/>
                    <w:bottom w:val="single" w:color="auto" w:sz="4" w:space="0"/>
                    <w:right w:val="nil"/>
                  </w:tcBorders>
                  <w:vAlign w:val="center"/>
                </w:tcPr>
                <w:p w14:paraId="79C887E8">
                  <w:pPr>
                    <w:adjustRightInd w:val="0"/>
                    <w:snapToGrid w:val="0"/>
                    <w:jc w:val="center"/>
                    <w:rPr>
                      <w:rFonts w:hAnsiTheme="minorEastAsia" w:eastAsiaTheme="minorEastAsia"/>
                      <w:color w:val="auto"/>
                      <w:szCs w:val="21"/>
                    </w:rPr>
                  </w:pPr>
                  <w:r>
                    <w:rPr>
                      <w:rFonts w:hint="eastAsia" w:ascii="宋体" w:hAnsi="宋体" w:cs="宋体"/>
                      <w:color w:val="auto"/>
                      <w:szCs w:val="21"/>
                    </w:rPr>
                    <w:t>符合</w:t>
                  </w:r>
                </w:p>
              </w:tc>
            </w:tr>
            <w:tr w14:paraId="05D40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right w:val="single" w:color="auto" w:sz="4" w:space="0"/>
                  </w:tcBorders>
                  <w:vAlign w:val="center"/>
                </w:tcPr>
                <w:p w14:paraId="29D031C8">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4" w:space="0"/>
                    <w:right w:val="single" w:color="auto" w:sz="4" w:space="0"/>
                  </w:tcBorders>
                  <w:vAlign w:val="center"/>
                </w:tcPr>
                <w:p w14:paraId="35F92A7B">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《限制用地项目目录（2012年本）》</w:t>
                  </w:r>
                </w:p>
                <w:p w14:paraId="755F19B1">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《禁止用地项目目录（2012年本）》</w:t>
                  </w:r>
                </w:p>
              </w:tc>
              <w:tc>
                <w:tcPr>
                  <w:tcW w:w="2035" w:type="pct"/>
                  <w:tcBorders>
                    <w:top w:val="single" w:color="auto" w:sz="4" w:space="0"/>
                    <w:left w:val="single" w:color="auto" w:sz="4" w:space="0"/>
                    <w:bottom w:val="single" w:color="auto" w:sz="4" w:space="0"/>
                    <w:right w:val="single" w:color="auto" w:sz="4" w:space="0"/>
                  </w:tcBorders>
                  <w:vAlign w:val="center"/>
                </w:tcPr>
                <w:p w14:paraId="4407E598">
                  <w:pPr>
                    <w:adjustRightInd w:val="0"/>
                    <w:snapToGrid w:val="0"/>
                    <w:jc w:val="left"/>
                    <w:rPr>
                      <w:color w:val="auto"/>
                      <w:szCs w:val="21"/>
                    </w:rPr>
                  </w:pPr>
                  <w:r>
                    <w:rPr>
                      <w:rFonts w:hint="eastAsia" w:ascii="宋体" w:hAnsi="宋体" w:cs="宋体"/>
                      <w:color w:val="auto"/>
                      <w:szCs w:val="21"/>
                    </w:rPr>
                    <w:t>不属于限制、禁止用地项目</w:t>
                  </w:r>
                </w:p>
              </w:tc>
              <w:tc>
                <w:tcPr>
                  <w:tcW w:w="698" w:type="pct"/>
                  <w:tcBorders>
                    <w:top w:val="single" w:color="auto" w:sz="4" w:space="0"/>
                    <w:left w:val="single" w:color="auto" w:sz="4" w:space="0"/>
                    <w:bottom w:val="single" w:color="auto" w:sz="4" w:space="0"/>
                    <w:right w:val="nil"/>
                  </w:tcBorders>
                  <w:vAlign w:val="center"/>
                </w:tcPr>
                <w:p w14:paraId="33B4ED8C">
                  <w:pPr>
                    <w:adjustRightInd w:val="0"/>
                    <w:snapToGrid w:val="0"/>
                    <w:jc w:val="center"/>
                    <w:rPr>
                      <w:rFonts w:hAnsiTheme="minorEastAsia" w:eastAsiaTheme="minorEastAsia"/>
                      <w:color w:val="auto"/>
                      <w:szCs w:val="21"/>
                    </w:rPr>
                  </w:pPr>
                  <w:r>
                    <w:rPr>
                      <w:rFonts w:hint="eastAsia" w:ascii="宋体" w:hAnsi="宋体" w:cs="宋体"/>
                      <w:color w:val="auto"/>
                      <w:szCs w:val="21"/>
                    </w:rPr>
                    <w:t>符合</w:t>
                  </w:r>
                </w:p>
              </w:tc>
            </w:tr>
            <w:tr w14:paraId="6655A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bottom w:val="single" w:color="auto" w:sz="12" w:space="0"/>
                    <w:right w:val="single" w:color="auto" w:sz="4" w:space="0"/>
                  </w:tcBorders>
                  <w:vAlign w:val="center"/>
                </w:tcPr>
                <w:p w14:paraId="7B124350">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12" w:space="0"/>
                    <w:right w:val="single" w:color="auto" w:sz="4" w:space="0"/>
                  </w:tcBorders>
                  <w:vAlign w:val="center"/>
                </w:tcPr>
                <w:p w14:paraId="7E473069">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《产业结构调整指导目录（2024年本）》（国家发展改革委令第7号）</w:t>
                  </w:r>
                </w:p>
              </w:tc>
              <w:tc>
                <w:tcPr>
                  <w:tcW w:w="2035" w:type="pct"/>
                  <w:tcBorders>
                    <w:top w:val="single" w:color="auto" w:sz="4" w:space="0"/>
                    <w:left w:val="single" w:color="auto" w:sz="4" w:space="0"/>
                    <w:bottom w:val="single" w:color="auto" w:sz="12" w:space="0"/>
                    <w:right w:val="single" w:color="auto" w:sz="4" w:space="0"/>
                  </w:tcBorders>
                  <w:vAlign w:val="center"/>
                </w:tcPr>
                <w:p w14:paraId="551F97DB">
                  <w:pPr>
                    <w:adjustRightInd w:val="0"/>
                    <w:snapToGrid w:val="0"/>
                    <w:jc w:val="left"/>
                    <w:rPr>
                      <w:color w:val="auto"/>
                      <w:szCs w:val="21"/>
                    </w:rPr>
                  </w:pPr>
                  <w:r>
                    <w:rPr>
                      <w:rFonts w:hint="eastAsia" w:ascii="宋体" w:hAnsi="宋体" w:cs="宋体"/>
                      <w:color w:val="auto"/>
                      <w:szCs w:val="21"/>
                    </w:rPr>
                    <w:t>不属于限制类、淘汰类项目</w:t>
                  </w:r>
                </w:p>
              </w:tc>
              <w:tc>
                <w:tcPr>
                  <w:tcW w:w="698" w:type="pct"/>
                  <w:tcBorders>
                    <w:top w:val="single" w:color="auto" w:sz="4" w:space="0"/>
                    <w:left w:val="single" w:color="auto" w:sz="4" w:space="0"/>
                    <w:bottom w:val="single" w:color="auto" w:sz="12" w:space="0"/>
                    <w:right w:val="nil"/>
                  </w:tcBorders>
                  <w:vAlign w:val="center"/>
                </w:tcPr>
                <w:p w14:paraId="46FA6F42">
                  <w:pPr>
                    <w:adjustRightInd w:val="0"/>
                    <w:snapToGrid w:val="0"/>
                    <w:jc w:val="center"/>
                    <w:rPr>
                      <w:rFonts w:hAnsiTheme="minorEastAsia" w:eastAsiaTheme="minorEastAsia"/>
                      <w:color w:val="auto"/>
                      <w:szCs w:val="21"/>
                    </w:rPr>
                  </w:pPr>
                  <w:r>
                    <w:rPr>
                      <w:rFonts w:hint="eastAsia" w:ascii="宋体" w:hAnsi="宋体" w:cs="宋体"/>
                      <w:color w:val="auto"/>
                      <w:szCs w:val="21"/>
                    </w:rPr>
                    <w:t>符合</w:t>
                  </w:r>
                </w:p>
              </w:tc>
            </w:tr>
          </w:tbl>
          <w:p w14:paraId="70586A47">
            <w:pPr>
              <w:adjustRightInd w:val="0"/>
              <w:snapToGrid w:val="0"/>
              <w:spacing w:before="120" w:beforeLines="50" w:line="360" w:lineRule="auto"/>
              <w:ind w:firstLine="480" w:firstLineChars="200"/>
              <w:rPr>
                <w:rFonts w:hAnsiTheme="minorEastAsia" w:eastAsiaTheme="minorEastAsia"/>
                <w:color w:val="auto"/>
                <w:sz w:val="24"/>
              </w:rPr>
            </w:pPr>
            <w:r>
              <w:rPr>
                <w:rFonts w:hAnsiTheme="minorEastAsia" w:eastAsiaTheme="minorEastAsia"/>
                <w:color w:val="auto"/>
                <w:sz w:val="24"/>
              </w:rPr>
              <w:t>根据上表分析可知，</w:t>
            </w:r>
            <w:r>
              <w:rPr>
                <w:rFonts w:hint="eastAsia" w:hAnsiTheme="minorEastAsia" w:eastAsiaTheme="minorEastAsia"/>
                <w:color w:val="auto"/>
                <w:sz w:val="24"/>
                <w:lang w:eastAsia="zh-CN"/>
              </w:rPr>
              <w:t>扩建</w:t>
            </w:r>
            <w:r>
              <w:rPr>
                <w:rFonts w:hAnsiTheme="minorEastAsia" w:eastAsiaTheme="minorEastAsia"/>
                <w:color w:val="auto"/>
                <w:sz w:val="24"/>
              </w:rPr>
              <w:t>项目与《淮安市环境管控单元生态环境准入清单》（淮环发〔</w:t>
            </w:r>
            <w:r>
              <w:rPr>
                <w:rFonts w:eastAsiaTheme="minorEastAsia"/>
                <w:color w:val="auto"/>
                <w:sz w:val="24"/>
              </w:rPr>
              <w:t>2020</w:t>
            </w:r>
            <w:r>
              <w:rPr>
                <w:rFonts w:hAnsiTheme="minorEastAsia" w:eastAsiaTheme="minorEastAsia"/>
                <w:color w:val="auto"/>
                <w:sz w:val="24"/>
              </w:rPr>
              <w:t>〕</w:t>
            </w:r>
            <w:r>
              <w:rPr>
                <w:rFonts w:eastAsiaTheme="minorEastAsia"/>
                <w:color w:val="auto"/>
                <w:sz w:val="24"/>
              </w:rPr>
              <w:t>264</w:t>
            </w:r>
            <w:r>
              <w:rPr>
                <w:rFonts w:hAnsiTheme="minorEastAsia" w:eastAsiaTheme="minorEastAsia"/>
                <w:color w:val="auto"/>
                <w:sz w:val="24"/>
              </w:rPr>
              <w:t>号）是相符的。</w:t>
            </w:r>
          </w:p>
          <w:p w14:paraId="5169220F">
            <w:pPr>
              <w:adjustRightInd w:val="0"/>
              <w:snapToGrid w:val="0"/>
              <w:spacing w:before="120" w:beforeLines="50" w:line="360" w:lineRule="auto"/>
              <w:ind w:firstLine="480" w:firstLineChars="200"/>
              <w:rPr>
                <w:rFonts w:hint="eastAsia" w:ascii="Times New Roman" w:cs="Times New Roman" w:hAnsiTheme="minorEastAsia" w:eastAsiaTheme="minorEastAsia"/>
                <w:color w:val="auto"/>
                <w:sz w:val="24"/>
              </w:rPr>
            </w:pPr>
            <w:r>
              <w:rPr>
                <w:rFonts w:hint="eastAsia" w:ascii="Times New Roman" w:cs="Times New Roman" w:hAnsiTheme="minorEastAsia" w:eastAsiaTheme="minorEastAsia"/>
                <w:color w:val="auto"/>
                <w:sz w:val="24"/>
              </w:rPr>
              <w:t>②本项目与江苏涟水经济开发区生态环境准入清单的相符性分析见下表。</w:t>
            </w:r>
          </w:p>
          <w:p w14:paraId="53405837">
            <w:pPr>
              <w:adjustRightInd w:val="0"/>
              <w:snapToGrid w:val="0"/>
              <w:jc w:val="center"/>
              <w:rPr>
                <w:rFonts w:hint="default" w:ascii="Times New Roman" w:cs="Times New Roman" w:hAnsiTheme="minorEastAsia" w:eastAsiaTheme="minorEastAsia"/>
                <w:b/>
                <w:bCs/>
                <w:color w:val="auto"/>
                <w:sz w:val="24"/>
                <w:lang w:val="en-US" w:eastAsia="zh-CN"/>
              </w:rPr>
            </w:pPr>
            <w:r>
              <w:rPr>
                <w:rFonts w:hint="eastAsia" w:ascii="Times New Roman" w:cs="Times New Roman" w:hAnsiTheme="minorEastAsia" w:eastAsiaTheme="minorEastAsia"/>
                <w:b/>
                <w:bCs/>
                <w:color w:val="auto"/>
                <w:sz w:val="24"/>
                <w:lang w:val="en-US" w:eastAsia="zh-CN"/>
              </w:rPr>
              <w:t>表1-9  江苏涟水经济开发区生态环境准入清单</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45"/>
              <w:gridCol w:w="449"/>
              <w:gridCol w:w="4294"/>
              <w:gridCol w:w="2415"/>
              <w:gridCol w:w="732"/>
            </w:tblGrid>
            <w:tr w14:paraId="797A5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36" w:type="pct"/>
                  <w:gridSpan w:val="2"/>
                  <w:tcBorders>
                    <w:tl2br w:val="nil"/>
                    <w:tr2bl w:val="nil"/>
                  </w:tcBorders>
                  <w:vAlign w:val="center"/>
                </w:tcPr>
                <w:p w14:paraId="6290D088">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类别</w:t>
                  </w:r>
                </w:p>
              </w:tc>
              <w:tc>
                <w:tcPr>
                  <w:tcW w:w="2575" w:type="pct"/>
                  <w:tcBorders>
                    <w:tl2br w:val="nil"/>
                    <w:tr2bl w:val="nil"/>
                  </w:tcBorders>
                  <w:vAlign w:val="center"/>
                </w:tcPr>
                <w:p w14:paraId="1B86FDA9">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环境准入条件</w:t>
                  </w:r>
                </w:p>
              </w:tc>
              <w:tc>
                <w:tcPr>
                  <w:tcW w:w="1448" w:type="pct"/>
                  <w:tcBorders>
                    <w:tl2br w:val="nil"/>
                    <w:tr2bl w:val="nil"/>
                  </w:tcBorders>
                  <w:vAlign w:val="center"/>
                </w:tcPr>
                <w:p w14:paraId="3FC8D514">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项目情况</w:t>
                  </w:r>
                </w:p>
              </w:tc>
              <w:tc>
                <w:tcPr>
                  <w:tcW w:w="439" w:type="pct"/>
                  <w:tcBorders>
                    <w:tl2br w:val="nil"/>
                    <w:tr2bl w:val="nil"/>
                  </w:tcBorders>
                  <w:vAlign w:val="center"/>
                </w:tcPr>
                <w:p w14:paraId="65BE9F55">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相符性分析</w:t>
                  </w:r>
                </w:p>
              </w:tc>
            </w:tr>
            <w:tr w14:paraId="00D6B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restart"/>
                  <w:tcBorders>
                    <w:tl2br w:val="nil"/>
                    <w:tr2bl w:val="nil"/>
                  </w:tcBorders>
                  <w:vAlign w:val="center"/>
                </w:tcPr>
                <w:p w14:paraId="1422C782">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产业准入</w:t>
                  </w:r>
                </w:p>
              </w:tc>
              <w:tc>
                <w:tcPr>
                  <w:tcW w:w="268" w:type="pct"/>
                  <w:tcBorders>
                    <w:tl2br w:val="nil"/>
                    <w:tr2bl w:val="nil"/>
                  </w:tcBorders>
                  <w:vAlign w:val="center"/>
                </w:tcPr>
                <w:p w14:paraId="7906ACFA">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主导产业</w:t>
                  </w:r>
                </w:p>
              </w:tc>
              <w:tc>
                <w:tcPr>
                  <w:tcW w:w="2575" w:type="pct"/>
                  <w:tcBorders>
                    <w:tl2br w:val="nil"/>
                    <w:tr2bl w:val="nil"/>
                  </w:tcBorders>
                  <w:vAlign w:val="center"/>
                </w:tcPr>
                <w:p w14:paraId="77AFE66C">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主要发展装备制造、纺织服装、电子信息、绿色食品4大主导产业。保留符合上一轮规划产业定位的企业，禁止引进建材、医药等行业企业。</w:t>
                  </w:r>
                </w:p>
              </w:tc>
              <w:tc>
                <w:tcPr>
                  <w:tcW w:w="1448" w:type="pct"/>
                  <w:tcBorders>
                    <w:tl2br w:val="nil"/>
                    <w:tr2bl w:val="nil"/>
                  </w:tcBorders>
                  <w:vAlign w:val="center"/>
                </w:tcPr>
                <w:p w14:paraId="387A5B0F">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项目为</w:t>
                  </w:r>
                  <w:r>
                    <w:rPr>
                      <w:rFonts w:hint="default" w:ascii="Times New Roman" w:hAnsi="Times New Roman" w:eastAsia="宋体" w:cs="Times New Roman"/>
                      <w:color w:val="auto"/>
                      <w:sz w:val="21"/>
                      <w:szCs w:val="21"/>
                    </w:rPr>
                    <w:t>调味鱼皮及预制水产品</w:t>
                  </w:r>
                  <w:r>
                    <w:rPr>
                      <w:rFonts w:hint="default" w:ascii="Times New Roman" w:hAnsi="Times New Roman" w:cs="Times New Roman"/>
                      <w:color w:val="auto"/>
                      <w:sz w:val="21"/>
                      <w:szCs w:val="21"/>
                      <w:lang w:eastAsia="zh-CN"/>
                    </w:rPr>
                    <w:t>生产</w:t>
                  </w:r>
                  <w:r>
                    <w:rPr>
                      <w:rFonts w:hint="default" w:ascii="Times New Roman" w:hAnsi="Times New Roman" w:cs="Times New Roman"/>
                      <w:color w:val="auto"/>
                      <w:szCs w:val="21"/>
                    </w:rPr>
                    <w:t>项目</w:t>
                  </w:r>
                  <w:r>
                    <w:rPr>
                      <w:rFonts w:hint="default" w:ascii="Times New Roman" w:hAnsi="Times New Roman" w:eastAsia="宋体" w:cs="Times New Roman"/>
                      <w:color w:val="auto"/>
                      <w:lang w:eastAsia="zh-CN"/>
                    </w:rPr>
                    <w:t>，属于</w:t>
                  </w:r>
                  <w:r>
                    <w:rPr>
                      <w:rFonts w:hint="default" w:ascii="Times New Roman" w:hAnsi="Times New Roman" w:cs="Times New Roman"/>
                      <w:color w:val="auto"/>
                      <w:sz w:val="24"/>
                    </w:rPr>
                    <w:t>C1439其他方便食品制造</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rPr>
                    <w:t>属于</w:t>
                  </w:r>
                  <w:r>
                    <w:rPr>
                      <w:rFonts w:hint="default" w:ascii="Times New Roman" w:hAnsi="Times New Roman" w:eastAsia="宋体" w:cs="Times New Roman"/>
                      <w:color w:val="auto"/>
                      <w:lang w:val="en-US" w:eastAsia="zh-CN"/>
                    </w:rPr>
                    <w:t>园区主导产业</w:t>
                  </w:r>
                  <w:r>
                    <w:rPr>
                      <w:rFonts w:hint="default" w:ascii="Times New Roman" w:hAnsi="Times New Roman" w:eastAsia="宋体" w:cs="Times New Roman"/>
                      <w:color w:val="auto"/>
                    </w:rPr>
                    <w:t>。</w:t>
                  </w:r>
                </w:p>
              </w:tc>
              <w:tc>
                <w:tcPr>
                  <w:tcW w:w="439" w:type="pct"/>
                  <w:tcBorders>
                    <w:tl2br w:val="nil"/>
                    <w:tr2bl w:val="nil"/>
                  </w:tcBorders>
                  <w:vAlign w:val="center"/>
                </w:tcPr>
                <w:p w14:paraId="52F89B14">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0DC89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59" w:hRule="atLeast"/>
              </w:trPr>
              <w:tc>
                <w:tcPr>
                  <w:tcW w:w="267" w:type="pct"/>
                  <w:vMerge w:val="continue"/>
                  <w:tcBorders>
                    <w:tl2br w:val="nil"/>
                    <w:tr2bl w:val="nil"/>
                  </w:tcBorders>
                  <w:vAlign w:val="center"/>
                </w:tcPr>
                <w:p w14:paraId="1F9F24DF">
                  <w:pPr>
                    <w:pStyle w:val="45"/>
                    <w:bidi w:val="0"/>
                    <w:rPr>
                      <w:rFonts w:hint="default" w:ascii="Times New Roman" w:hAnsi="Times New Roman" w:eastAsia="宋体" w:cs="Times New Roman"/>
                      <w:b w:val="0"/>
                      <w:bCs w:val="0"/>
                      <w:color w:val="auto"/>
                      <w:lang w:val="en-US" w:eastAsia="zh-CN"/>
                    </w:rPr>
                  </w:pPr>
                </w:p>
              </w:tc>
              <w:tc>
                <w:tcPr>
                  <w:tcW w:w="268" w:type="pct"/>
                  <w:vMerge w:val="restart"/>
                  <w:tcBorders>
                    <w:tl2br w:val="nil"/>
                    <w:tr2bl w:val="nil"/>
                  </w:tcBorders>
                  <w:vAlign w:val="center"/>
                </w:tcPr>
                <w:p w14:paraId="05437E3F">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禁止引入</w:t>
                  </w:r>
                </w:p>
              </w:tc>
              <w:tc>
                <w:tcPr>
                  <w:tcW w:w="2575" w:type="pct"/>
                  <w:tcBorders>
                    <w:tl2br w:val="nil"/>
                    <w:tr2bl w:val="nil"/>
                  </w:tcBorders>
                  <w:vAlign w:val="center"/>
                </w:tcPr>
                <w:p w14:paraId="46E05CAB">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1.</w:t>
                  </w:r>
                  <w:r>
                    <w:rPr>
                      <w:rFonts w:hint="default" w:ascii="Times New Roman" w:hAnsi="Times New Roman" w:eastAsia="宋体" w:cs="Times New Roman"/>
                      <w:color w:val="auto"/>
                      <w:lang w:val="en-US" w:eastAsia="zh-CN"/>
                    </w:rPr>
                    <w:t>含酿造工艺的项目。</w:t>
                  </w:r>
                </w:p>
              </w:tc>
              <w:tc>
                <w:tcPr>
                  <w:tcW w:w="1448" w:type="pct"/>
                  <w:tcBorders>
                    <w:tl2br w:val="nil"/>
                    <w:tr2bl w:val="nil"/>
                  </w:tcBorders>
                  <w:vAlign w:val="center"/>
                </w:tcPr>
                <w:p w14:paraId="3AFCC171">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eastAsia="宋体" w:cs="Times New Roman"/>
                      <w:color w:val="auto"/>
                      <w:lang w:val="en-US" w:eastAsia="zh-CN"/>
                    </w:rPr>
                    <w:t>不含酿造工艺</w:t>
                  </w:r>
                  <w:r>
                    <w:rPr>
                      <w:rFonts w:hint="default" w:ascii="Times New Roman" w:hAnsi="Times New Roman" w:cs="Times New Roman"/>
                      <w:color w:val="auto"/>
                      <w:lang w:val="en-US" w:eastAsia="zh-CN"/>
                    </w:rPr>
                    <w:t>。</w:t>
                  </w:r>
                </w:p>
              </w:tc>
              <w:tc>
                <w:tcPr>
                  <w:tcW w:w="439" w:type="pct"/>
                  <w:vMerge w:val="restart"/>
                  <w:tcBorders>
                    <w:tl2br w:val="nil"/>
                    <w:tr2bl w:val="nil"/>
                  </w:tcBorders>
                  <w:vAlign w:val="center"/>
                </w:tcPr>
                <w:p w14:paraId="3C146A81">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符合</w:t>
                  </w:r>
                </w:p>
                <w:p w14:paraId="2FFA9172">
                  <w:pPr>
                    <w:pStyle w:val="45"/>
                    <w:bidi w:val="0"/>
                    <w:rPr>
                      <w:rFonts w:hint="default" w:ascii="Times New Roman" w:hAnsi="Times New Roman" w:eastAsia="宋体" w:cs="Times New Roman"/>
                      <w:color w:val="auto"/>
                      <w:lang w:val="en-US" w:eastAsia="zh-CN"/>
                    </w:rPr>
                  </w:pPr>
                </w:p>
              </w:tc>
            </w:tr>
            <w:tr w14:paraId="27D52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0DF5F5C4">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1BFCA874">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00B1125A">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2.</w:t>
                  </w:r>
                  <w:r>
                    <w:rPr>
                      <w:rFonts w:hint="default" w:ascii="Times New Roman" w:hAnsi="Times New Roman" w:eastAsia="宋体" w:cs="Times New Roman"/>
                      <w:color w:val="auto"/>
                      <w:lang w:val="en-US" w:eastAsia="zh-CN"/>
                    </w:rPr>
                    <w:t>使用高VOCs含量的溶剂型涂料、油墨、胶粘剂等项目。</w:t>
                  </w:r>
                </w:p>
              </w:tc>
              <w:tc>
                <w:tcPr>
                  <w:tcW w:w="1448" w:type="pct"/>
                  <w:tcBorders>
                    <w:tl2br w:val="nil"/>
                    <w:tr2bl w:val="nil"/>
                  </w:tcBorders>
                  <w:vAlign w:val="center"/>
                </w:tcPr>
                <w:p w14:paraId="4B3917B5">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color w:val="auto"/>
                      <w:lang w:val="en-US" w:eastAsia="zh-CN"/>
                    </w:rPr>
                    <w:t>不使用</w:t>
                  </w:r>
                  <w:r>
                    <w:rPr>
                      <w:rFonts w:hint="default" w:ascii="Times New Roman" w:hAnsi="Times New Roman" w:eastAsia="宋体" w:cs="Times New Roman"/>
                      <w:color w:val="auto"/>
                      <w:lang w:val="en-US" w:eastAsia="zh-CN"/>
                    </w:rPr>
                    <w:t>溶剂型涂料、油墨、胶粘剂</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2101B1CB">
                  <w:pPr>
                    <w:pStyle w:val="45"/>
                    <w:bidi w:val="0"/>
                    <w:rPr>
                      <w:rFonts w:hint="default" w:ascii="Times New Roman" w:hAnsi="Times New Roman" w:eastAsia="宋体" w:cs="Times New Roman"/>
                      <w:color w:val="auto"/>
                      <w:lang w:val="en-US" w:eastAsia="zh-CN"/>
                    </w:rPr>
                  </w:pPr>
                </w:p>
              </w:tc>
            </w:tr>
            <w:tr w14:paraId="55885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7680EC57">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6F0A2B4D">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0F08ABD5">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3.</w:t>
                  </w:r>
                  <w:r>
                    <w:rPr>
                      <w:rFonts w:hint="default" w:ascii="Times New Roman" w:hAnsi="Times New Roman" w:eastAsia="宋体" w:cs="Times New Roman"/>
                      <w:color w:val="auto"/>
                      <w:lang w:val="en-US" w:eastAsia="zh-CN"/>
                    </w:rPr>
                    <w:t>新建排放铅、汞、铬、镉和类金属砷的项目。</w:t>
                  </w:r>
                </w:p>
              </w:tc>
              <w:tc>
                <w:tcPr>
                  <w:tcW w:w="1448" w:type="pct"/>
                  <w:tcBorders>
                    <w:tl2br w:val="nil"/>
                    <w:tr2bl w:val="nil"/>
                  </w:tcBorders>
                  <w:vAlign w:val="center"/>
                </w:tcPr>
                <w:p w14:paraId="7AA820D6">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color w:val="auto"/>
                      <w:lang w:val="en-US" w:eastAsia="zh-CN"/>
                    </w:rPr>
                    <w:t>不属于排放铅、汞、铬、镉和类金属砷的项目。</w:t>
                  </w:r>
                </w:p>
              </w:tc>
              <w:tc>
                <w:tcPr>
                  <w:tcW w:w="439" w:type="pct"/>
                  <w:vMerge w:val="continue"/>
                  <w:tcBorders>
                    <w:tl2br w:val="nil"/>
                    <w:tr2bl w:val="nil"/>
                  </w:tcBorders>
                  <w:vAlign w:val="center"/>
                </w:tcPr>
                <w:p w14:paraId="066532F1">
                  <w:pPr>
                    <w:pStyle w:val="45"/>
                    <w:bidi w:val="0"/>
                    <w:rPr>
                      <w:rFonts w:hint="default" w:ascii="Times New Roman" w:hAnsi="Times New Roman" w:eastAsia="宋体" w:cs="Times New Roman"/>
                      <w:color w:val="auto"/>
                      <w:lang w:val="en-US" w:eastAsia="zh-CN"/>
                    </w:rPr>
                  </w:pPr>
                </w:p>
              </w:tc>
            </w:tr>
            <w:tr w14:paraId="7766F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0DB5D5D7">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3F8BD99E">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5F517CA6">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4.</w:t>
                  </w:r>
                  <w:r>
                    <w:rPr>
                      <w:rFonts w:hint="default" w:ascii="Times New Roman" w:hAnsi="Times New Roman" w:eastAsia="宋体" w:cs="Times New Roman"/>
                      <w:color w:val="auto"/>
                      <w:lang w:val="en-US" w:eastAsia="zh-CN"/>
                    </w:rPr>
                    <w:t>属于《淮河流域水污染防治暂行条例》中禁止的项目。</w:t>
                  </w:r>
                </w:p>
              </w:tc>
              <w:tc>
                <w:tcPr>
                  <w:tcW w:w="1448" w:type="pct"/>
                  <w:tcBorders>
                    <w:tl2br w:val="nil"/>
                    <w:tr2bl w:val="nil"/>
                  </w:tcBorders>
                  <w:vAlign w:val="center"/>
                </w:tcPr>
                <w:p w14:paraId="6D73B112">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color w:val="auto"/>
                      <w:lang w:val="en-US" w:eastAsia="zh-CN"/>
                    </w:rPr>
                    <w:t>不</w:t>
                  </w:r>
                  <w:r>
                    <w:rPr>
                      <w:rFonts w:hint="default" w:ascii="Times New Roman" w:hAnsi="Times New Roman" w:eastAsia="宋体" w:cs="Times New Roman"/>
                      <w:color w:val="auto"/>
                      <w:lang w:val="en-US" w:eastAsia="zh-CN"/>
                    </w:rPr>
                    <w:t>属于《淮河流域水污染防治暂行条例》中禁止的项目</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4B428999">
                  <w:pPr>
                    <w:pStyle w:val="45"/>
                    <w:bidi w:val="0"/>
                    <w:rPr>
                      <w:rFonts w:hint="default" w:ascii="Times New Roman" w:hAnsi="Times New Roman" w:eastAsia="宋体" w:cs="Times New Roman"/>
                      <w:color w:val="auto"/>
                      <w:lang w:val="en-US" w:eastAsia="zh-CN"/>
                    </w:rPr>
                  </w:pPr>
                </w:p>
              </w:tc>
            </w:tr>
            <w:tr w14:paraId="19CDB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0E03F4DF">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2260719B">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44C68B7E">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5.</w:t>
                  </w:r>
                  <w:r>
                    <w:rPr>
                      <w:rFonts w:hint="default" w:ascii="Times New Roman" w:hAnsi="Times New Roman" w:eastAsia="宋体" w:cs="Times New Roman"/>
                      <w:color w:val="auto"/>
                      <w:lang w:val="en-US" w:eastAsia="zh-CN"/>
                    </w:rPr>
                    <w:t>属于《环境保护综合名录（2021年版</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》中“高污染、高环境风险”产品名录的项目；国家和地方产业政策规定的淘汰类或禁止类的建设项目和工艺。</w:t>
                  </w:r>
                </w:p>
              </w:tc>
              <w:tc>
                <w:tcPr>
                  <w:tcW w:w="1448" w:type="pct"/>
                  <w:tcBorders>
                    <w:tl2br w:val="nil"/>
                    <w:tr2bl w:val="nil"/>
                  </w:tcBorders>
                  <w:vAlign w:val="center"/>
                </w:tcPr>
                <w:p w14:paraId="7EE13694">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color w:val="auto"/>
                      <w:lang w:val="en-US" w:eastAsia="zh-CN"/>
                    </w:rPr>
                    <w:t>不</w:t>
                  </w:r>
                  <w:r>
                    <w:rPr>
                      <w:rFonts w:hint="default" w:ascii="Times New Roman" w:hAnsi="Times New Roman" w:eastAsia="宋体" w:cs="Times New Roman"/>
                      <w:color w:val="auto"/>
                      <w:lang w:val="en-US" w:eastAsia="zh-CN"/>
                    </w:rPr>
                    <w:t>属于《环境保护综合名录（2021年版</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》中“高污染、高环境风险”产品名录的项目</w:t>
                  </w:r>
                  <w:r>
                    <w:rPr>
                      <w:rFonts w:hint="default" w:ascii="Times New Roman" w:hAnsi="Times New Roman" w:cs="Times New Roman"/>
                      <w:color w:val="auto"/>
                      <w:lang w:val="en-US" w:eastAsia="zh-CN"/>
                    </w:rPr>
                    <w:t>，不属于</w:t>
                  </w:r>
                  <w:r>
                    <w:rPr>
                      <w:rFonts w:hint="default" w:ascii="Times New Roman" w:hAnsi="Times New Roman" w:eastAsia="宋体" w:cs="Times New Roman"/>
                      <w:color w:val="auto"/>
                      <w:lang w:val="en-US" w:eastAsia="zh-CN"/>
                    </w:rPr>
                    <w:t>国家和地方产业政策规定的淘汰类或禁止类</w:t>
                  </w:r>
                  <w:r>
                    <w:rPr>
                      <w:rFonts w:hint="default" w:ascii="Times New Roman" w:hAnsi="Times New Roman" w:cs="Times New Roman"/>
                      <w:color w:val="auto"/>
                      <w:lang w:val="en-US" w:eastAsia="zh-CN"/>
                    </w:rPr>
                    <w:t>项目。</w:t>
                  </w:r>
                </w:p>
              </w:tc>
              <w:tc>
                <w:tcPr>
                  <w:tcW w:w="439" w:type="pct"/>
                  <w:vMerge w:val="continue"/>
                  <w:tcBorders>
                    <w:tl2br w:val="nil"/>
                    <w:tr2bl w:val="nil"/>
                  </w:tcBorders>
                  <w:vAlign w:val="center"/>
                </w:tcPr>
                <w:p w14:paraId="0A2524FD">
                  <w:pPr>
                    <w:pStyle w:val="45"/>
                    <w:bidi w:val="0"/>
                    <w:rPr>
                      <w:rFonts w:hint="default" w:ascii="Times New Roman" w:hAnsi="Times New Roman" w:eastAsia="宋体" w:cs="Times New Roman"/>
                      <w:color w:val="auto"/>
                      <w:lang w:val="en-US" w:eastAsia="zh-CN"/>
                    </w:rPr>
                  </w:pPr>
                </w:p>
              </w:tc>
            </w:tr>
            <w:tr w14:paraId="71F9E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25A2D046">
                  <w:pPr>
                    <w:pStyle w:val="45"/>
                    <w:bidi w:val="0"/>
                    <w:rPr>
                      <w:rFonts w:hint="default" w:ascii="Times New Roman" w:hAnsi="Times New Roman" w:eastAsia="宋体" w:cs="Times New Roman"/>
                      <w:b w:val="0"/>
                      <w:bCs w:val="0"/>
                      <w:color w:val="auto"/>
                      <w:lang w:val="en-US" w:eastAsia="zh-CN"/>
                    </w:rPr>
                  </w:pPr>
                </w:p>
              </w:tc>
              <w:tc>
                <w:tcPr>
                  <w:tcW w:w="268" w:type="pct"/>
                  <w:vMerge w:val="restart"/>
                  <w:tcBorders>
                    <w:tl2br w:val="nil"/>
                    <w:tr2bl w:val="nil"/>
                  </w:tcBorders>
                  <w:vAlign w:val="center"/>
                </w:tcPr>
                <w:p w14:paraId="668D1E95">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限制引入</w:t>
                  </w:r>
                </w:p>
              </w:tc>
              <w:tc>
                <w:tcPr>
                  <w:tcW w:w="2575" w:type="pct"/>
                  <w:tcBorders>
                    <w:tl2br w:val="nil"/>
                    <w:tr2bl w:val="nil"/>
                  </w:tcBorders>
                  <w:vAlign w:val="center"/>
                </w:tcPr>
                <w:p w14:paraId="23FC958E">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1.</w:t>
                  </w:r>
                  <w:r>
                    <w:rPr>
                      <w:rFonts w:hint="default" w:ascii="Times New Roman" w:hAnsi="Times New Roman" w:eastAsia="宋体" w:cs="Times New Roman"/>
                      <w:color w:val="auto"/>
                      <w:lang w:val="en-US" w:eastAsia="zh-CN"/>
                    </w:rPr>
                    <w:t>《产业结构调整指导目录》及修订、《江苏省工业和信息产业结构调整限制淘汰目录和能耗限额》中限制项目。</w:t>
                  </w:r>
                </w:p>
              </w:tc>
              <w:tc>
                <w:tcPr>
                  <w:tcW w:w="1448" w:type="pct"/>
                  <w:tcBorders>
                    <w:tl2br w:val="nil"/>
                    <w:tr2bl w:val="nil"/>
                  </w:tcBorders>
                  <w:vAlign w:val="center"/>
                </w:tcPr>
                <w:p w14:paraId="3A9FC153">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eastAsia="宋体" w:cs="Times New Roman"/>
                      <w:color w:val="auto"/>
                      <w:lang w:val="en-US" w:eastAsia="zh-CN"/>
                    </w:rPr>
                    <w:t>不属于限制项目</w:t>
                  </w:r>
                  <w:r>
                    <w:rPr>
                      <w:rFonts w:hint="default" w:ascii="Times New Roman" w:hAnsi="Times New Roman" w:cs="Times New Roman"/>
                      <w:color w:val="auto"/>
                      <w:lang w:val="en-US" w:eastAsia="zh-CN"/>
                    </w:rPr>
                    <w:t>。</w:t>
                  </w:r>
                </w:p>
              </w:tc>
              <w:tc>
                <w:tcPr>
                  <w:tcW w:w="439" w:type="pct"/>
                  <w:vMerge w:val="restart"/>
                  <w:tcBorders>
                    <w:tl2br w:val="nil"/>
                    <w:tr2bl w:val="nil"/>
                  </w:tcBorders>
                  <w:vAlign w:val="center"/>
                </w:tcPr>
                <w:p w14:paraId="46111AD3">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460F9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470EFAAD">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55F1972D">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267B8496">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2.</w:t>
                  </w:r>
                  <w:r>
                    <w:rPr>
                      <w:rFonts w:hint="default" w:ascii="Times New Roman" w:hAnsi="Times New Roman" w:eastAsia="宋体" w:cs="Times New Roman"/>
                      <w:color w:val="auto"/>
                      <w:lang w:val="en-US" w:eastAsia="zh-CN"/>
                    </w:rPr>
                    <w:t>污染治理措施达不到《挥发性有机物（VOCs）污染防治技术政策</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江苏省重点行业挥发性有机物污染控制指南》等要求的项目。</w:t>
                  </w:r>
                </w:p>
              </w:tc>
              <w:tc>
                <w:tcPr>
                  <w:tcW w:w="1448" w:type="pct"/>
                  <w:tcBorders>
                    <w:tl2br w:val="nil"/>
                    <w:tr2bl w:val="nil"/>
                  </w:tcBorders>
                  <w:vAlign w:val="center"/>
                </w:tcPr>
                <w:p w14:paraId="3EBEF1F2">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扩建项目不产生废气</w:t>
                  </w:r>
                </w:p>
              </w:tc>
              <w:tc>
                <w:tcPr>
                  <w:tcW w:w="439" w:type="pct"/>
                  <w:vMerge w:val="continue"/>
                  <w:tcBorders>
                    <w:tl2br w:val="nil"/>
                    <w:tr2bl w:val="nil"/>
                  </w:tcBorders>
                  <w:vAlign w:val="center"/>
                </w:tcPr>
                <w:p w14:paraId="482E7E1D">
                  <w:pPr>
                    <w:pStyle w:val="45"/>
                    <w:bidi w:val="0"/>
                    <w:rPr>
                      <w:rFonts w:hint="default" w:ascii="Times New Roman" w:hAnsi="Times New Roman" w:eastAsia="宋体" w:cs="Times New Roman"/>
                      <w:color w:val="auto"/>
                      <w:lang w:val="en-US" w:eastAsia="zh-CN"/>
                    </w:rPr>
                  </w:pPr>
                </w:p>
              </w:tc>
            </w:tr>
            <w:tr w14:paraId="48228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169D5D8D">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4926ED52">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50DCBABF">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3.</w:t>
                  </w:r>
                  <w:r>
                    <w:rPr>
                      <w:rFonts w:hint="default" w:ascii="Times New Roman" w:hAnsi="Times New Roman" w:eastAsia="宋体" w:cs="Times New Roman"/>
                      <w:color w:val="auto"/>
                      <w:lang w:val="en-US" w:eastAsia="zh-CN"/>
                    </w:rPr>
                    <w:t>属于《淮河流域水污染防治暂行条例》中限制的项目。</w:t>
                  </w:r>
                </w:p>
              </w:tc>
              <w:tc>
                <w:tcPr>
                  <w:tcW w:w="1448" w:type="pct"/>
                  <w:tcBorders>
                    <w:tl2br w:val="nil"/>
                    <w:tr2bl w:val="nil"/>
                  </w:tcBorders>
                  <w:vAlign w:val="center"/>
                </w:tcPr>
                <w:p w14:paraId="5AFC4402">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color w:val="auto"/>
                      <w:lang w:val="en-US" w:eastAsia="zh-CN"/>
                    </w:rPr>
                    <w:t>不</w:t>
                  </w:r>
                  <w:r>
                    <w:rPr>
                      <w:rFonts w:hint="default" w:ascii="Times New Roman" w:hAnsi="Times New Roman" w:eastAsia="宋体" w:cs="Times New Roman"/>
                      <w:color w:val="auto"/>
                      <w:lang w:val="en-US" w:eastAsia="zh-CN"/>
                    </w:rPr>
                    <w:t>属于《淮河流域水污染防治暂行条例》中限制的项目</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0CF48F9F">
                  <w:pPr>
                    <w:pStyle w:val="45"/>
                    <w:bidi w:val="0"/>
                    <w:rPr>
                      <w:rFonts w:hint="default" w:ascii="Times New Roman" w:hAnsi="Times New Roman" w:eastAsia="宋体" w:cs="Times New Roman"/>
                      <w:color w:val="auto"/>
                      <w:lang w:val="en-US" w:eastAsia="zh-CN"/>
                    </w:rPr>
                  </w:pPr>
                </w:p>
              </w:tc>
            </w:tr>
            <w:tr w14:paraId="08744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0F07EBFD">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0F902143">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317781D5">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4.</w:t>
                  </w:r>
                  <w:r>
                    <w:rPr>
                      <w:rFonts w:hint="default" w:ascii="Times New Roman" w:hAnsi="Times New Roman" w:eastAsia="宋体" w:cs="Times New Roman"/>
                      <w:color w:val="auto"/>
                      <w:lang w:val="en-US" w:eastAsia="zh-CN"/>
                    </w:rPr>
                    <w:t>开发区印染排水量不得突破7000吨/日。</w:t>
                  </w:r>
                </w:p>
              </w:tc>
              <w:tc>
                <w:tcPr>
                  <w:tcW w:w="1448" w:type="pct"/>
                  <w:tcBorders>
                    <w:tl2br w:val="nil"/>
                    <w:tr2bl w:val="nil"/>
                  </w:tcBorders>
                  <w:vAlign w:val="center"/>
                </w:tcPr>
                <w:p w14:paraId="4C2954E6">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color w:val="auto"/>
                      <w:lang w:val="en-US" w:eastAsia="zh-CN"/>
                    </w:rPr>
                    <w:t>不涉及印染废水。</w:t>
                  </w:r>
                </w:p>
              </w:tc>
              <w:tc>
                <w:tcPr>
                  <w:tcW w:w="439" w:type="pct"/>
                  <w:vMerge w:val="continue"/>
                  <w:tcBorders>
                    <w:tl2br w:val="nil"/>
                    <w:tr2bl w:val="nil"/>
                  </w:tcBorders>
                  <w:vAlign w:val="center"/>
                </w:tcPr>
                <w:p w14:paraId="40C554C3">
                  <w:pPr>
                    <w:pStyle w:val="45"/>
                    <w:bidi w:val="0"/>
                    <w:rPr>
                      <w:rFonts w:hint="default" w:ascii="Times New Roman" w:hAnsi="Times New Roman" w:eastAsia="宋体" w:cs="Times New Roman"/>
                      <w:color w:val="auto"/>
                      <w:lang w:val="en-US" w:eastAsia="zh-CN"/>
                    </w:rPr>
                  </w:pPr>
                </w:p>
              </w:tc>
            </w:tr>
            <w:tr w14:paraId="3250F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restart"/>
                  <w:tcBorders>
                    <w:tl2br w:val="nil"/>
                    <w:tr2bl w:val="nil"/>
                  </w:tcBorders>
                  <w:vAlign w:val="center"/>
                </w:tcPr>
                <w:p w14:paraId="3B4E5CF0">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空间布局约束</w:t>
                  </w:r>
                </w:p>
              </w:tc>
              <w:tc>
                <w:tcPr>
                  <w:tcW w:w="2575" w:type="pct"/>
                  <w:tcBorders>
                    <w:tl2br w:val="nil"/>
                    <w:tr2bl w:val="nil"/>
                  </w:tcBorders>
                  <w:vAlign w:val="center"/>
                </w:tcPr>
                <w:p w14:paraId="0AEA04A6">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落实江苏省、淮安市“三线一单</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江苏省生态空间管控区域规划</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江苏省国家级生态保护红线规划</w:t>
                  </w:r>
                  <w:r>
                    <w:rPr>
                      <w:rFonts w:hint="eastAsia" w:ascii="Times New Roman" w:cs="Times New Roman"/>
                      <w:color w:val="auto"/>
                      <w:lang w:val="en-US" w:eastAsia="zh-CN"/>
                    </w:rPr>
                    <w:t>》等</w:t>
                  </w:r>
                  <w:r>
                    <w:rPr>
                      <w:rFonts w:hint="default" w:ascii="Times New Roman" w:hAnsi="Times New Roman" w:eastAsia="宋体" w:cs="Times New Roman"/>
                      <w:color w:val="auto"/>
                      <w:lang w:val="en-US" w:eastAsia="zh-CN"/>
                    </w:rPr>
                    <w:t>管控要求。</w:t>
                  </w:r>
                </w:p>
              </w:tc>
              <w:tc>
                <w:tcPr>
                  <w:tcW w:w="1448" w:type="pct"/>
                  <w:tcBorders>
                    <w:tl2br w:val="nil"/>
                    <w:tr2bl w:val="nil"/>
                  </w:tcBorders>
                  <w:vAlign w:val="center"/>
                </w:tcPr>
                <w:p w14:paraId="6F53A239">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color w:val="auto"/>
                      <w:lang w:val="en-US" w:eastAsia="zh-CN"/>
                    </w:rPr>
                    <w:t>已</w:t>
                  </w:r>
                  <w:r>
                    <w:rPr>
                      <w:rFonts w:hint="default" w:ascii="Times New Roman" w:hAnsi="Times New Roman" w:eastAsia="宋体" w:cs="Times New Roman"/>
                      <w:color w:val="auto"/>
                      <w:lang w:val="en-US" w:eastAsia="zh-CN"/>
                    </w:rPr>
                    <w:t>落实江苏省、淮安市“三线一单</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江苏省生态空间管控区域规划</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江苏省国家级生态保护红线规划》管控要求</w:t>
                  </w:r>
                  <w:r>
                    <w:rPr>
                      <w:rFonts w:hint="default" w:ascii="Times New Roman" w:hAnsi="Times New Roman" w:cs="Times New Roman"/>
                      <w:color w:val="auto"/>
                      <w:lang w:val="en-US" w:eastAsia="zh-CN"/>
                    </w:rPr>
                    <w:t>。</w:t>
                  </w:r>
                </w:p>
              </w:tc>
              <w:tc>
                <w:tcPr>
                  <w:tcW w:w="439" w:type="pct"/>
                  <w:vMerge w:val="restart"/>
                  <w:tcBorders>
                    <w:tl2br w:val="nil"/>
                    <w:tr2bl w:val="nil"/>
                  </w:tcBorders>
                  <w:vAlign w:val="center"/>
                </w:tcPr>
                <w:p w14:paraId="103EB8EE">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7F4C6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vAlign w:val="center"/>
                </w:tcPr>
                <w:p w14:paraId="5EFC18CF">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1A75168A">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区内规划的水域和防护绿地，禁止与环境保护功能无关的建设活动。</w:t>
                  </w:r>
                </w:p>
              </w:tc>
              <w:tc>
                <w:tcPr>
                  <w:tcW w:w="1448" w:type="pct"/>
                  <w:tcBorders>
                    <w:tl2br w:val="nil"/>
                    <w:tr2bl w:val="nil"/>
                  </w:tcBorders>
                  <w:vAlign w:val="center"/>
                </w:tcPr>
                <w:p w14:paraId="720DEAE3">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color w:val="auto"/>
                      <w:lang w:val="en-US" w:eastAsia="zh-CN"/>
                    </w:rPr>
                    <w:t>用地性质为工业用地，不涉及区内规划的水域和防护绿地。</w:t>
                  </w:r>
                </w:p>
              </w:tc>
              <w:tc>
                <w:tcPr>
                  <w:tcW w:w="439" w:type="pct"/>
                  <w:vMerge w:val="continue"/>
                  <w:tcBorders>
                    <w:tl2br w:val="nil"/>
                    <w:tr2bl w:val="nil"/>
                  </w:tcBorders>
                  <w:vAlign w:val="center"/>
                </w:tcPr>
                <w:p w14:paraId="12B40A50">
                  <w:pPr>
                    <w:pStyle w:val="45"/>
                    <w:bidi w:val="0"/>
                    <w:rPr>
                      <w:rFonts w:hint="default" w:ascii="Times New Roman" w:hAnsi="Times New Roman" w:eastAsia="宋体" w:cs="Times New Roman"/>
                      <w:color w:val="auto"/>
                      <w:lang w:val="en-US" w:eastAsia="zh-CN"/>
                    </w:rPr>
                  </w:pPr>
                </w:p>
              </w:tc>
            </w:tr>
            <w:tr w14:paraId="3559F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vAlign w:val="center"/>
                </w:tcPr>
                <w:p w14:paraId="155DF6AF">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12DE68C0">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工业用地与居住用地、商住混合用地、学校之间须设置适当的空间隔离带。</w:t>
                  </w:r>
                </w:p>
              </w:tc>
              <w:tc>
                <w:tcPr>
                  <w:tcW w:w="1448" w:type="pct"/>
                  <w:tcBorders>
                    <w:tl2br w:val="nil"/>
                    <w:tr2bl w:val="nil"/>
                  </w:tcBorders>
                  <w:vAlign w:val="center"/>
                </w:tcPr>
                <w:p w14:paraId="02D70582">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color w:val="auto"/>
                      <w:lang w:val="en-US" w:eastAsia="zh-CN"/>
                    </w:rPr>
                    <w:t>工业用地</w:t>
                  </w:r>
                  <w:r>
                    <w:rPr>
                      <w:rFonts w:hint="default" w:ascii="Times New Roman" w:hAnsi="Times New Roman" w:eastAsia="宋体" w:cs="Times New Roman"/>
                      <w:color w:val="auto"/>
                      <w:lang w:val="en-US" w:eastAsia="zh-CN"/>
                    </w:rPr>
                    <w:t>与居住用地、商住混合用地、学校之间存在适当的空间隔离带</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3EBAB1AE">
                  <w:pPr>
                    <w:pStyle w:val="45"/>
                    <w:bidi w:val="0"/>
                    <w:rPr>
                      <w:rFonts w:hint="default" w:ascii="Times New Roman" w:hAnsi="Times New Roman" w:eastAsia="宋体" w:cs="Times New Roman"/>
                      <w:color w:val="auto"/>
                      <w:lang w:val="en-US" w:eastAsia="zh-CN"/>
                    </w:rPr>
                  </w:pPr>
                </w:p>
              </w:tc>
            </w:tr>
            <w:tr w14:paraId="30461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restart"/>
                  <w:tcBorders>
                    <w:tl2br w:val="nil"/>
                    <w:tr2bl w:val="nil"/>
                  </w:tcBorders>
                  <w:vAlign w:val="center"/>
                </w:tcPr>
                <w:p w14:paraId="1ECB2A65">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污染物排放管控</w:t>
                  </w:r>
                </w:p>
              </w:tc>
              <w:tc>
                <w:tcPr>
                  <w:tcW w:w="268" w:type="pct"/>
                  <w:vMerge w:val="restart"/>
                  <w:tcBorders>
                    <w:tl2br w:val="nil"/>
                    <w:tr2bl w:val="nil"/>
                  </w:tcBorders>
                  <w:vAlign w:val="center"/>
                </w:tcPr>
                <w:p w14:paraId="5DC35B57">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总体要求</w:t>
                  </w:r>
                </w:p>
              </w:tc>
              <w:tc>
                <w:tcPr>
                  <w:tcW w:w="2575" w:type="pct"/>
                  <w:tcBorders>
                    <w:tl2br w:val="nil"/>
                    <w:tr2bl w:val="nil"/>
                  </w:tcBorders>
                  <w:vAlign w:val="center"/>
                </w:tcPr>
                <w:p w14:paraId="1BB3A19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auto"/>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1.</w:t>
                  </w:r>
                  <w:r>
                    <w:rPr>
                      <w:rFonts w:hint="default" w:ascii="Times New Roman" w:hAnsi="Times New Roman" w:eastAsia="宋体" w:cs="Times New Roman"/>
                      <w:color w:val="auto"/>
                      <w:lang w:val="en-US" w:eastAsia="zh-CN"/>
                    </w:rPr>
                    <w:t>工业项目排放污染物必须达到国家和地方规定的污染物排放标准。</w:t>
                  </w:r>
                </w:p>
              </w:tc>
              <w:tc>
                <w:tcPr>
                  <w:tcW w:w="1448" w:type="pct"/>
                  <w:tcBorders>
                    <w:tl2br w:val="nil"/>
                    <w:tr2bl w:val="nil"/>
                  </w:tcBorders>
                  <w:vAlign w:val="center"/>
                </w:tcPr>
                <w:p w14:paraId="55BBD74A">
                  <w:pPr>
                    <w:pStyle w:val="45"/>
                    <w:bidi w:val="0"/>
                    <w:jc w:val="left"/>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cs="Times New Roman" w:eastAsiaTheme="minorEastAsia"/>
                      <w:color w:val="auto"/>
                      <w:szCs w:val="21"/>
                      <w:lang w:eastAsia="zh-CN"/>
                    </w:rPr>
                    <w:t>不涉及废气</w:t>
                  </w:r>
                </w:p>
              </w:tc>
              <w:tc>
                <w:tcPr>
                  <w:tcW w:w="439" w:type="pct"/>
                  <w:vMerge w:val="restart"/>
                  <w:tcBorders>
                    <w:tl2br w:val="nil"/>
                    <w:tr2bl w:val="nil"/>
                  </w:tcBorders>
                  <w:vAlign w:val="center"/>
                </w:tcPr>
                <w:p w14:paraId="3FA2A079">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04BA1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67" w:type="pct"/>
                  <w:vMerge w:val="continue"/>
                  <w:tcBorders>
                    <w:tl2br w:val="nil"/>
                    <w:tr2bl w:val="nil"/>
                  </w:tcBorders>
                  <w:vAlign w:val="center"/>
                </w:tcPr>
                <w:p w14:paraId="3900153E">
                  <w:pPr>
                    <w:pStyle w:val="45"/>
                    <w:bidi w:val="0"/>
                    <w:rPr>
                      <w:rFonts w:hint="default" w:ascii="Times New Roman" w:hAnsi="Times New Roman" w:eastAsia="宋体" w:cs="Times New Roman"/>
                      <w:b/>
                      <w:bCs/>
                      <w:color w:val="auto"/>
                      <w:lang w:val="en-US" w:eastAsia="zh-CN"/>
                    </w:rPr>
                  </w:pPr>
                </w:p>
              </w:tc>
              <w:tc>
                <w:tcPr>
                  <w:tcW w:w="268" w:type="pct"/>
                  <w:vMerge w:val="continue"/>
                  <w:tcBorders>
                    <w:tl2br w:val="nil"/>
                    <w:tr2bl w:val="nil"/>
                  </w:tcBorders>
                  <w:vAlign w:val="center"/>
                </w:tcPr>
                <w:p w14:paraId="16FF480B">
                  <w:pPr>
                    <w:pStyle w:val="45"/>
                    <w:bidi w:val="0"/>
                    <w:rPr>
                      <w:rFonts w:hint="default" w:ascii="Times New Roman" w:hAnsi="Times New Roman" w:eastAsia="宋体" w:cs="Times New Roman"/>
                      <w:b/>
                      <w:bCs/>
                      <w:color w:val="auto"/>
                      <w:lang w:val="en-US" w:eastAsia="zh-CN"/>
                    </w:rPr>
                  </w:pPr>
                </w:p>
              </w:tc>
              <w:tc>
                <w:tcPr>
                  <w:tcW w:w="2575" w:type="pct"/>
                  <w:tcBorders>
                    <w:tl2br w:val="nil"/>
                    <w:tr2bl w:val="nil"/>
                  </w:tcBorders>
                  <w:vAlign w:val="center"/>
                </w:tcPr>
                <w:p w14:paraId="3018DDE8">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2.</w:t>
                  </w:r>
                  <w:r>
                    <w:rPr>
                      <w:rFonts w:hint="default" w:ascii="Times New Roman" w:hAnsi="Times New Roman" w:eastAsia="宋体" w:cs="Times New Roman"/>
                      <w:color w:val="auto"/>
                      <w:lang w:val="en-US" w:eastAsia="zh-CN"/>
                    </w:rPr>
                    <w:t>园区内企业清洁生产水平达到国内先进水平。</w:t>
                  </w:r>
                </w:p>
              </w:tc>
              <w:tc>
                <w:tcPr>
                  <w:tcW w:w="1448" w:type="pct"/>
                  <w:tcBorders>
                    <w:tl2br w:val="nil"/>
                    <w:tr2bl w:val="nil"/>
                  </w:tcBorders>
                  <w:vAlign w:val="center"/>
                </w:tcPr>
                <w:p w14:paraId="2729DEB1">
                  <w:pPr>
                    <w:pStyle w:val="45"/>
                    <w:bidi w:val="0"/>
                    <w:jc w:val="left"/>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eastAsia="宋体" w:cs="Times New Roman"/>
                      <w:color w:val="auto"/>
                      <w:lang w:val="en-US" w:eastAsia="zh-CN"/>
                    </w:rPr>
                    <w:t>清洁生产水平达到国内先进水平</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248BBCE5">
                  <w:pPr>
                    <w:pStyle w:val="45"/>
                    <w:bidi w:val="0"/>
                    <w:rPr>
                      <w:rFonts w:hint="default" w:ascii="Times New Roman" w:hAnsi="Times New Roman" w:eastAsia="宋体" w:cs="Times New Roman"/>
                      <w:color w:val="auto"/>
                      <w:lang w:val="en-US" w:eastAsia="zh-CN"/>
                    </w:rPr>
                  </w:pPr>
                </w:p>
              </w:tc>
            </w:tr>
            <w:tr w14:paraId="38FB7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67" w:type="pct"/>
                  <w:vMerge w:val="continue"/>
                  <w:tcBorders>
                    <w:tl2br w:val="nil"/>
                    <w:tr2bl w:val="nil"/>
                  </w:tcBorders>
                  <w:vAlign w:val="center"/>
                </w:tcPr>
                <w:p w14:paraId="685B8AC7">
                  <w:pPr>
                    <w:pStyle w:val="45"/>
                    <w:bidi w:val="0"/>
                    <w:rPr>
                      <w:rFonts w:hint="default" w:ascii="Times New Roman" w:hAnsi="Times New Roman" w:eastAsia="宋体" w:cs="Times New Roman"/>
                      <w:b/>
                      <w:bCs/>
                      <w:color w:val="auto"/>
                      <w:lang w:val="en-US" w:eastAsia="zh-CN"/>
                    </w:rPr>
                  </w:pPr>
                </w:p>
              </w:tc>
              <w:tc>
                <w:tcPr>
                  <w:tcW w:w="268" w:type="pct"/>
                  <w:vMerge w:val="continue"/>
                  <w:tcBorders>
                    <w:tl2br w:val="nil"/>
                    <w:tr2bl w:val="nil"/>
                  </w:tcBorders>
                  <w:vAlign w:val="center"/>
                </w:tcPr>
                <w:p w14:paraId="4A22B1B5">
                  <w:pPr>
                    <w:pStyle w:val="45"/>
                    <w:bidi w:val="0"/>
                    <w:rPr>
                      <w:rFonts w:hint="default" w:ascii="Times New Roman" w:hAnsi="Times New Roman" w:eastAsia="宋体" w:cs="Times New Roman"/>
                      <w:b/>
                      <w:bCs/>
                      <w:color w:val="auto"/>
                      <w:lang w:val="en-US" w:eastAsia="zh-CN"/>
                    </w:rPr>
                  </w:pPr>
                </w:p>
              </w:tc>
              <w:tc>
                <w:tcPr>
                  <w:tcW w:w="2575" w:type="pct"/>
                  <w:tcBorders>
                    <w:tl2br w:val="nil"/>
                    <w:tr2bl w:val="nil"/>
                  </w:tcBorders>
                  <w:vAlign w:val="center"/>
                </w:tcPr>
                <w:p w14:paraId="1E892FF1">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3.</w:t>
                  </w:r>
                  <w:r>
                    <w:rPr>
                      <w:rFonts w:hint="default" w:ascii="Times New Roman" w:hAnsi="Times New Roman" w:eastAsia="宋体" w:cs="Times New Roman"/>
                      <w:color w:val="auto"/>
                      <w:lang w:val="en-US" w:eastAsia="zh-CN"/>
                    </w:rPr>
                    <w:t>西区污水处理厂现状为城镇污水处理厂，严禁接入不能被污水处理厂有效处理或可能影响污水处理厂出水水质达标的工业废水。</w:t>
                  </w:r>
                </w:p>
              </w:tc>
              <w:tc>
                <w:tcPr>
                  <w:tcW w:w="1448" w:type="pct"/>
                  <w:tcBorders>
                    <w:tl2br w:val="nil"/>
                    <w:tr2bl w:val="nil"/>
                  </w:tcBorders>
                  <w:vAlign w:val="center"/>
                </w:tcPr>
                <w:p w14:paraId="4717BFA3">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cs="Times New Roman" w:eastAsiaTheme="minorEastAsia"/>
                      <w:color w:val="auto"/>
                      <w:szCs w:val="21"/>
                      <w:lang w:eastAsia="zh-CN"/>
                    </w:rPr>
                    <w:t>扩建</w:t>
                  </w:r>
                  <w:r>
                    <w:rPr>
                      <w:rFonts w:hint="default" w:ascii="Times New Roman" w:hAnsi="Times New Roman" w:cs="Times New Roman" w:eastAsiaTheme="minorEastAsia"/>
                      <w:color w:val="auto"/>
                      <w:szCs w:val="21"/>
                    </w:rPr>
                    <w:t>项目</w:t>
                  </w:r>
                  <w:r>
                    <w:rPr>
                      <w:rFonts w:hint="default" w:ascii="Times New Roman" w:hAnsi="Times New Roman" w:eastAsia="宋体" w:cs="Times New Roman"/>
                      <w:color w:val="auto"/>
                      <w:lang w:val="en-US" w:eastAsia="zh-CN"/>
                    </w:rPr>
                    <w:t>生产废水经厂区污水站处理后接管涟水经济开发区西区污水处理厂</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6D9D2D7A">
                  <w:pPr>
                    <w:pStyle w:val="45"/>
                    <w:bidi w:val="0"/>
                    <w:rPr>
                      <w:rFonts w:hint="default" w:ascii="Times New Roman" w:hAnsi="Times New Roman" w:eastAsia="宋体" w:cs="Times New Roman"/>
                      <w:color w:val="auto"/>
                      <w:lang w:val="en-US" w:eastAsia="zh-CN"/>
                    </w:rPr>
                  </w:pPr>
                </w:p>
              </w:tc>
            </w:tr>
            <w:tr w14:paraId="2062A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68725029">
                  <w:pPr>
                    <w:pStyle w:val="45"/>
                    <w:bidi w:val="0"/>
                    <w:rPr>
                      <w:rFonts w:hint="default" w:ascii="Times New Roman" w:hAnsi="Times New Roman" w:eastAsia="宋体" w:cs="Times New Roman"/>
                      <w:b w:val="0"/>
                      <w:bCs w:val="0"/>
                      <w:color w:val="auto"/>
                      <w:lang w:val="en-US" w:eastAsia="zh-CN"/>
                    </w:rPr>
                  </w:pPr>
                </w:p>
              </w:tc>
              <w:tc>
                <w:tcPr>
                  <w:tcW w:w="268" w:type="pct"/>
                  <w:vMerge w:val="restart"/>
                  <w:tcBorders>
                    <w:tl2br w:val="nil"/>
                    <w:tr2bl w:val="nil"/>
                  </w:tcBorders>
                  <w:vAlign w:val="center"/>
                </w:tcPr>
                <w:p w14:paraId="75F06DB3">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环境质量</w:t>
                  </w:r>
                </w:p>
              </w:tc>
              <w:tc>
                <w:tcPr>
                  <w:tcW w:w="2575" w:type="pct"/>
                  <w:tcBorders>
                    <w:tl2br w:val="nil"/>
                    <w:tr2bl w:val="nil"/>
                  </w:tcBorders>
                  <w:vAlign w:val="center"/>
                </w:tcPr>
                <w:p w14:paraId="1372A20F">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1.</w:t>
                  </w:r>
                  <w:r>
                    <w:rPr>
                      <w:rFonts w:hint="default" w:ascii="Times New Roman" w:hAnsi="Times New Roman" w:eastAsia="宋体" w:cs="Times New Roman"/>
                      <w:color w:val="auto"/>
                      <w:lang w:val="en-US" w:eastAsia="zh-CN"/>
                    </w:rPr>
                    <w:t>大气环境质量达到《环境空气质量标准》二级标准、《环境影响评价技术导则大气环境》（HJ2.2-2018）附录D其他污染物空气质量浓度参考限值等 。</w:t>
                  </w:r>
                </w:p>
              </w:tc>
              <w:tc>
                <w:tcPr>
                  <w:tcW w:w="1448" w:type="pct"/>
                  <w:tcBorders>
                    <w:tl2br w:val="nil"/>
                    <w:tr2bl w:val="nil"/>
                  </w:tcBorders>
                  <w:vAlign w:val="center"/>
                </w:tcPr>
                <w:p w14:paraId="43C67545">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根据《涟水县2024年度环境质量公告》，项目所在地大气环境质量达到《环境空气质量标准》二级标准</w:t>
                  </w:r>
                  <w:r>
                    <w:rPr>
                      <w:rFonts w:hint="default" w:ascii="Times New Roman" w:hAnsi="Times New Roman" w:cs="Times New Roman"/>
                      <w:color w:val="auto"/>
                      <w:vertAlign w:val="baseline"/>
                      <w:lang w:val="en-US" w:eastAsia="zh-CN"/>
                    </w:rPr>
                    <w:t>。</w:t>
                  </w:r>
                </w:p>
              </w:tc>
              <w:tc>
                <w:tcPr>
                  <w:tcW w:w="439" w:type="pct"/>
                  <w:vMerge w:val="restart"/>
                  <w:tcBorders>
                    <w:tl2br w:val="nil"/>
                    <w:tr2bl w:val="nil"/>
                  </w:tcBorders>
                  <w:vAlign w:val="center"/>
                </w:tcPr>
                <w:p w14:paraId="49870945">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59838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737FC564">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46C93443">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0ADA3FC9">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2.</w:t>
                  </w:r>
                  <w:r>
                    <w:rPr>
                      <w:rFonts w:hint="default" w:ascii="Times New Roman" w:hAnsi="Times New Roman" w:eastAsia="宋体" w:cs="Times New Roman"/>
                      <w:color w:val="auto"/>
                      <w:lang w:val="en-US" w:eastAsia="zh-CN"/>
                    </w:rPr>
                    <w:t>盐河执行《地表水环境质量标准》（GB3838-2002）Ⅲ类、涟中总干渠执行《地表水环境质量标准》（GB3838-2002）</w:t>
                  </w:r>
                  <w:r>
                    <w:rPr>
                      <w:rFonts w:hint="default" w:ascii="Times New Roman" w:hAnsi="Times New Roman" w:cs="Times New Roman"/>
                      <w:color w:val="auto"/>
                      <w:lang w:val="en-US" w:eastAsia="zh-CN"/>
                    </w:rPr>
                    <w:t>Ⅳ类</w:t>
                  </w:r>
                  <w:r>
                    <w:rPr>
                      <w:rFonts w:hint="default" w:ascii="Times New Roman" w:hAnsi="Times New Roman" w:eastAsia="宋体" w:cs="Times New Roman"/>
                      <w:color w:val="auto"/>
                      <w:lang w:val="en-US" w:eastAsia="zh-CN"/>
                    </w:rPr>
                    <w:t>水标准；公兴河2025年按</w:t>
                  </w:r>
                  <w:r>
                    <w:rPr>
                      <w:rFonts w:hint="default" w:ascii="Times New Roman" w:hAnsi="Times New Roman" w:cs="Times New Roman"/>
                      <w:color w:val="auto"/>
                      <w:lang w:val="en-US" w:eastAsia="zh-CN"/>
                    </w:rPr>
                    <w:t>Ⅳ类</w:t>
                  </w:r>
                  <w:r>
                    <w:rPr>
                      <w:rFonts w:hint="default" w:ascii="Times New Roman" w:hAnsi="Times New Roman" w:eastAsia="宋体" w:cs="Times New Roman"/>
                      <w:color w:val="auto"/>
                      <w:lang w:val="en-US" w:eastAsia="zh-CN"/>
                    </w:rPr>
                    <w:t>考核，2030年执行Ⅲ类。</w:t>
                  </w:r>
                </w:p>
              </w:tc>
              <w:tc>
                <w:tcPr>
                  <w:tcW w:w="1448" w:type="pct"/>
                  <w:tcBorders>
                    <w:tl2br w:val="nil"/>
                    <w:tr2bl w:val="nil"/>
                  </w:tcBorders>
                  <w:vAlign w:val="center"/>
                </w:tcPr>
                <w:p w14:paraId="56838868">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生活污水</w:t>
                  </w:r>
                  <w:r>
                    <w:rPr>
                      <w:rFonts w:hint="default" w:ascii="Times New Roman" w:hAnsi="Times New Roman" w:cs="Times New Roman"/>
                      <w:color w:val="auto"/>
                      <w:lang w:val="en-US" w:eastAsia="zh-CN"/>
                    </w:rPr>
                    <w:t>经化粪池处理后至厂区污水处理站接管至涟水经济开发区西区污水处理厂处理。</w:t>
                  </w:r>
                </w:p>
              </w:tc>
              <w:tc>
                <w:tcPr>
                  <w:tcW w:w="439" w:type="pct"/>
                  <w:vMerge w:val="continue"/>
                  <w:tcBorders>
                    <w:tl2br w:val="nil"/>
                    <w:tr2bl w:val="nil"/>
                  </w:tcBorders>
                  <w:vAlign w:val="center"/>
                </w:tcPr>
                <w:p w14:paraId="74E50925">
                  <w:pPr>
                    <w:pStyle w:val="45"/>
                    <w:bidi w:val="0"/>
                    <w:rPr>
                      <w:rFonts w:hint="default" w:ascii="Times New Roman" w:hAnsi="Times New Roman" w:eastAsia="宋体" w:cs="Times New Roman"/>
                      <w:color w:val="auto"/>
                      <w:lang w:val="en-US" w:eastAsia="zh-CN"/>
                    </w:rPr>
                  </w:pPr>
                </w:p>
              </w:tc>
            </w:tr>
            <w:tr w14:paraId="4A8E9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67" w:type="pct"/>
                  <w:vMerge w:val="continue"/>
                  <w:tcBorders>
                    <w:tl2br w:val="nil"/>
                    <w:tr2bl w:val="nil"/>
                  </w:tcBorders>
                  <w:vAlign w:val="center"/>
                </w:tcPr>
                <w:p w14:paraId="57C3F0F1">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5F396961">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6E56B14B">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3.</w:t>
                  </w:r>
                  <w:r>
                    <w:rPr>
                      <w:rFonts w:hint="default" w:ascii="Times New Roman" w:hAnsi="Times New Roman" w:eastAsia="宋体" w:cs="Times New Roman"/>
                      <w:color w:val="auto"/>
                      <w:lang w:val="en-US" w:eastAsia="zh-CN"/>
                    </w:rPr>
                    <w:t>土壤建设用地满足《土壤环境质量建设用地土壤污染风险管控标准》（GB36600-2018）筛选值中的第一类、第二类用地标准。</w:t>
                  </w:r>
                </w:p>
              </w:tc>
              <w:tc>
                <w:tcPr>
                  <w:tcW w:w="1448" w:type="pct"/>
                  <w:tcBorders>
                    <w:tl2br w:val="nil"/>
                    <w:tr2bl w:val="nil"/>
                  </w:tcBorders>
                  <w:vAlign w:val="center"/>
                </w:tcPr>
                <w:p w14:paraId="30FCE8D7">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项目用地为工业用地</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0F69DB31">
                  <w:pPr>
                    <w:pStyle w:val="45"/>
                    <w:bidi w:val="0"/>
                    <w:rPr>
                      <w:rFonts w:hint="default" w:ascii="Times New Roman" w:hAnsi="Times New Roman" w:eastAsia="宋体" w:cs="Times New Roman"/>
                      <w:color w:val="auto"/>
                      <w:lang w:val="en-US" w:eastAsia="zh-CN"/>
                    </w:rPr>
                  </w:pPr>
                </w:p>
              </w:tc>
            </w:tr>
            <w:tr w14:paraId="26578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1EA62D13">
                  <w:pPr>
                    <w:pStyle w:val="45"/>
                    <w:bidi w:val="0"/>
                    <w:rPr>
                      <w:rFonts w:hint="default" w:ascii="Times New Roman" w:hAnsi="Times New Roman" w:eastAsia="宋体" w:cs="Times New Roman"/>
                      <w:b w:val="0"/>
                      <w:bCs w:val="0"/>
                      <w:color w:val="auto"/>
                      <w:lang w:val="en-US" w:eastAsia="zh-CN"/>
                    </w:rPr>
                  </w:pPr>
                </w:p>
              </w:tc>
              <w:tc>
                <w:tcPr>
                  <w:tcW w:w="268" w:type="pct"/>
                  <w:vMerge w:val="restart"/>
                  <w:tcBorders>
                    <w:tl2br w:val="nil"/>
                    <w:tr2bl w:val="nil"/>
                  </w:tcBorders>
                  <w:vAlign w:val="center"/>
                </w:tcPr>
                <w:p w14:paraId="7F1AC27A">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污染物排放总量</w:t>
                  </w:r>
                </w:p>
              </w:tc>
              <w:tc>
                <w:tcPr>
                  <w:tcW w:w="2575" w:type="pct"/>
                  <w:tcBorders>
                    <w:tl2br w:val="nil"/>
                    <w:tr2bl w:val="nil"/>
                  </w:tcBorders>
                  <w:vAlign w:val="center"/>
                </w:tcPr>
                <w:p w14:paraId="7914F534">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1.</w:t>
                  </w:r>
                  <w:r>
                    <w:rPr>
                      <w:rFonts w:hint="default" w:ascii="Times New Roman" w:hAnsi="Times New Roman" w:cs="Times New Roman"/>
                      <w:color w:val="auto"/>
                      <w:lang w:val="en-US" w:eastAsia="zh-CN"/>
                    </w:rPr>
                    <w:t>空气污染物</w:t>
                  </w:r>
                  <w:r>
                    <w:rPr>
                      <w:rFonts w:hint="default" w:ascii="Times New Roman" w:hAnsi="Times New Roman" w:eastAsia="宋体" w:cs="Times New Roman"/>
                      <w:color w:val="auto"/>
                      <w:lang w:val="en-US" w:eastAsia="zh-CN"/>
                    </w:rPr>
                    <w:t>：二氧化硫61.36吨/年、二氧化氮99.65吨/年、烟粉尘58.97吨/年、挥发性有机物80.7吨/年。</w:t>
                  </w:r>
                </w:p>
              </w:tc>
              <w:tc>
                <w:tcPr>
                  <w:tcW w:w="1448" w:type="pct"/>
                  <w:tcBorders>
                    <w:tl2br w:val="nil"/>
                    <w:tr2bl w:val="nil"/>
                  </w:tcBorders>
                  <w:vAlign w:val="center"/>
                </w:tcPr>
                <w:p w14:paraId="1509E818">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扩建项目不涉及废气</w:t>
                  </w:r>
                </w:p>
              </w:tc>
              <w:tc>
                <w:tcPr>
                  <w:tcW w:w="439" w:type="pct"/>
                  <w:vMerge w:val="restart"/>
                  <w:tcBorders>
                    <w:tl2br w:val="nil"/>
                    <w:tr2bl w:val="nil"/>
                  </w:tcBorders>
                  <w:vAlign w:val="center"/>
                </w:tcPr>
                <w:p w14:paraId="3BE7BCCE">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2E090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08162532">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694FB7FB">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7AA1AE84">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2.</w:t>
                  </w:r>
                  <w:r>
                    <w:rPr>
                      <w:rFonts w:hint="default" w:ascii="Times New Roman" w:hAnsi="Times New Roman" w:eastAsia="宋体" w:cs="Times New Roman"/>
                      <w:color w:val="auto"/>
                      <w:lang w:val="en-US" w:eastAsia="zh-CN"/>
                    </w:rPr>
                    <w:t>废水污染物（接管量/排放量）：废水量1480.18/1273.2万吨/年，COD6053.89/636.6吨/年，氨氮443.62/63.66吨/年、总磷91.5/6.37吨/年、总氮576.11/190.98吨/年</w:t>
                  </w:r>
                </w:p>
              </w:tc>
              <w:tc>
                <w:tcPr>
                  <w:tcW w:w="1448" w:type="pct"/>
                  <w:tcBorders>
                    <w:tl2br w:val="nil"/>
                    <w:tr2bl w:val="nil"/>
                  </w:tcBorders>
                  <w:vAlign w:val="center"/>
                </w:tcPr>
                <w:p w14:paraId="6110B39C">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扩建项目产生废水量无需申请总量，在厂内平衡。</w:t>
                  </w:r>
                </w:p>
              </w:tc>
              <w:tc>
                <w:tcPr>
                  <w:tcW w:w="439" w:type="pct"/>
                  <w:vMerge w:val="continue"/>
                  <w:tcBorders>
                    <w:tl2br w:val="nil"/>
                    <w:tr2bl w:val="nil"/>
                  </w:tcBorders>
                  <w:vAlign w:val="center"/>
                </w:tcPr>
                <w:p w14:paraId="707C8FE9">
                  <w:pPr>
                    <w:pStyle w:val="45"/>
                    <w:bidi w:val="0"/>
                    <w:rPr>
                      <w:rFonts w:hint="default" w:ascii="Times New Roman" w:hAnsi="Times New Roman" w:eastAsia="宋体" w:cs="Times New Roman"/>
                      <w:color w:val="auto"/>
                      <w:lang w:val="en-US" w:eastAsia="zh-CN"/>
                    </w:rPr>
                  </w:pPr>
                </w:p>
              </w:tc>
            </w:tr>
            <w:tr w14:paraId="44FC3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1732695F">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47AC7A13">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610EE699">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3.</w:t>
                  </w:r>
                  <w:r>
                    <w:rPr>
                      <w:rFonts w:hint="default" w:ascii="Times New Roman" w:hAnsi="Times New Roman" w:eastAsia="宋体" w:cs="Times New Roman"/>
                      <w:color w:val="auto"/>
                      <w:lang w:val="en-US" w:eastAsia="zh-CN"/>
                    </w:rPr>
                    <w:t>固体废物： 一般工业固废73671.16t/a、危废废物1904.15 t/a。全部综合利用或者委外合法安全处置，不外排。</w:t>
                  </w:r>
                </w:p>
              </w:tc>
              <w:tc>
                <w:tcPr>
                  <w:tcW w:w="1448" w:type="pct"/>
                  <w:tcBorders>
                    <w:tl2br w:val="nil"/>
                    <w:tr2bl w:val="nil"/>
                  </w:tcBorders>
                  <w:vAlign w:val="center"/>
                </w:tcPr>
                <w:p w14:paraId="216B6594">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w:t>
                  </w:r>
                  <w:r>
                    <w:rPr>
                      <w:rFonts w:hint="default" w:ascii="Times New Roman" w:hAnsi="Times New Roman" w:cs="Times New Roman"/>
                      <w:color w:val="auto"/>
                      <w:lang w:val="en-US" w:eastAsia="zh-CN"/>
                    </w:rPr>
                    <w:t>固体废物</w:t>
                  </w:r>
                  <w:r>
                    <w:rPr>
                      <w:rFonts w:hint="default" w:ascii="Times New Roman" w:hAnsi="Times New Roman" w:eastAsia="宋体" w:cs="Times New Roman"/>
                      <w:color w:val="auto"/>
                      <w:lang w:val="en-US" w:eastAsia="zh-CN"/>
                    </w:rPr>
                    <w:t>全部综合利用或者委外合法安全处置，不外排。</w:t>
                  </w:r>
                </w:p>
              </w:tc>
              <w:tc>
                <w:tcPr>
                  <w:tcW w:w="439" w:type="pct"/>
                  <w:vMerge w:val="continue"/>
                  <w:tcBorders>
                    <w:tl2br w:val="nil"/>
                    <w:tr2bl w:val="nil"/>
                  </w:tcBorders>
                  <w:vAlign w:val="center"/>
                </w:tcPr>
                <w:p w14:paraId="5E594621">
                  <w:pPr>
                    <w:pStyle w:val="45"/>
                    <w:bidi w:val="0"/>
                    <w:rPr>
                      <w:rFonts w:hint="default" w:ascii="Times New Roman" w:hAnsi="Times New Roman" w:eastAsia="宋体" w:cs="Times New Roman"/>
                      <w:color w:val="auto"/>
                      <w:lang w:val="en-US" w:eastAsia="zh-CN"/>
                    </w:rPr>
                  </w:pPr>
                </w:p>
              </w:tc>
            </w:tr>
            <w:tr w14:paraId="32B24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7" w:type="pct"/>
                  <w:vMerge w:val="continue"/>
                  <w:tcBorders>
                    <w:tl2br w:val="nil"/>
                    <w:tr2bl w:val="nil"/>
                  </w:tcBorders>
                  <w:vAlign w:val="center"/>
                </w:tcPr>
                <w:p w14:paraId="79A3D88D">
                  <w:pPr>
                    <w:pStyle w:val="45"/>
                    <w:bidi w:val="0"/>
                    <w:rPr>
                      <w:rFonts w:hint="default" w:ascii="Times New Roman" w:hAnsi="Times New Roman" w:eastAsia="宋体" w:cs="Times New Roman"/>
                      <w:b w:val="0"/>
                      <w:bCs w:val="0"/>
                      <w:color w:val="auto"/>
                      <w:lang w:val="en-US" w:eastAsia="zh-CN"/>
                    </w:rPr>
                  </w:pPr>
                </w:p>
              </w:tc>
              <w:tc>
                <w:tcPr>
                  <w:tcW w:w="268" w:type="pct"/>
                  <w:vMerge w:val="continue"/>
                  <w:tcBorders>
                    <w:tl2br w:val="nil"/>
                    <w:tr2bl w:val="nil"/>
                  </w:tcBorders>
                  <w:vAlign w:val="center"/>
                </w:tcPr>
                <w:p w14:paraId="29F37611">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0BA32289">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4.</w:t>
                  </w:r>
                  <w:r>
                    <w:rPr>
                      <w:rFonts w:hint="default" w:ascii="Times New Roman" w:hAnsi="Times New Roman" w:eastAsia="宋体" w:cs="Times New Roman"/>
                      <w:color w:val="auto"/>
                      <w:lang w:val="en-US" w:eastAsia="zh-CN"/>
                    </w:rPr>
                    <w:t>产生危险废物及一般固体废物的企事业单位，在贮存、转移、利用固体废物（含危险废物）过程中，应配套防扬散、防流失、防渗漏及其他防止污染环境的措施。</w:t>
                  </w:r>
                </w:p>
              </w:tc>
              <w:tc>
                <w:tcPr>
                  <w:tcW w:w="1448" w:type="pct"/>
                  <w:tcBorders>
                    <w:tl2br w:val="nil"/>
                    <w:tr2bl w:val="nil"/>
                  </w:tcBorders>
                  <w:vAlign w:val="center"/>
                </w:tcPr>
                <w:p w14:paraId="428B1E42">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扩建项目一般固废库和危废暂存</w:t>
                  </w:r>
                  <w:r>
                    <w:rPr>
                      <w:rFonts w:hint="default" w:ascii="Times New Roman" w:hAnsi="Times New Roman" w:cs="Times New Roman"/>
                      <w:color w:val="auto"/>
                      <w:lang w:val="en-US" w:eastAsia="zh-CN"/>
                    </w:rPr>
                    <w:t>间依托现有工程</w:t>
                  </w:r>
                  <w:r>
                    <w:rPr>
                      <w:rFonts w:hint="default" w:ascii="Times New Roman" w:hAnsi="Times New Roman" w:eastAsia="宋体" w:cs="Times New Roman"/>
                      <w:color w:val="auto"/>
                      <w:lang w:val="en-US" w:eastAsia="zh-CN"/>
                    </w:rPr>
                    <w:t>，固体废物全部合理处置，可以实现零排放。</w:t>
                  </w:r>
                </w:p>
              </w:tc>
              <w:tc>
                <w:tcPr>
                  <w:tcW w:w="439" w:type="pct"/>
                  <w:vMerge w:val="continue"/>
                  <w:tcBorders>
                    <w:tl2br w:val="nil"/>
                    <w:tr2bl w:val="nil"/>
                  </w:tcBorders>
                  <w:vAlign w:val="center"/>
                </w:tcPr>
                <w:p w14:paraId="0334225B">
                  <w:pPr>
                    <w:pStyle w:val="45"/>
                    <w:bidi w:val="0"/>
                    <w:rPr>
                      <w:rFonts w:hint="default" w:ascii="Times New Roman" w:hAnsi="Times New Roman" w:eastAsia="宋体" w:cs="Times New Roman"/>
                      <w:color w:val="auto"/>
                      <w:lang w:val="en-US" w:eastAsia="zh-CN"/>
                    </w:rPr>
                  </w:pPr>
                </w:p>
              </w:tc>
            </w:tr>
            <w:tr w14:paraId="0EF80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restart"/>
                  <w:tcBorders>
                    <w:tl2br w:val="nil"/>
                    <w:tr2bl w:val="nil"/>
                  </w:tcBorders>
                  <w:vAlign w:val="center"/>
                </w:tcPr>
                <w:p w14:paraId="7EFD446A">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环境风险防控</w:t>
                  </w:r>
                </w:p>
              </w:tc>
              <w:tc>
                <w:tcPr>
                  <w:tcW w:w="2575" w:type="pct"/>
                  <w:tcBorders>
                    <w:tl2br w:val="nil"/>
                    <w:tr2bl w:val="nil"/>
                  </w:tcBorders>
                  <w:vAlign w:val="center"/>
                </w:tcPr>
                <w:p w14:paraId="447EA326">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1.</w:t>
                  </w:r>
                  <w:r>
                    <w:rPr>
                      <w:rFonts w:hint="default" w:ascii="Times New Roman" w:hAnsi="Times New Roman" w:eastAsia="宋体" w:cs="Times New Roman"/>
                      <w:color w:val="auto"/>
                      <w:lang w:val="en-US" w:eastAsia="zh-CN"/>
                    </w:rPr>
                    <w:t>开发区应定期编制环境风险评估报告和应急预案；对于涉及易导致环境风险的有毒有害和易燃易爆物质的生产、使用、排放、贮存的企业，必须编制环境风险应急预案和风险评估报告并备案，严格按要求完善环境风险防范措施，定期开展演练。</w:t>
                  </w:r>
                </w:p>
              </w:tc>
              <w:tc>
                <w:tcPr>
                  <w:tcW w:w="1448" w:type="pct"/>
                  <w:tcBorders>
                    <w:tl2br w:val="nil"/>
                    <w:tr2bl w:val="nil"/>
                  </w:tcBorders>
                  <w:vAlign w:val="center"/>
                </w:tcPr>
                <w:p w14:paraId="18369B61">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全厂将制定环境风险应急预案，建立完善的环境应急措施，并将应急装备和储备物资纳入储备体系，积极响应市、县、乡突发环境事件应急响应体系，并积极参加定期组织的演练，从而提高应急处置能力。</w:t>
                  </w:r>
                </w:p>
              </w:tc>
              <w:tc>
                <w:tcPr>
                  <w:tcW w:w="439" w:type="pct"/>
                  <w:vMerge w:val="restart"/>
                  <w:tcBorders>
                    <w:tl2br w:val="nil"/>
                    <w:tr2bl w:val="nil"/>
                  </w:tcBorders>
                  <w:vAlign w:val="center"/>
                </w:tcPr>
                <w:p w14:paraId="4A4DC5AC">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0B50A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vAlign w:val="center"/>
                </w:tcPr>
                <w:p w14:paraId="4EAC333D">
                  <w:pPr>
                    <w:pStyle w:val="45"/>
                    <w:bidi w:val="0"/>
                    <w:rPr>
                      <w:rFonts w:hint="default" w:ascii="Times New Roman" w:hAnsi="Times New Roman" w:eastAsia="宋体" w:cs="Times New Roman"/>
                      <w:b w:val="0"/>
                      <w:bCs w:val="0"/>
                      <w:color w:val="auto"/>
                      <w:lang w:val="en-US" w:eastAsia="zh-CN"/>
                    </w:rPr>
                  </w:pPr>
                </w:p>
              </w:tc>
              <w:tc>
                <w:tcPr>
                  <w:tcW w:w="2575" w:type="pct"/>
                  <w:tcBorders>
                    <w:tl2br w:val="nil"/>
                    <w:tr2bl w:val="nil"/>
                  </w:tcBorders>
                  <w:vAlign w:val="center"/>
                </w:tcPr>
                <w:p w14:paraId="362AFFFF">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2.</w:t>
                  </w:r>
                  <w:r>
                    <w:rPr>
                      <w:rFonts w:hint="default" w:ascii="Times New Roman" w:hAnsi="Times New Roman" w:eastAsia="宋体" w:cs="Times New Roman"/>
                      <w:color w:val="auto"/>
                      <w:lang w:val="en-US" w:eastAsia="zh-CN"/>
                    </w:rPr>
                    <w:t>企业事业单位拆除设施、设备或者建筑物、构筑物的，应当采取相应的土壤污染防治措施。土壤污染重点监管单位拆除设施、设备或者建筑物、构筑物的，应当制定包括应急措施在内的土壤污染防治工作方案，报地方人民政府生态环境、工业和信息化主管部门备案并实施。</w:t>
                  </w:r>
                </w:p>
              </w:tc>
              <w:tc>
                <w:tcPr>
                  <w:tcW w:w="1448" w:type="pct"/>
                  <w:tcBorders>
                    <w:tl2br w:val="nil"/>
                    <w:tr2bl w:val="nil"/>
                  </w:tcBorders>
                  <w:vAlign w:val="center"/>
                </w:tcPr>
                <w:p w14:paraId="57447484">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扩建项目不涉及拆除工程</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28550530">
                  <w:pPr>
                    <w:pStyle w:val="45"/>
                    <w:bidi w:val="0"/>
                    <w:rPr>
                      <w:rFonts w:hint="default" w:ascii="Times New Roman" w:hAnsi="Times New Roman" w:eastAsia="宋体" w:cs="Times New Roman"/>
                      <w:color w:val="auto"/>
                      <w:lang w:val="en-US" w:eastAsia="zh-CN"/>
                    </w:rPr>
                  </w:pPr>
                </w:p>
              </w:tc>
            </w:tr>
            <w:tr w14:paraId="51222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restart"/>
                  <w:tcBorders>
                    <w:tl2br w:val="nil"/>
                    <w:tr2bl w:val="nil"/>
                  </w:tcBorders>
                  <w:vAlign w:val="center"/>
                </w:tcPr>
                <w:p w14:paraId="21FDFF9C">
                  <w:pPr>
                    <w:pStyle w:val="45"/>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资源开发利用</w:t>
                  </w:r>
                </w:p>
              </w:tc>
              <w:tc>
                <w:tcPr>
                  <w:tcW w:w="2575" w:type="pct"/>
                  <w:tcBorders>
                    <w:tl2br w:val="nil"/>
                    <w:tr2bl w:val="nil"/>
                  </w:tcBorders>
                  <w:vAlign w:val="center"/>
                </w:tcPr>
                <w:p w14:paraId="40B4F7F7">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1.</w:t>
                  </w:r>
                  <w:r>
                    <w:rPr>
                      <w:rFonts w:hint="default" w:ascii="Times New Roman" w:hAnsi="Times New Roman" w:eastAsia="宋体" w:cs="Times New Roman"/>
                      <w:color w:val="auto"/>
                      <w:lang w:val="en-US" w:eastAsia="zh-CN"/>
                    </w:rPr>
                    <w:t>到2035年，建设用地上限≤1387.44公顷；工业用地上限≤638.81公顷。</w:t>
                  </w:r>
                </w:p>
              </w:tc>
              <w:tc>
                <w:tcPr>
                  <w:tcW w:w="1448" w:type="pct"/>
                  <w:tcBorders>
                    <w:tl2br w:val="nil"/>
                    <w:tr2bl w:val="nil"/>
                  </w:tcBorders>
                  <w:vAlign w:val="center"/>
                </w:tcPr>
                <w:p w14:paraId="548F1CF0">
                  <w:pPr>
                    <w:pStyle w:val="45"/>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w:t>
                  </w:r>
                  <w:r>
                    <w:rPr>
                      <w:rFonts w:hint="default" w:ascii="Times New Roman" w:hAnsi="Times New Roman" w:cs="Times New Roman"/>
                      <w:color w:val="auto"/>
                      <w:lang w:val="en-US" w:eastAsia="zh-CN"/>
                    </w:rPr>
                    <w:t>属于江苏</w:t>
                  </w:r>
                  <w:r>
                    <w:rPr>
                      <w:rFonts w:hint="default" w:ascii="Times New Roman" w:hAnsi="Times New Roman" w:eastAsia="宋体" w:cs="Times New Roman"/>
                      <w:color w:val="auto"/>
                      <w:lang w:val="en-US" w:eastAsia="zh-CN"/>
                    </w:rPr>
                    <w:t>涟水经济开发区</w:t>
                  </w:r>
                  <w:r>
                    <w:rPr>
                      <w:rFonts w:hint="default" w:ascii="Times New Roman" w:hAnsi="Times New Roman" w:cs="Times New Roman"/>
                      <w:color w:val="auto"/>
                      <w:lang w:val="en-US" w:eastAsia="zh-CN"/>
                    </w:rPr>
                    <w:t>内工业用地。</w:t>
                  </w:r>
                </w:p>
              </w:tc>
              <w:tc>
                <w:tcPr>
                  <w:tcW w:w="439" w:type="pct"/>
                  <w:vMerge w:val="restart"/>
                  <w:tcBorders>
                    <w:tl2br w:val="nil"/>
                    <w:tr2bl w:val="nil"/>
                  </w:tcBorders>
                  <w:vAlign w:val="center"/>
                </w:tcPr>
                <w:p w14:paraId="66907F82">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238A1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vAlign w:val="center"/>
                </w:tcPr>
                <w:p w14:paraId="203FBAEC">
                  <w:pPr>
                    <w:pStyle w:val="45"/>
                    <w:bidi w:val="0"/>
                    <w:rPr>
                      <w:rFonts w:hint="default" w:ascii="Times New Roman" w:hAnsi="Times New Roman" w:eastAsia="宋体" w:cs="Times New Roman"/>
                      <w:color w:val="auto"/>
                      <w:lang w:val="en-US" w:eastAsia="zh-CN"/>
                    </w:rPr>
                  </w:pPr>
                </w:p>
              </w:tc>
              <w:tc>
                <w:tcPr>
                  <w:tcW w:w="2575" w:type="pct"/>
                  <w:tcBorders>
                    <w:tl2br w:val="nil"/>
                    <w:tr2bl w:val="nil"/>
                  </w:tcBorders>
                  <w:vAlign w:val="center"/>
                </w:tcPr>
                <w:p w14:paraId="1576458D">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2.</w:t>
                  </w:r>
                  <w:r>
                    <w:rPr>
                      <w:rFonts w:hint="default" w:ascii="Times New Roman" w:hAnsi="Times New Roman" w:eastAsia="宋体" w:cs="Times New Roman"/>
                      <w:color w:val="auto"/>
                      <w:lang w:val="en-US" w:eastAsia="zh-CN"/>
                    </w:rPr>
                    <w:t>到2035年，单位工业增加值新鲜水耗≤3.0吨/万元。禁止开采利用地下水。</w:t>
                  </w:r>
                </w:p>
              </w:tc>
              <w:tc>
                <w:tcPr>
                  <w:tcW w:w="1448" w:type="pct"/>
                  <w:tcBorders>
                    <w:tl2br w:val="nil"/>
                    <w:tr2bl w:val="nil"/>
                  </w:tcBorders>
                  <w:vAlign w:val="center"/>
                </w:tcPr>
                <w:p w14:paraId="63E3DE63">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扩建项目单位工业增加值新鲜水耗</w:t>
                  </w:r>
                  <w:r>
                    <w:rPr>
                      <w:rFonts w:hint="default" w:ascii="Times New Roman" w:hAnsi="Times New Roman" w:cs="Times New Roman"/>
                      <w:color w:val="auto"/>
                      <w:lang w:val="en-US" w:eastAsia="zh-CN"/>
                    </w:rPr>
                    <w:t>约为0.18</w:t>
                  </w:r>
                  <w:r>
                    <w:rPr>
                      <w:rFonts w:hint="default" w:ascii="Times New Roman" w:hAnsi="Times New Roman" w:eastAsia="宋体" w:cs="Times New Roman"/>
                      <w:color w:val="auto"/>
                      <w:lang w:val="en-US" w:eastAsia="zh-CN"/>
                    </w:rPr>
                    <w:t>吨/万元</w:t>
                  </w:r>
                  <w:r>
                    <w:rPr>
                      <w:rFonts w:hint="default" w:ascii="Times New Roman" w:hAnsi="Times New Roman" w:cs="Times New Roman"/>
                      <w:color w:val="auto"/>
                      <w:lang w:val="en-US" w:eastAsia="zh-CN"/>
                    </w:rPr>
                    <w:t>，不涉及地下水开采。</w:t>
                  </w:r>
                </w:p>
              </w:tc>
              <w:tc>
                <w:tcPr>
                  <w:tcW w:w="439" w:type="pct"/>
                  <w:vMerge w:val="continue"/>
                  <w:tcBorders>
                    <w:tl2br w:val="nil"/>
                    <w:tr2bl w:val="nil"/>
                  </w:tcBorders>
                  <w:vAlign w:val="center"/>
                </w:tcPr>
                <w:p w14:paraId="2F13E2C9">
                  <w:pPr>
                    <w:pStyle w:val="45"/>
                    <w:bidi w:val="0"/>
                    <w:rPr>
                      <w:rFonts w:hint="default" w:ascii="Times New Roman" w:hAnsi="Times New Roman" w:eastAsia="宋体" w:cs="Times New Roman"/>
                      <w:color w:val="auto"/>
                      <w:lang w:val="en-US" w:eastAsia="zh-CN"/>
                    </w:rPr>
                  </w:pPr>
                </w:p>
              </w:tc>
            </w:tr>
            <w:tr w14:paraId="1F92B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vAlign w:val="center"/>
                </w:tcPr>
                <w:p w14:paraId="5BA1CC37">
                  <w:pPr>
                    <w:pStyle w:val="45"/>
                    <w:bidi w:val="0"/>
                    <w:rPr>
                      <w:rFonts w:hint="default" w:ascii="Times New Roman" w:hAnsi="Times New Roman" w:eastAsia="宋体" w:cs="Times New Roman"/>
                      <w:color w:val="auto"/>
                      <w:lang w:val="en-US" w:eastAsia="zh-CN"/>
                    </w:rPr>
                  </w:pPr>
                </w:p>
              </w:tc>
              <w:tc>
                <w:tcPr>
                  <w:tcW w:w="2575" w:type="pct"/>
                  <w:tcBorders>
                    <w:tl2br w:val="nil"/>
                    <w:tr2bl w:val="nil"/>
                  </w:tcBorders>
                  <w:vAlign w:val="center"/>
                </w:tcPr>
                <w:p w14:paraId="5F701FB3">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3.</w:t>
                  </w:r>
                  <w:r>
                    <w:rPr>
                      <w:rFonts w:hint="default" w:ascii="Times New Roman" w:hAnsi="Times New Roman" w:eastAsia="宋体" w:cs="Times New Roman"/>
                      <w:color w:val="auto"/>
                      <w:lang w:val="en-US" w:eastAsia="zh-CN"/>
                    </w:rPr>
                    <w:t>加强再生水回用工程建设，西区污水处理厂回用率不低于25%。</w:t>
                  </w:r>
                </w:p>
              </w:tc>
              <w:tc>
                <w:tcPr>
                  <w:tcW w:w="1448" w:type="pct"/>
                  <w:tcBorders>
                    <w:tl2br w:val="nil"/>
                    <w:tr2bl w:val="nil"/>
                  </w:tcBorders>
                  <w:vAlign w:val="center"/>
                </w:tcPr>
                <w:p w14:paraId="32C71D68">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w:t>
                  </w:r>
                  <w:r>
                    <w:rPr>
                      <w:rFonts w:hint="default" w:ascii="Times New Roman" w:hAnsi="Times New Roman" w:cs="Times New Roman"/>
                      <w:color w:val="auto"/>
                      <w:lang w:val="en-US" w:eastAsia="zh-CN"/>
                    </w:rPr>
                    <w:t>不涉及</w:t>
                  </w:r>
                  <w:r>
                    <w:rPr>
                      <w:rFonts w:hint="default" w:ascii="Times New Roman" w:hAnsi="Times New Roman" w:eastAsia="宋体" w:cs="Times New Roman"/>
                      <w:color w:val="auto"/>
                      <w:lang w:val="en-US" w:eastAsia="zh-CN"/>
                    </w:rPr>
                    <w:t>再生水回用工程建设</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72F68A8A">
                  <w:pPr>
                    <w:pStyle w:val="45"/>
                    <w:bidi w:val="0"/>
                    <w:rPr>
                      <w:rFonts w:hint="default" w:ascii="Times New Roman" w:hAnsi="Times New Roman" w:eastAsia="宋体" w:cs="Times New Roman"/>
                      <w:color w:val="auto"/>
                      <w:lang w:val="en-US" w:eastAsia="zh-CN"/>
                    </w:rPr>
                  </w:pPr>
                </w:p>
              </w:tc>
            </w:tr>
            <w:tr w14:paraId="4EF09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vAlign w:val="center"/>
                </w:tcPr>
                <w:p w14:paraId="70F6D61B">
                  <w:pPr>
                    <w:pStyle w:val="45"/>
                    <w:bidi w:val="0"/>
                    <w:rPr>
                      <w:rFonts w:hint="default" w:ascii="Times New Roman" w:hAnsi="Times New Roman" w:eastAsia="宋体" w:cs="Times New Roman"/>
                      <w:color w:val="auto"/>
                      <w:lang w:val="en-US" w:eastAsia="zh-CN"/>
                    </w:rPr>
                  </w:pPr>
                </w:p>
              </w:tc>
              <w:tc>
                <w:tcPr>
                  <w:tcW w:w="2575" w:type="pct"/>
                  <w:tcBorders>
                    <w:tl2br w:val="nil"/>
                    <w:tr2bl w:val="nil"/>
                  </w:tcBorders>
                  <w:vAlign w:val="center"/>
                </w:tcPr>
                <w:p w14:paraId="23A89A80">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4.</w:t>
                  </w:r>
                  <w:r>
                    <w:rPr>
                      <w:rFonts w:hint="default" w:ascii="Times New Roman" w:hAnsi="Times New Roman" w:eastAsia="宋体" w:cs="Times New Roman"/>
                      <w:color w:val="auto"/>
                      <w:lang w:val="en-US" w:eastAsia="zh-CN"/>
                    </w:rPr>
                    <w:t>到2035年，单位工业增加值综合能耗≤0.24吨标煤/万元。禁止建设使用燃煤、重油等重污染燃料的项目。</w:t>
                  </w:r>
                </w:p>
              </w:tc>
              <w:tc>
                <w:tcPr>
                  <w:tcW w:w="1448" w:type="pct"/>
                  <w:tcBorders>
                    <w:tl2br w:val="nil"/>
                    <w:tr2bl w:val="nil"/>
                  </w:tcBorders>
                  <w:vAlign w:val="center"/>
                </w:tcPr>
                <w:p w14:paraId="7FE0C977">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w:t>
                  </w:r>
                  <w:r>
                    <w:rPr>
                      <w:rFonts w:hint="default" w:ascii="Times New Roman" w:hAnsi="Times New Roman" w:cs="Times New Roman"/>
                      <w:color w:val="auto"/>
                      <w:lang w:val="en-US" w:eastAsia="zh-CN"/>
                    </w:rPr>
                    <w:t>不涉及地下水开采，使用电能。</w:t>
                  </w:r>
                </w:p>
              </w:tc>
              <w:tc>
                <w:tcPr>
                  <w:tcW w:w="439" w:type="pct"/>
                  <w:vMerge w:val="continue"/>
                  <w:tcBorders>
                    <w:tl2br w:val="nil"/>
                    <w:tr2bl w:val="nil"/>
                  </w:tcBorders>
                  <w:vAlign w:val="center"/>
                </w:tcPr>
                <w:p w14:paraId="143F4DB9">
                  <w:pPr>
                    <w:pStyle w:val="45"/>
                    <w:bidi w:val="0"/>
                    <w:rPr>
                      <w:rFonts w:hint="default" w:ascii="Times New Roman" w:hAnsi="Times New Roman" w:eastAsia="宋体" w:cs="Times New Roman"/>
                      <w:color w:val="auto"/>
                      <w:lang w:val="en-US" w:eastAsia="zh-CN"/>
                    </w:rPr>
                  </w:pPr>
                </w:p>
              </w:tc>
            </w:tr>
            <w:tr w14:paraId="07C71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36" w:type="pct"/>
                  <w:gridSpan w:val="2"/>
                  <w:vMerge w:val="continue"/>
                  <w:tcBorders>
                    <w:tl2br w:val="nil"/>
                    <w:tr2bl w:val="nil"/>
                  </w:tcBorders>
                  <w:vAlign w:val="center"/>
                </w:tcPr>
                <w:p w14:paraId="73B2FF6B">
                  <w:pPr>
                    <w:pStyle w:val="45"/>
                    <w:bidi w:val="0"/>
                    <w:rPr>
                      <w:rFonts w:hint="default" w:ascii="Times New Roman" w:hAnsi="Times New Roman" w:eastAsia="宋体" w:cs="Times New Roman"/>
                      <w:color w:val="auto"/>
                      <w:lang w:val="en-US" w:eastAsia="zh-CN"/>
                    </w:rPr>
                  </w:pPr>
                </w:p>
              </w:tc>
              <w:tc>
                <w:tcPr>
                  <w:tcW w:w="2575" w:type="pct"/>
                  <w:tcBorders>
                    <w:tl2br w:val="nil"/>
                    <w:tr2bl w:val="nil"/>
                  </w:tcBorders>
                  <w:vAlign w:val="center"/>
                </w:tcPr>
                <w:p w14:paraId="040BCFB9">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5.</w:t>
                  </w:r>
                  <w:r>
                    <w:rPr>
                      <w:rFonts w:hint="default" w:ascii="Times New Roman" w:hAnsi="Times New Roman" w:eastAsia="宋体" w:cs="Times New Roman"/>
                      <w:color w:val="auto"/>
                      <w:lang w:val="en-US" w:eastAsia="zh-CN"/>
                    </w:rPr>
                    <w:t>规划占用一般农用地128.47公顷， 一般农用地转为建设用地，须依法办理相关审批手续后方可开发利用。</w:t>
                  </w:r>
                </w:p>
              </w:tc>
              <w:tc>
                <w:tcPr>
                  <w:tcW w:w="1448" w:type="pct"/>
                  <w:tcBorders>
                    <w:tl2br w:val="nil"/>
                    <w:tr2bl w:val="nil"/>
                  </w:tcBorders>
                  <w:vAlign w:val="center"/>
                </w:tcPr>
                <w:p w14:paraId="339E4B63">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w:t>
                  </w:r>
                  <w:r>
                    <w:rPr>
                      <w:rFonts w:hint="default" w:ascii="Times New Roman" w:hAnsi="Times New Roman" w:cs="Times New Roman"/>
                      <w:color w:val="auto"/>
                      <w:lang w:val="en-US" w:eastAsia="zh-CN"/>
                    </w:rPr>
                    <w:t>用地性质为工业用地。</w:t>
                  </w:r>
                </w:p>
              </w:tc>
              <w:tc>
                <w:tcPr>
                  <w:tcW w:w="439" w:type="pct"/>
                  <w:vMerge w:val="continue"/>
                  <w:tcBorders>
                    <w:tl2br w:val="nil"/>
                    <w:tr2bl w:val="nil"/>
                  </w:tcBorders>
                  <w:vAlign w:val="center"/>
                </w:tcPr>
                <w:p w14:paraId="0771CE39">
                  <w:pPr>
                    <w:pStyle w:val="45"/>
                    <w:bidi w:val="0"/>
                    <w:rPr>
                      <w:rFonts w:hint="default" w:ascii="Times New Roman" w:hAnsi="Times New Roman" w:eastAsia="宋体" w:cs="Times New Roman"/>
                      <w:color w:val="auto"/>
                      <w:lang w:val="en-US" w:eastAsia="zh-CN"/>
                    </w:rPr>
                  </w:pPr>
                </w:p>
              </w:tc>
            </w:tr>
            <w:tr w14:paraId="0C6E9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36" w:type="pct"/>
                  <w:gridSpan w:val="2"/>
                  <w:vMerge w:val="continue"/>
                  <w:tcBorders>
                    <w:tl2br w:val="nil"/>
                    <w:tr2bl w:val="nil"/>
                  </w:tcBorders>
                  <w:vAlign w:val="center"/>
                </w:tcPr>
                <w:p w14:paraId="2190C6A6">
                  <w:pPr>
                    <w:pStyle w:val="45"/>
                    <w:bidi w:val="0"/>
                    <w:rPr>
                      <w:rFonts w:hint="default" w:ascii="Times New Roman" w:hAnsi="Times New Roman" w:eastAsia="宋体" w:cs="Times New Roman"/>
                      <w:color w:val="auto"/>
                      <w:lang w:val="en-US" w:eastAsia="zh-CN"/>
                    </w:rPr>
                  </w:pPr>
                </w:p>
              </w:tc>
              <w:tc>
                <w:tcPr>
                  <w:tcW w:w="2575" w:type="pct"/>
                  <w:tcBorders>
                    <w:tl2br w:val="nil"/>
                    <w:tr2bl w:val="nil"/>
                  </w:tcBorders>
                  <w:vAlign w:val="center"/>
                </w:tcPr>
                <w:p w14:paraId="5A2888ED">
                  <w:pPr>
                    <w:pStyle w:val="45"/>
                    <w:bidi w:val="0"/>
                    <w:jc w:val="both"/>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6.</w:t>
                  </w:r>
                  <w:r>
                    <w:rPr>
                      <w:rFonts w:hint="default" w:ascii="Times New Roman" w:hAnsi="Times New Roman" w:eastAsia="宋体" w:cs="Times New Roman"/>
                      <w:color w:val="auto"/>
                      <w:lang w:val="en-US" w:eastAsia="zh-CN"/>
                    </w:rPr>
                    <w:t>新建高耗能项目单位产品（产值）能耗要达到国际先进水平。</w:t>
                  </w:r>
                </w:p>
              </w:tc>
              <w:tc>
                <w:tcPr>
                  <w:tcW w:w="1448" w:type="pct"/>
                  <w:tcBorders>
                    <w:tl2br w:val="nil"/>
                    <w:tr2bl w:val="nil"/>
                  </w:tcBorders>
                  <w:vAlign w:val="center"/>
                </w:tcPr>
                <w:p w14:paraId="0685A3F8">
                  <w:pPr>
                    <w:pStyle w:val="45"/>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扩建项目不属于高耗能项目</w:t>
                  </w:r>
                  <w:r>
                    <w:rPr>
                      <w:rFonts w:hint="default" w:ascii="Times New Roman" w:hAnsi="Times New Roman" w:cs="Times New Roman"/>
                      <w:color w:val="auto"/>
                      <w:lang w:val="en-US" w:eastAsia="zh-CN"/>
                    </w:rPr>
                    <w:t>。</w:t>
                  </w:r>
                </w:p>
              </w:tc>
              <w:tc>
                <w:tcPr>
                  <w:tcW w:w="439" w:type="pct"/>
                  <w:vMerge w:val="continue"/>
                  <w:tcBorders>
                    <w:tl2br w:val="nil"/>
                    <w:tr2bl w:val="nil"/>
                  </w:tcBorders>
                  <w:vAlign w:val="center"/>
                </w:tcPr>
                <w:p w14:paraId="27FF17B9">
                  <w:pPr>
                    <w:pStyle w:val="45"/>
                    <w:bidi w:val="0"/>
                    <w:rPr>
                      <w:rFonts w:hint="default" w:ascii="Times New Roman" w:hAnsi="Times New Roman" w:eastAsia="宋体" w:cs="Times New Roman"/>
                      <w:color w:val="auto"/>
                      <w:lang w:val="en-US" w:eastAsia="zh-CN"/>
                    </w:rPr>
                  </w:pPr>
                </w:p>
              </w:tc>
            </w:tr>
          </w:tbl>
          <w:p w14:paraId="51C3EE90">
            <w:pPr>
              <w:keepNext w:val="0"/>
              <w:keepLines w:val="0"/>
              <w:pageBreakBefore w:val="0"/>
              <w:widowControl w:val="0"/>
              <w:kinsoku/>
              <w:wordWrap/>
              <w:overflowPunct/>
              <w:topLinePunct w:val="0"/>
              <w:bidi w:val="0"/>
              <w:spacing w:line="360" w:lineRule="auto"/>
              <w:ind w:firstLine="480" w:firstLineChars="200"/>
              <w:textAlignment w:val="auto"/>
              <w:rPr>
                <w:color w:val="auto"/>
                <w:sz w:val="24"/>
              </w:rPr>
            </w:pPr>
            <w:r>
              <w:rPr>
                <w:color w:val="auto"/>
                <w:sz w:val="24"/>
              </w:rPr>
              <w:t>综上所述，本项目符合</w:t>
            </w:r>
            <w:r>
              <w:rPr>
                <w:rFonts w:hint="eastAsia"/>
                <w:color w:val="auto"/>
                <w:sz w:val="24"/>
              </w:rPr>
              <w:t>“</w:t>
            </w:r>
            <w:r>
              <w:rPr>
                <w:color w:val="auto"/>
                <w:sz w:val="24"/>
              </w:rPr>
              <w:t>三线一单</w:t>
            </w:r>
            <w:r>
              <w:rPr>
                <w:rFonts w:hint="eastAsia"/>
                <w:color w:val="auto"/>
                <w:sz w:val="24"/>
              </w:rPr>
              <w:t>”</w:t>
            </w:r>
            <w:r>
              <w:rPr>
                <w:color w:val="auto"/>
                <w:sz w:val="24"/>
              </w:rPr>
              <w:t>要求。</w:t>
            </w:r>
          </w:p>
          <w:p w14:paraId="79AB1EC4">
            <w:pPr>
              <w:widowControl/>
              <w:adjustRightInd w:val="0"/>
              <w:snapToGrid w:val="0"/>
              <w:spacing w:line="360" w:lineRule="auto"/>
              <w:ind w:firstLine="480" w:firstLineChars="200"/>
              <w:rPr>
                <w:rFonts w:hAnsiTheme="minorEastAsia" w:eastAsiaTheme="minorEastAsia"/>
                <w:bCs/>
                <w:color w:val="auto"/>
                <w:sz w:val="24"/>
              </w:rPr>
            </w:pPr>
            <w:r>
              <w:rPr>
                <w:rFonts w:hAnsiTheme="minorEastAsia" w:eastAsiaTheme="minorEastAsia"/>
                <w:bCs/>
                <w:color w:val="auto"/>
                <w:sz w:val="24"/>
              </w:rPr>
              <w:t>综上所述，</w:t>
            </w:r>
            <w:r>
              <w:rPr>
                <w:rFonts w:hint="eastAsia" w:hAnsiTheme="minorEastAsia" w:eastAsiaTheme="minorEastAsia"/>
                <w:color w:val="auto"/>
                <w:sz w:val="24"/>
                <w:lang w:eastAsia="zh-CN"/>
              </w:rPr>
              <w:t>扩建</w:t>
            </w:r>
            <w:r>
              <w:rPr>
                <w:rFonts w:hAnsiTheme="minorEastAsia" w:eastAsiaTheme="minorEastAsia"/>
                <w:bCs/>
                <w:color w:val="auto"/>
                <w:sz w:val="24"/>
              </w:rPr>
              <w:t>项目符合当地生态保护红线要求，不降低项目周边环境质量底线，不超出当地资源利用</w:t>
            </w:r>
            <w:r>
              <w:rPr>
                <w:rFonts w:hint="eastAsia" w:hAnsiTheme="minorEastAsia" w:eastAsiaTheme="minorEastAsia"/>
                <w:bCs/>
                <w:color w:val="auto"/>
                <w:sz w:val="24"/>
                <w:lang w:eastAsia="zh-CN"/>
              </w:rPr>
              <w:t>上限</w:t>
            </w:r>
            <w:r>
              <w:rPr>
                <w:rFonts w:hAnsiTheme="minorEastAsia" w:eastAsiaTheme="minorEastAsia"/>
                <w:bCs/>
                <w:color w:val="auto"/>
                <w:sz w:val="24"/>
              </w:rPr>
              <w:t>；</w:t>
            </w:r>
            <w:r>
              <w:rPr>
                <w:rFonts w:hint="eastAsia" w:hAnsiTheme="minorEastAsia" w:eastAsiaTheme="minorEastAsia"/>
                <w:bCs/>
                <w:color w:val="auto"/>
                <w:sz w:val="24"/>
                <w:lang w:eastAsia="zh-CN"/>
              </w:rPr>
              <w:t>扩建</w:t>
            </w:r>
            <w:r>
              <w:rPr>
                <w:rFonts w:hAnsiTheme="minorEastAsia" w:eastAsiaTheme="minorEastAsia"/>
                <w:bCs/>
                <w:color w:val="auto"/>
                <w:sz w:val="24"/>
              </w:rPr>
              <w:t>项目符合</w:t>
            </w:r>
            <w:r>
              <w:rPr>
                <w:rFonts w:hint="eastAsia" w:hAnsiTheme="minorEastAsia" w:eastAsiaTheme="minorEastAsia"/>
                <w:bCs/>
                <w:color w:val="auto"/>
                <w:sz w:val="24"/>
              </w:rPr>
              <w:t>“</w:t>
            </w:r>
            <w:r>
              <w:rPr>
                <w:rFonts w:hAnsiTheme="minorEastAsia" w:eastAsiaTheme="minorEastAsia"/>
                <w:bCs/>
                <w:color w:val="auto"/>
                <w:sz w:val="24"/>
              </w:rPr>
              <w:t>三线一单</w:t>
            </w:r>
            <w:r>
              <w:rPr>
                <w:rFonts w:hint="eastAsia" w:hAnsiTheme="minorEastAsia" w:eastAsiaTheme="minorEastAsia"/>
                <w:bCs/>
                <w:color w:val="auto"/>
                <w:sz w:val="24"/>
              </w:rPr>
              <w:t>”</w:t>
            </w:r>
            <w:r>
              <w:rPr>
                <w:rFonts w:hAnsiTheme="minorEastAsia" w:eastAsiaTheme="minorEastAsia"/>
                <w:bCs/>
                <w:color w:val="auto"/>
                <w:sz w:val="24"/>
              </w:rPr>
              <w:t>的要求。</w:t>
            </w:r>
          </w:p>
          <w:p w14:paraId="086DFB89">
            <w:pPr>
              <w:widowControl/>
              <w:adjustRightInd w:val="0"/>
              <w:snapToGrid w:val="0"/>
              <w:spacing w:line="360" w:lineRule="auto"/>
              <w:ind w:firstLine="482" w:firstLineChars="200"/>
              <w:rPr>
                <w:b/>
                <w:color w:val="auto"/>
                <w:sz w:val="24"/>
              </w:rPr>
            </w:pPr>
            <w:r>
              <w:rPr>
                <w:b/>
                <w:color w:val="auto"/>
                <w:sz w:val="24"/>
              </w:rPr>
              <w:t>3.</w:t>
            </w:r>
            <w:r>
              <w:rPr>
                <w:rFonts w:hAnsi="宋体"/>
                <w:b/>
                <w:color w:val="auto"/>
                <w:sz w:val="24"/>
              </w:rPr>
              <w:t>与相关环保法规、指南等相符性分析</w:t>
            </w:r>
          </w:p>
          <w:p w14:paraId="5098D6D1">
            <w:pPr>
              <w:tabs>
                <w:tab w:val="left" w:pos="1095"/>
              </w:tabs>
              <w:adjustRightInd w:val="0"/>
              <w:snapToGrid w:val="0"/>
              <w:spacing w:line="360" w:lineRule="auto"/>
              <w:ind w:firstLine="480" w:firstLineChars="200"/>
              <w:rPr>
                <w:rFonts w:hint="default" w:hAnsi="宋体" w:eastAsia="宋体"/>
                <w:b/>
                <w:bCs/>
                <w:color w:val="auto"/>
                <w:sz w:val="24"/>
                <w:lang w:val="en-US" w:eastAsia="zh-CN"/>
              </w:rPr>
            </w:pPr>
            <w:r>
              <w:rPr>
                <w:rFonts w:hAnsi="宋体"/>
                <w:color w:val="auto"/>
                <w:sz w:val="24"/>
              </w:rPr>
              <w:t>建设项目与国家、江苏省、淮安市相关环保法规、指南相符性分析，见表</w:t>
            </w:r>
            <w:r>
              <w:rPr>
                <w:color w:val="auto"/>
                <w:sz w:val="24"/>
              </w:rPr>
              <w:t>1-</w:t>
            </w:r>
            <w:r>
              <w:rPr>
                <w:rFonts w:hint="eastAsia"/>
                <w:color w:val="auto"/>
                <w:sz w:val="24"/>
                <w:lang w:val="en-US" w:eastAsia="zh-CN"/>
              </w:rPr>
              <w:t>10</w:t>
            </w:r>
          </w:p>
          <w:p w14:paraId="61E2B182">
            <w:pPr>
              <w:adjustRightInd w:val="0"/>
              <w:snapToGrid w:val="0"/>
              <w:jc w:val="center"/>
              <w:rPr>
                <w:b/>
                <w:bCs/>
                <w:color w:val="auto"/>
                <w:sz w:val="24"/>
              </w:rPr>
            </w:pPr>
            <w:r>
              <w:rPr>
                <w:rFonts w:hAnsi="宋体"/>
                <w:b/>
                <w:bCs/>
                <w:color w:val="auto"/>
                <w:sz w:val="24"/>
              </w:rPr>
              <w:t>表</w:t>
            </w:r>
            <w:r>
              <w:rPr>
                <w:b/>
                <w:bCs/>
                <w:color w:val="auto"/>
                <w:sz w:val="24"/>
              </w:rPr>
              <w:t>1-</w:t>
            </w:r>
            <w:r>
              <w:rPr>
                <w:rFonts w:hint="eastAsia"/>
                <w:b/>
                <w:bCs/>
                <w:color w:val="auto"/>
                <w:sz w:val="24"/>
                <w:lang w:val="en-US" w:eastAsia="zh-CN"/>
              </w:rPr>
              <w:t>10</w:t>
            </w:r>
            <w:r>
              <w:rPr>
                <w:rFonts w:hAnsi="宋体"/>
                <w:b/>
                <w:bCs/>
                <w:color w:val="auto"/>
                <w:sz w:val="24"/>
              </w:rPr>
              <w:t>与相关环保法规、指南等相符性分析表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783"/>
              <w:gridCol w:w="786"/>
              <w:gridCol w:w="2320"/>
              <w:gridCol w:w="2914"/>
              <w:gridCol w:w="535"/>
            </w:tblGrid>
            <w:tr w14:paraId="157400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12" w:hRule="atLeast"/>
                <w:jc w:val="center"/>
              </w:trPr>
              <w:tc>
                <w:tcPr>
                  <w:tcW w:w="1069" w:type="pct"/>
                  <w:tcBorders>
                    <w:top w:val="single" w:color="000000" w:sz="12" w:space="0"/>
                    <w:left w:val="nil"/>
                    <w:bottom w:val="single" w:color="000000" w:sz="4" w:space="0"/>
                    <w:right w:val="single" w:color="000000" w:sz="4" w:space="0"/>
                  </w:tcBorders>
                  <w:vAlign w:val="center"/>
                </w:tcPr>
                <w:p w14:paraId="000F25B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文件名称</w:t>
                  </w:r>
                </w:p>
              </w:tc>
              <w:tc>
                <w:tcPr>
                  <w:tcW w:w="1862" w:type="pct"/>
                  <w:gridSpan w:val="2"/>
                  <w:tcBorders>
                    <w:top w:val="single" w:color="000000" w:sz="12" w:space="0"/>
                    <w:left w:val="single" w:color="000000" w:sz="4" w:space="0"/>
                    <w:bottom w:val="single" w:color="000000" w:sz="4" w:space="0"/>
                    <w:right w:val="single" w:color="000000" w:sz="4" w:space="0"/>
                  </w:tcBorders>
                  <w:vAlign w:val="center"/>
                </w:tcPr>
                <w:p w14:paraId="30BF82E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1747" w:type="pct"/>
                  <w:tcBorders>
                    <w:top w:val="single" w:color="000000" w:sz="12" w:space="0"/>
                    <w:left w:val="single" w:color="000000" w:sz="4" w:space="0"/>
                    <w:bottom w:val="single" w:color="000000" w:sz="4" w:space="0"/>
                    <w:right w:val="single" w:color="000000" w:sz="4" w:space="0"/>
                  </w:tcBorders>
                  <w:vAlign w:val="center"/>
                </w:tcPr>
                <w:p w14:paraId="3B11592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扩建</w:t>
                  </w:r>
                  <w:r>
                    <w:rPr>
                      <w:rFonts w:hint="default" w:ascii="Times New Roman" w:hAnsi="Times New Roman" w:eastAsia="宋体" w:cs="Times New Roman"/>
                      <w:b/>
                      <w:bCs/>
                      <w:color w:val="auto"/>
                      <w:sz w:val="21"/>
                      <w:szCs w:val="21"/>
                    </w:rPr>
                    <w:t>项目情况</w:t>
                  </w:r>
                </w:p>
              </w:tc>
              <w:tc>
                <w:tcPr>
                  <w:tcW w:w="320" w:type="pct"/>
                  <w:tcBorders>
                    <w:top w:val="single" w:color="000000" w:sz="12" w:space="0"/>
                    <w:left w:val="single" w:color="000000" w:sz="4" w:space="0"/>
                    <w:bottom w:val="single" w:color="000000" w:sz="4" w:space="0"/>
                    <w:right w:val="nil"/>
                  </w:tcBorders>
                  <w:vAlign w:val="center"/>
                </w:tcPr>
                <w:p w14:paraId="1FC2814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相符性判定</w:t>
                  </w:r>
                </w:p>
              </w:tc>
            </w:tr>
            <w:tr w14:paraId="627AC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left w:val="nil"/>
                    <w:right w:val="single" w:color="000000" w:sz="4" w:space="0"/>
                  </w:tcBorders>
                  <w:vAlign w:val="center"/>
                </w:tcPr>
                <w:p w14:paraId="48B1303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《江苏省生态环境保护条例》</w:t>
                  </w:r>
                  <w:r>
                    <w:rPr>
                      <w:rFonts w:hint="eastAsia"/>
                      <w:color w:val="auto"/>
                      <w:lang w:eastAsia="zh-CN"/>
                    </w:rPr>
                    <w:t>（</w:t>
                  </w:r>
                  <w:r>
                    <w:rPr>
                      <w:rFonts w:hint="eastAsia" w:eastAsia="宋体"/>
                      <w:color w:val="auto"/>
                      <w:lang w:eastAsia="zh-CN"/>
                    </w:rPr>
                    <w:t>2024年3月27日江苏省第十四届人民代表大会常务委员会第八次会议通过</w:t>
                  </w:r>
                  <w:r>
                    <w:rPr>
                      <w:rFonts w:hint="eastAsia"/>
                      <w:color w:val="auto"/>
                      <w:lang w:eastAsia="zh-CN"/>
                    </w:rPr>
                    <w:t>）</w:t>
                  </w: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59AFC37E">
                  <w:pPr>
                    <w:keepNext w:val="0"/>
                    <w:keepLines w:val="0"/>
                    <w:pageBreakBefore w:val="0"/>
                    <w:kinsoku/>
                    <w:wordWrap/>
                    <w:overflowPunct/>
                    <w:topLinePunct w:val="0"/>
                    <w:autoSpaceDE/>
                    <w:autoSpaceDN/>
                    <w:bidi w:val="0"/>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第五十条本省依法实行排污许可管理制度。纳入排污许可管理的排污单位，应当依法申领排污许可证并按照排污许可证的要求排放污染物；未取得排污许可证的，不得排放污染物</w:t>
                  </w:r>
                  <w:r>
                    <w:rPr>
                      <w:rFonts w:hint="eastAsia" w:cs="Times New Roman"/>
                      <w:color w:val="auto"/>
                      <w:sz w:val="21"/>
                      <w:szCs w:val="21"/>
                      <w:lang w:eastAsia="zh-CN"/>
                    </w:rPr>
                    <w:t>。</w:t>
                  </w:r>
                </w:p>
              </w:tc>
              <w:tc>
                <w:tcPr>
                  <w:tcW w:w="1747" w:type="pct"/>
                  <w:tcBorders>
                    <w:top w:val="single" w:color="000000" w:sz="4" w:space="0"/>
                    <w:left w:val="single" w:color="000000" w:sz="4" w:space="0"/>
                    <w:bottom w:val="single" w:color="000000" w:sz="4" w:space="0"/>
                    <w:right w:val="single" w:color="000000" w:sz="4" w:space="0"/>
                  </w:tcBorders>
                  <w:vAlign w:val="center"/>
                </w:tcPr>
                <w:p w14:paraId="49638B8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项目将依法申请排污许可证并按排污许可证的要求排放污染物，未取得排污许可证不得排放污染物。</w:t>
                  </w:r>
                </w:p>
              </w:tc>
              <w:tc>
                <w:tcPr>
                  <w:tcW w:w="320" w:type="pct"/>
                  <w:vMerge w:val="restart"/>
                  <w:tcBorders>
                    <w:left w:val="single" w:color="000000" w:sz="4" w:space="0"/>
                    <w:right w:val="nil"/>
                  </w:tcBorders>
                  <w:vAlign w:val="center"/>
                </w:tcPr>
                <w:p w14:paraId="0675F21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38B0D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3D59698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7EAF6AEC">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十一条本省实行排污权有偿使用和交易制度、排污总量指标储备管理制度，新建、改建、扩建建设项目的新增重点污染物排放总量指标的不足部分，可以按照国家和省有关规定通过排污权交易或者从排污总量指标储备库中取得。排污总量指标应当在排污许可证中载明。</w:t>
                  </w:r>
                </w:p>
              </w:tc>
              <w:tc>
                <w:tcPr>
                  <w:tcW w:w="1747" w:type="pct"/>
                  <w:tcBorders>
                    <w:top w:val="single" w:color="000000" w:sz="4" w:space="0"/>
                    <w:left w:val="single" w:color="000000" w:sz="4" w:space="0"/>
                    <w:bottom w:val="single" w:color="000000" w:sz="4" w:space="0"/>
                    <w:right w:val="single" w:color="000000" w:sz="4" w:space="0"/>
                  </w:tcBorders>
                  <w:vAlign w:val="center"/>
                </w:tcPr>
                <w:p w14:paraId="64EF9233">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项目较</w:t>
                  </w:r>
                  <w:r>
                    <w:rPr>
                      <w:rFonts w:hint="eastAsia" w:cs="Times New Roman"/>
                      <w:color w:val="auto"/>
                      <w:sz w:val="21"/>
                      <w:szCs w:val="21"/>
                      <w:lang w:eastAsia="zh-CN"/>
                    </w:rPr>
                    <w:t>现有项目</w:t>
                  </w:r>
                  <w:r>
                    <w:rPr>
                      <w:rFonts w:hint="default" w:ascii="Times New Roman" w:hAnsi="Times New Roman" w:eastAsia="宋体" w:cs="Times New Roman"/>
                      <w:color w:val="auto"/>
                      <w:sz w:val="21"/>
                      <w:szCs w:val="21"/>
                    </w:rPr>
                    <w:t>新增生产废水污染物的总量</w:t>
                  </w:r>
                  <w:r>
                    <w:rPr>
                      <w:rFonts w:hint="eastAsia"/>
                      <w:color w:val="auto"/>
                      <w:kern w:val="0"/>
                      <w:szCs w:val="21"/>
                      <w:lang w:eastAsia="zh-CN"/>
                    </w:rPr>
                    <w:t>在厂区内平衡</w:t>
                  </w:r>
                  <w:r>
                    <w:rPr>
                      <w:rFonts w:hint="default" w:ascii="Times New Roman" w:hAnsi="Times New Roman" w:eastAsia="宋体" w:cs="Times New Roman"/>
                      <w:color w:val="auto"/>
                      <w:sz w:val="21"/>
                      <w:szCs w:val="21"/>
                    </w:rPr>
                    <w:t>；固废零排放。</w:t>
                  </w:r>
                </w:p>
              </w:tc>
              <w:tc>
                <w:tcPr>
                  <w:tcW w:w="320" w:type="pct"/>
                  <w:vMerge w:val="continue"/>
                  <w:tcBorders>
                    <w:left w:val="single" w:color="000000" w:sz="4" w:space="0"/>
                    <w:right w:val="nil"/>
                  </w:tcBorders>
                  <w:vAlign w:val="center"/>
                </w:tcPr>
                <w:p w14:paraId="0520100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4CB35D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147AE50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644B1CF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第六十二条新建排放重点污染物的工业项目原则上应当进入符合规划的园区。鼓励园区外已建排放重点污染物的工业项目通过搬迁等方式进入符合规划的园区</w:t>
                  </w:r>
                </w:p>
              </w:tc>
              <w:tc>
                <w:tcPr>
                  <w:tcW w:w="1747" w:type="pct"/>
                  <w:tcBorders>
                    <w:top w:val="single" w:color="000000" w:sz="4" w:space="0"/>
                    <w:left w:val="single" w:color="000000" w:sz="4" w:space="0"/>
                    <w:bottom w:val="single" w:color="000000" w:sz="4" w:space="0"/>
                    <w:right w:val="single" w:color="000000" w:sz="4" w:space="0"/>
                  </w:tcBorders>
                  <w:vAlign w:val="center"/>
                </w:tcPr>
                <w:p w14:paraId="01D281C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，该开发区属于合规园区。</w:t>
                  </w:r>
                </w:p>
              </w:tc>
              <w:tc>
                <w:tcPr>
                  <w:tcW w:w="320" w:type="pct"/>
                  <w:vMerge w:val="continue"/>
                  <w:tcBorders>
                    <w:left w:val="single" w:color="000000" w:sz="4" w:space="0"/>
                    <w:right w:val="nil"/>
                  </w:tcBorders>
                  <w:vAlign w:val="center"/>
                </w:tcPr>
                <w:p w14:paraId="319157F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496AE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top w:val="single" w:color="000000" w:sz="4" w:space="0"/>
                    <w:left w:val="nil"/>
                    <w:right w:val="single" w:color="000000" w:sz="4" w:space="0"/>
                  </w:tcBorders>
                  <w:vAlign w:val="center"/>
                </w:tcPr>
                <w:p w14:paraId="155E62D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《长江经济带发展负面清单指南</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试行，2022年版</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》（长江办</w:t>
                  </w:r>
                  <w:r>
                    <w:rPr>
                      <w:rFonts w:hint="eastAsia" w:cs="Times New Roman"/>
                      <w:color w:val="auto"/>
                      <w:sz w:val="21"/>
                      <w:szCs w:val="21"/>
                      <w:lang w:eastAsia="zh-CN"/>
                    </w:rPr>
                    <w:t>〔2022〕7号</w:t>
                  </w:r>
                  <w:r>
                    <w:rPr>
                      <w:rFonts w:hint="default" w:ascii="Times New Roman" w:hAnsi="Times New Roman" w:eastAsia="宋体" w:cs="Times New Roman"/>
                      <w:color w:val="auto"/>
                      <w:sz w:val="21"/>
                      <w:szCs w:val="21"/>
                    </w:rPr>
                    <w:t>）、</w:t>
                  </w:r>
                </w:p>
                <w:p w14:paraId="275818A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长江经济带发展负面清单指南（试行，2022年版）</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江苏省实施细则》的通知（苏长江办发</w:t>
                  </w:r>
                  <w:r>
                    <w:rPr>
                      <w:rFonts w:hint="eastAsia" w:cs="Times New Roman"/>
                      <w:color w:val="auto"/>
                      <w:sz w:val="21"/>
                      <w:szCs w:val="21"/>
                      <w:lang w:eastAsia="zh-CN"/>
                    </w:rPr>
                    <w:t>〔2022〕55号</w:t>
                  </w:r>
                  <w:r>
                    <w:rPr>
                      <w:rFonts w:hint="default" w:ascii="Times New Roman" w:hAnsi="Times New Roman" w:eastAsia="宋体" w:cs="Times New Roman"/>
                      <w:color w:val="auto"/>
                      <w:sz w:val="21"/>
                      <w:szCs w:val="21"/>
                    </w:rPr>
                    <w:t>）</w:t>
                  </w: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405CEEF5">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禁止建设不符合全国和省级港口布局规划以及港口总体规划的码头项目，禁止建设未纳入《长江干线过江通道布局规划》的过长江通道项目。</w:t>
                  </w:r>
                </w:p>
              </w:tc>
              <w:tc>
                <w:tcPr>
                  <w:tcW w:w="1747" w:type="pct"/>
                  <w:tcBorders>
                    <w:top w:val="single" w:color="000000" w:sz="4" w:space="0"/>
                    <w:left w:val="single" w:color="000000" w:sz="4" w:space="0"/>
                    <w:bottom w:val="single" w:color="000000" w:sz="4" w:space="0"/>
                    <w:right w:val="single" w:color="000000" w:sz="4" w:space="0"/>
                  </w:tcBorders>
                  <w:vAlign w:val="center"/>
                </w:tcPr>
                <w:p w14:paraId="611461CA">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项目为调味鱼皮及预制水产品</w:t>
                  </w:r>
                  <w:r>
                    <w:rPr>
                      <w:rFonts w:hint="eastAsia" w:ascii="Times New Roman" w:hAnsi="Times New Roman" w:eastAsia="宋体" w:cs="Times New Roman"/>
                      <w:color w:val="auto"/>
                      <w:sz w:val="21"/>
                      <w:szCs w:val="21"/>
                      <w:lang w:eastAsia="zh-CN"/>
                    </w:rPr>
                    <w:t>扩建项目</w:t>
                  </w:r>
                  <w:r>
                    <w:rPr>
                      <w:rFonts w:hint="default" w:ascii="Times New Roman" w:hAnsi="Times New Roman" w:eastAsia="宋体" w:cs="Times New Roman"/>
                      <w:color w:val="auto"/>
                      <w:sz w:val="21"/>
                      <w:szCs w:val="21"/>
                    </w:rPr>
                    <w:t>，不涉及码头建设。</w:t>
                  </w:r>
                </w:p>
              </w:tc>
              <w:tc>
                <w:tcPr>
                  <w:tcW w:w="320" w:type="pct"/>
                  <w:vMerge w:val="restart"/>
                  <w:tcBorders>
                    <w:top w:val="single" w:color="000000" w:sz="4" w:space="0"/>
                    <w:left w:val="single" w:color="000000" w:sz="4" w:space="0"/>
                    <w:right w:val="nil"/>
                  </w:tcBorders>
                  <w:vAlign w:val="center"/>
                </w:tcPr>
                <w:p w14:paraId="65FA5C6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7FA0E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071234A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45C667D6">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747" w:type="pct"/>
                  <w:vMerge w:val="restart"/>
                  <w:tcBorders>
                    <w:top w:val="single" w:color="000000" w:sz="4" w:space="0"/>
                    <w:left w:val="single" w:color="000000" w:sz="4" w:space="0"/>
                    <w:right w:val="single" w:color="000000" w:sz="4" w:space="0"/>
                  </w:tcBorders>
                  <w:vAlign w:val="center"/>
                </w:tcPr>
                <w:p w14:paraId="6CA9FA34">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，用地性质为工业工地，不在自然保护区核心区、缓冲区、风景名胜区、饮用水源保护区、水产种质资源保护区、国家湿地公园、水产种质资源保护区内。</w:t>
                  </w:r>
                </w:p>
              </w:tc>
              <w:tc>
                <w:tcPr>
                  <w:tcW w:w="320" w:type="pct"/>
                  <w:vMerge w:val="continue"/>
                  <w:tcBorders>
                    <w:left w:val="single" w:color="000000" w:sz="4" w:space="0"/>
                    <w:right w:val="nil"/>
                  </w:tcBorders>
                  <w:vAlign w:val="center"/>
                </w:tcPr>
                <w:p w14:paraId="1EB28B4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2B2501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0A838A9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5B709455">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禁止新建、改建法律法规和相关政策明令禁止的落后产能项目。禁止新建、改建不符合国家产能置换要求的严重过剩产能行业的项目。禁止新建、改建不</w:t>
                  </w:r>
                  <w:r>
                    <w:rPr>
                      <w:rFonts w:hint="eastAsia" w:cs="Times New Roman"/>
                      <w:color w:val="auto"/>
                      <w:sz w:val="21"/>
                      <w:szCs w:val="21"/>
                      <w:lang w:eastAsia="zh-CN"/>
                    </w:rPr>
                    <w:t>符合要求</w:t>
                  </w:r>
                  <w:r>
                    <w:rPr>
                      <w:rFonts w:hint="default" w:ascii="Times New Roman" w:hAnsi="Times New Roman" w:eastAsia="宋体" w:cs="Times New Roman"/>
                      <w:color w:val="auto"/>
                      <w:sz w:val="21"/>
                      <w:szCs w:val="21"/>
                    </w:rPr>
                    <w:t>高耗能高排放项目。</w:t>
                  </w:r>
                </w:p>
              </w:tc>
              <w:tc>
                <w:tcPr>
                  <w:tcW w:w="1747" w:type="pct"/>
                  <w:vMerge w:val="continue"/>
                  <w:tcBorders>
                    <w:left w:val="single" w:color="000000" w:sz="4" w:space="0"/>
                    <w:right w:val="single" w:color="000000" w:sz="4" w:space="0"/>
                  </w:tcBorders>
                  <w:vAlign w:val="center"/>
                </w:tcPr>
                <w:p w14:paraId="46467756">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5CD788C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B021D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E5A354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0785738D">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47" w:type="pct"/>
                  <w:vMerge w:val="continue"/>
                  <w:tcBorders>
                    <w:left w:val="single" w:color="000000" w:sz="4" w:space="0"/>
                    <w:bottom w:val="single" w:color="000000" w:sz="4" w:space="0"/>
                    <w:right w:val="single" w:color="000000" w:sz="4" w:space="0"/>
                  </w:tcBorders>
                  <w:vAlign w:val="center"/>
                </w:tcPr>
                <w:p w14:paraId="04152737">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77933C9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0F49C2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70CE19D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486C9BA7">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47" w:type="pct"/>
                  <w:tcBorders>
                    <w:top w:val="single" w:color="000000" w:sz="4" w:space="0"/>
                    <w:left w:val="single" w:color="000000" w:sz="4" w:space="0"/>
                    <w:bottom w:val="single" w:color="000000" w:sz="4" w:space="0"/>
                    <w:right w:val="single" w:color="000000" w:sz="4" w:space="0"/>
                  </w:tcBorders>
                  <w:vAlign w:val="center"/>
                </w:tcPr>
                <w:p w14:paraId="76428202">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，未利用、占用长江流域河湖岸线。</w:t>
                  </w:r>
                </w:p>
              </w:tc>
              <w:tc>
                <w:tcPr>
                  <w:tcW w:w="320" w:type="pct"/>
                  <w:vMerge w:val="continue"/>
                  <w:tcBorders>
                    <w:left w:val="single" w:color="000000" w:sz="4" w:space="0"/>
                    <w:right w:val="nil"/>
                  </w:tcBorders>
                  <w:vAlign w:val="center"/>
                </w:tcPr>
                <w:p w14:paraId="5663D53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1AD49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5AD944A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3613AFB2">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禁止未经许可在长江干支流及湖泊新设、改设或扩大排污口。</w:t>
                  </w:r>
                </w:p>
              </w:tc>
              <w:tc>
                <w:tcPr>
                  <w:tcW w:w="1747" w:type="pct"/>
                  <w:vMerge w:val="restart"/>
                  <w:tcBorders>
                    <w:top w:val="single" w:color="000000" w:sz="4" w:space="0"/>
                    <w:left w:val="single" w:color="000000" w:sz="4" w:space="0"/>
                    <w:right w:val="single" w:color="000000" w:sz="4" w:space="0"/>
                  </w:tcBorders>
                  <w:vAlign w:val="center"/>
                </w:tcPr>
                <w:p w14:paraId="587E77A9">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项目不在长江干支流、重要湖泊岸线一公里范围内，且不涉及化工园区和化工项目，不涉及尾矿库、冶炼渣库和磷石膏库。</w:t>
                  </w:r>
                </w:p>
              </w:tc>
              <w:tc>
                <w:tcPr>
                  <w:tcW w:w="320" w:type="pct"/>
                  <w:vMerge w:val="continue"/>
                  <w:tcBorders>
                    <w:left w:val="single" w:color="000000" w:sz="4" w:space="0"/>
                    <w:right w:val="nil"/>
                  </w:tcBorders>
                  <w:vAlign w:val="center"/>
                </w:tcPr>
                <w:p w14:paraId="130CCC4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4C1953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D29A85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1E713D27">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禁止在“一江一口两湖七河”和332个水生生物保护区开展生产性捕捞。</w:t>
                  </w:r>
                </w:p>
              </w:tc>
              <w:tc>
                <w:tcPr>
                  <w:tcW w:w="1747" w:type="pct"/>
                  <w:vMerge w:val="continue"/>
                  <w:tcBorders>
                    <w:left w:val="single" w:color="000000" w:sz="4" w:space="0"/>
                    <w:right w:val="single" w:color="000000" w:sz="4" w:space="0"/>
                  </w:tcBorders>
                  <w:vAlign w:val="center"/>
                </w:tcPr>
                <w:p w14:paraId="05F7D0B1">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6495221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DAECF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08D6385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4F9F7B43">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支流、重要湖泊岸线一公里范围内新建、改建化工园区和化工项目。禁止在长江干流岸线三公里范围内和重要支流岸线一公里范围内新建、改建、改建尾矿库、冶炼渣库和磷石膏库，以提升安全、生态环境保护水平为目的的改建除外。</w:t>
                  </w:r>
                </w:p>
              </w:tc>
              <w:tc>
                <w:tcPr>
                  <w:tcW w:w="1747" w:type="pct"/>
                  <w:vMerge w:val="continue"/>
                  <w:tcBorders>
                    <w:left w:val="single" w:color="000000" w:sz="4" w:space="0"/>
                    <w:bottom w:val="single" w:color="000000" w:sz="4" w:space="0"/>
                    <w:right w:val="single" w:color="000000" w:sz="4" w:space="0"/>
                  </w:tcBorders>
                  <w:vAlign w:val="center"/>
                </w:tcPr>
                <w:p w14:paraId="594D2C85">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4AB3998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53D66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98EE97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038298B3">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禁止在合规园区外新建、扩建钢铁、石化、化工、焦化、建材、有色、制浆造纸等高污染项目。</w:t>
                  </w:r>
                </w:p>
              </w:tc>
              <w:tc>
                <w:tcPr>
                  <w:tcW w:w="1747" w:type="pct"/>
                  <w:vMerge w:val="restart"/>
                  <w:tcBorders>
                    <w:left w:val="single" w:color="000000" w:sz="4" w:space="0"/>
                    <w:right w:val="single" w:color="000000" w:sz="4" w:space="0"/>
                  </w:tcBorders>
                  <w:vAlign w:val="center"/>
                </w:tcPr>
                <w:p w14:paraId="4785926D">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，属于合规园区，且不属于所列高污染项目。</w:t>
                  </w:r>
                </w:p>
              </w:tc>
              <w:tc>
                <w:tcPr>
                  <w:tcW w:w="320" w:type="pct"/>
                  <w:vMerge w:val="continue"/>
                  <w:tcBorders>
                    <w:left w:val="single" w:color="000000" w:sz="4" w:space="0"/>
                    <w:right w:val="nil"/>
                  </w:tcBorders>
                  <w:vAlign w:val="center"/>
                </w:tcPr>
                <w:p w14:paraId="5ACB75E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5DB0EA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58" w:hRule="atLeast"/>
                <w:jc w:val="center"/>
              </w:trPr>
              <w:tc>
                <w:tcPr>
                  <w:tcW w:w="1069" w:type="pct"/>
                  <w:vMerge w:val="continue"/>
                  <w:tcBorders>
                    <w:left w:val="nil"/>
                    <w:right w:val="single" w:color="000000" w:sz="4" w:space="0"/>
                  </w:tcBorders>
                  <w:vAlign w:val="center"/>
                </w:tcPr>
                <w:p w14:paraId="43EEFD8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right w:val="single" w:color="000000" w:sz="4" w:space="0"/>
                  </w:tcBorders>
                  <w:vAlign w:val="center"/>
                </w:tcPr>
                <w:p w14:paraId="637EB222">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禁止在合规园区外新建、改建钢铁、石化、化工、焦化、建材、有色等高污染项目。名录按照《江苏省长江经济带发展负面清单实施细则</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试行</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合规园区名录》执行。高污染项目应严格按照《环境保护综合名录》等有关要求执行。</w:t>
                  </w:r>
                </w:p>
              </w:tc>
              <w:tc>
                <w:tcPr>
                  <w:tcW w:w="1747" w:type="pct"/>
                  <w:vMerge w:val="continue"/>
                  <w:tcBorders>
                    <w:left w:val="single" w:color="000000" w:sz="4" w:space="0"/>
                    <w:right w:val="single" w:color="000000" w:sz="4" w:space="0"/>
                  </w:tcBorders>
                  <w:vAlign w:val="center"/>
                </w:tcPr>
                <w:p w14:paraId="34EA6A8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7A672DD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8E359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5EAFA7F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18B0B65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禁止新建、扩建不符合国家石化、现代煤化工等产业布局规划的项目，禁止新建独立焦化项目。</w:t>
                  </w:r>
                </w:p>
              </w:tc>
              <w:tc>
                <w:tcPr>
                  <w:tcW w:w="1747" w:type="pct"/>
                  <w:tcBorders>
                    <w:left w:val="single" w:color="000000" w:sz="4" w:space="0"/>
                    <w:bottom w:val="single" w:color="000000" w:sz="4" w:space="0"/>
                    <w:right w:val="single" w:color="000000" w:sz="4" w:space="0"/>
                  </w:tcBorders>
                  <w:vAlign w:val="center"/>
                </w:tcPr>
                <w:p w14:paraId="4021378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项目为调味鱼皮及预制水产品</w:t>
                  </w:r>
                  <w:r>
                    <w:rPr>
                      <w:rFonts w:hint="eastAsia" w:cs="Times New Roman"/>
                      <w:color w:val="auto"/>
                      <w:sz w:val="21"/>
                      <w:szCs w:val="21"/>
                      <w:lang w:eastAsia="zh-CN"/>
                    </w:rPr>
                    <w:t>项目</w:t>
                  </w:r>
                  <w:r>
                    <w:rPr>
                      <w:rFonts w:hint="default" w:ascii="Times New Roman" w:hAnsi="Times New Roman" w:eastAsia="宋体" w:cs="Times New Roman"/>
                      <w:color w:val="auto"/>
                      <w:sz w:val="21"/>
                      <w:szCs w:val="21"/>
                    </w:rPr>
                    <w:t>，不属于国家石化、现代煤化工等产业。</w:t>
                  </w:r>
                </w:p>
              </w:tc>
              <w:tc>
                <w:tcPr>
                  <w:tcW w:w="320" w:type="pct"/>
                  <w:vMerge w:val="continue"/>
                  <w:tcBorders>
                    <w:left w:val="single" w:color="000000" w:sz="4" w:space="0"/>
                    <w:right w:val="nil"/>
                  </w:tcBorders>
                  <w:vAlign w:val="center"/>
                </w:tcPr>
                <w:p w14:paraId="439FD84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5B893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6AF750E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6708F59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747" w:type="pct"/>
                  <w:tcBorders>
                    <w:left w:val="single" w:color="000000" w:sz="4" w:space="0"/>
                    <w:bottom w:val="single" w:color="000000" w:sz="4" w:space="0"/>
                    <w:right w:val="single" w:color="000000" w:sz="4" w:space="0"/>
                  </w:tcBorders>
                  <w:vAlign w:val="center"/>
                </w:tcPr>
                <w:p w14:paraId="718F63C0">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项目不属于落后产能项目，不涉及产能置换行业，不属于高耗能高排放项目。</w:t>
                  </w:r>
                </w:p>
              </w:tc>
              <w:tc>
                <w:tcPr>
                  <w:tcW w:w="320" w:type="pct"/>
                  <w:vMerge w:val="continue"/>
                  <w:tcBorders>
                    <w:left w:val="single" w:color="000000" w:sz="4" w:space="0"/>
                    <w:right w:val="nil"/>
                  </w:tcBorders>
                  <w:vAlign w:val="center"/>
                </w:tcPr>
                <w:p w14:paraId="3B57BC8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10769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bottom w:val="single" w:color="000000" w:sz="4" w:space="0"/>
                    <w:right w:val="single" w:color="000000" w:sz="4" w:space="0"/>
                  </w:tcBorders>
                  <w:vAlign w:val="center"/>
                </w:tcPr>
                <w:p w14:paraId="4DEEABE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687104CD">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改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747" w:type="pct"/>
                  <w:tcBorders>
                    <w:left w:val="single" w:color="000000" w:sz="4" w:space="0"/>
                    <w:bottom w:val="single" w:color="000000" w:sz="4" w:space="0"/>
                    <w:right w:val="single" w:color="000000" w:sz="4" w:space="0"/>
                  </w:tcBorders>
                  <w:vAlign w:val="center"/>
                </w:tcPr>
                <w:p w14:paraId="62E071E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项目不属于国家《产业结构调整指导目录》（2024年本）明确的限制类、淘汰类项目，不属于法律法规和相关政策明令禁止的落后产能以及明令淘汰的安全生产落后工艺及装备项目。</w:t>
                  </w:r>
                </w:p>
              </w:tc>
              <w:tc>
                <w:tcPr>
                  <w:tcW w:w="320" w:type="pct"/>
                  <w:vMerge w:val="continue"/>
                  <w:tcBorders>
                    <w:left w:val="single" w:color="000000" w:sz="4" w:space="0"/>
                    <w:bottom w:val="single" w:color="000000" w:sz="4" w:space="0"/>
                    <w:right w:val="nil"/>
                  </w:tcBorders>
                  <w:vAlign w:val="center"/>
                </w:tcPr>
                <w:p w14:paraId="2476B6C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C5B6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top w:val="single" w:color="auto" w:sz="4" w:space="0"/>
                    <w:left w:val="nil"/>
                    <w:bottom w:val="single" w:color="auto" w:sz="4" w:space="0"/>
                    <w:right w:val="single" w:color="auto" w:sz="4" w:space="0"/>
                  </w:tcBorders>
                  <w:vAlign w:val="center"/>
                </w:tcPr>
                <w:p w14:paraId="0CA90C7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《江苏省生态环境厅关于进一步做好建设项目环评审批工作的通知》</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苏环办〔2019〕36号</w:t>
                  </w:r>
                  <w:r>
                    <w:rPr>
                      <w:rFonts w:hint="eastAsia" w:cs="Times New Roman"/>
                      <w:color w:val="auto"/>
                      <w:sz w:val="21"/>
                      <w:szCs w:val="21"/>
                      <w:lang w:eastAsia="zh-CN"/>
                    </w:rPr>
                    <w:t>）</w:t>
                  </w:r>
                </w:p>
              </w:tc>
              <w:tc>
                <w:tcPr>
                  <w:tcW w:w="471" w:type="pct"/>
                  <w:vMerge w:val="restart"/>
                  <w:tcBorders>
                    <w:top w:val="single" w:color="000000" w:sz="4" w:space="0"/>
                    <w:left w:val="single" w:color="auto" w:sz="4" w:space="0"/>
                    <w:bottom w:val="single" w:color="000000" w:sz="4" w:space="0"/>
                    <w:right w:val="single" w:color="auto" w:sz="4" w:space="0"/>
                  </w:tcBorders>
                  <w:vAlign w:val="center"/>
                </w:tcPr>
                <w:p w14:paraId="718474DE">
                  <w:pPr>
                    <w:keepNext w:val="0"/>
                    <w:keepLines w:val="0"/>
                    <w:pageBreakBefore w:val="0"/>
                    <w:tabs>
                      <w:tab w:val="left" w:pos="1418"/>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以下情形不予审批</w:t>
                  </w:r>
                </w:p>
              </w:tc>
              <w:tc>
                <w:tcPr>
                  <w:tcW w:w="1391" w:type="pct"/>
                  <w:tcBorders>
                    <w:top w:val="single" w:color="000000" w:sz="4" w:space="0"/>
                    <w:left w:val="single" w:color="auto" w:sz="4" w:space="0"/>
                    <w:bottom w:val="single" w:color="000000" w:sz="4" w:space="0"/>
                    <w:right w:val="single" w:color="000000" w:sz="4" w:space="0"/>
                  </w:tcBorders>
                  <w:vAlign w:val="center"/>
                </w:tcPr>
                <w:p w14:paraId="32099612">
                  <w:pPr>
                    <w:keepNext w:val="0"/>
                    <w:keepLines w:val="0"/>
                    <w:pageBreakBefore w:val="0"/>
                    <w:tabs>
                      <w:tab w:val="left" w:pos="1418"/>
                    </w:tabs>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建设项目类型及其选址、布局、规模等不符合环境保护法律法规和相关法定规划</w:t>
                  </w:r>
                </w:p>
              </w:tc>
              <w:tc>
                <w:tcPr>
                  <w:tcW w:w="1747" w:type="pct"/>
                  <w:tcBorders>
                    <w:top w:val="single" w:color="000000" w:sz="4" w:space="0"/>
                    <w:left w:val="single" w:color="000000" w:sz="4" w:space="0"/>
                    <w:bottom w:val="single" w:color="000000" w:sz="4" w:space="0"/>
                    <w:right w:val="single" w:color="auto" w:sz="4" w:space="0"/>
                  </w:tcBorders>
                  <w:vAlign w:val="center"/>
                </w:tcPr>
                <w:p w14:paraId="6DD84AD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经过与“三线一单”及规划相符性分析可知，建设项目类型及其选址、布局、规模等均符合环境保护法律法规和相关法定规划。</w:t>
                  </w:r>
                </w:p>
              </w:tc>
              <w:tc>
                <w:tcPr>
                  <w:tcW w:w="320" w:type="pct"/>
                  <w:vMerge w:val="restart"/>
                  <w:tcBorders>
                    <w:top w:val="single" w:color="auto" w:sz="4" w:space="0"/>
                    <w:left w:val="single" w:color="auto" w:sz="4" w:space="0"/>
                    <w:bottom w:val="single" w:color="auto" w:sz="4" w:space="0"/>
                    <w:right w:val="nil"/>
                  </w:tcBorders>
                  <w:vAlign w:val="center"/>
                </w:tcPr>
                <w:p w14:paraId="04B1FB2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F4453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63D3B4C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auto" w:sz="4" w:space="0"/>
                  </w:tcBorders>
                  <w:vAlign w:val="center"/>
                </w:tcPr>
                <w:p w14:paraId="7EEAB76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auto" w:sz="4" w:space="0"/>
                    <w:bottom w:val="single" w:color="000000" w:sz="4" w:space="0"/>
                    <w:right w:val="single" w:color="000000" w:sz="4" w:space="0"/>
                  </w:tcBorders>
                  <w:vAlign w:val="center"/>
                </w:tcPr>
                <w:p w14:paraId="58E04C6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所在区域环境质量未达到国家或者地方环境质量标准，且建设项目拟采取的措施不能满足区域环境质量改善目标管理要求</w:t>
                  </w:r>
                </w:p>
              </w:tc>
              <w:tc>
                <w:tcPr>
                  <w:tcW w:w="1747" w:type="pct"/>
                  <w:tcBorders>
                    <w:top w:val="single" w:color="000000" w:sz="4" w:space="0"/>
                    <w:left w:val="single" w:color="000000" w:sz="4" w:space="0"/>
                    <w:bottom w:val="single" w:color="000000" w:sz="4" w:space="0"/>
                    <w:right w:val="single" w:color="auto" w:sz="4" w:space="0"/>
                  </w:tcBorders>
                  <w:vAlign w:val="center"/>
                </w:tcPr>
                <w:p w14:paraId="4132746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所在区域</w:t>
                  </w:r>
                  <w:r>
                    <w:rPr>
                      <w:rFonts w:hint="eastAsia"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环境空气</w:t>
                  </w:r>
                  <w:r>
                    <w:rPr>
                      <w:rFonts w:hint="eastAsia" w:eastAsia="宋体" w:cs="Times New Roman"/>
                      <w:color w:val="auto"/>
                      <w:sz w:val="21"/>
                      <w:szCs w:val="21"/>
                      <w:lang w:val="en-US" w:eastAsia="zh-CN"/>
                    </w:rPr>
                    <w:t>达标区</w:t>
                  </w:r>
                </w:p>
              </w:tc>
              <w:tc>
                <w:tcPr>
                  <w:tcW w:w="320" w:type="pct"/>
                  <w:vMerge w:val="continue"/>
                  <w:tcBorders>
                    <w:top w:val="single" w:color="auto" w:sz="4" w:space="0"/>
                    <w:left w:val="single" w:color="auto" w:sz="4" w:space="0"/>
                    <w:bottom w:val="single" w:color="auto" w:sz="4" w:space="0"/>
                    <w:right w:val="nil"/>
                  </w:tcBorders>
                  <w:vAlign w:val="center"/>
                </w:tcPr>
                <w:p w14:paraId="330A41C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29BF74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6CCB68C3">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auto" w:sz="4" w:space="0"/>
                  </w:tcBorders>
                  <w:vAlign w:val="center"/>
                </w:tcPr>
                <w:p w14:paraId="63E0A42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auto" w:sz="4" w:space="0"/>
                    <w:bottom w:val="single" w:color="000000" w:sz="4" w:space="0"/>
                    <w:right w:val="single" w:color="000000" w:sz="4" w:space="0"/>
                  </w:tcBorders>
                  <w:vAlign w:val="center"/>
                </w:tcPr>
                <w:p w14:paraId="3CEDDC9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建设项目采取的污染防治措施无法确保污染物排放达到国家和地方排放标准，或者未采取必要措施预防和控制生态破坏</w:t>
                  </w:r>
                </w:p>
              </w:tc>
              <w:tc>
                <w:tcPr>
                  <w:tcW w:w="1747" w:type="pct"/>
                  <w:tcBorders>
                    <w:top w:val="single" w:color="000000" w:sz="4" w:space="0"/>
                    <w:left w:val="single" w:color="000000" w:sz="4" w:space="0"/>
                    <w:bottom w:val="single" w:color="000000" w:sz="4" w:space="0"/>
                    <w:right w:val="single" w:color="auto" w:sz="4" w:space="0"/>
                  </w:tcBorders>
                  <w:vAlign w:val="center"/>
                </w:tcPr>
                <w:p w14:paraId="666EA96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项目废气、废水和噪声采取污染防治措施，确保排放达标，固废零排放，生态影响较小。</w:t>
                  </w:r>
                </w:p>
              </w:tc>
              <w:tc>
                <w:tcPr>
                  <w:tcW w:w="320" w:type="pct"/>
                  <w:vMerge w:val="continue"/>
                  <w:tcBorders>
                    <w:top w:val="single" w:color="auto" w:sz="4" w:space="0"/>
                    <w:left w:val="single" w:color="auto" w:sz="4" w:space="0"/>
                    <w:bottom w:val="single" w:color="auto" w:sz="4" w:space="0"/>
                    <w:right w:val="nil"/>
                  </w:tcBorders>
                  <w:vAlign w:val="center"/>
                </w:tcPr>
                <w:p w14:paraId="628A5EA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05C08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01691C8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auto" w:sz="4" w:space="0"/>
                  </w:tcBorders>
                  <w:vAlign w:val="center"/>
                </w:tcPr>
                <w:p w14:paraId="4EFE444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auto" w:sz="4" w:space="0"/>
                    <w:bottom w:val="single" w:color="000000" w:sz="4" w:space="0"/>
                    <w:right w:val="single" w:color="000000" w:sz="4" w:space="0"/>
                  </w:tcBorders>
                  <w:vAlign w:val="center"/>
                </w:tcPr>
                <w:p w14:paraId="2A6F4D7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改建、扩建和技术改造项目，未针对项目原有环境污染和生态破坏提出有效</w:t>
                  </w:r>
                  <w:r>
                    <w:rPr>
                      <w:rFonts w:hint="eastAsia" w:cs="Times New Roman"/>
                      <w:color w:val="auto"/>
                      <w:sz w:val="21"/>
                      <w:szCs w:val="21"/>
                      <w:lang w:eastAsia="zh-CN"/>
                    </w:rPr>
                    <w:t>防治</w:t>
                  </w:r>
                  <w:r>
                    <w:rPr>
                      <w:rFonts w:hint="default" w:ascii="Times New Roman" w:hAnsi="Times New Roman" w:eastAsia="宋体" w:cs="Times New Roman"/>
                      <w:color w:val="auto"/>
                      <w:sz w:val="21"/>
                      <w:szCs w:val="21"/>
                    </w:rPr>
                    <w:t>措施</w:t>
                  </w:r>
                </w:p>
              </w:tc>
              <w:tc>
                <w:tcPr>
                  <w:tcW w:w="1747" w:type="pct"/>
                  <w:tcBorders>
                    <w:top w:val="single" w:color="000000" w:sz="4" w:space="0"/>
                    <w:left w:val="single" w:color="000000" w:sz="4" w:space="0"/>
                    <w:bottom w:val="single" w:color="000000" w:sz="4" w:space="0"/>
                    <w:right w:val="single" w:color="auto" w:sz="4" w:space="0"/>
                  </w:tcBorders>
                  <w:vAlign w:val="center"/>
                </w:tcPr>
                <w:p w14:paraId="3C665CD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本项目为扩建</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于2025年8月设备已进</w:t>
                  </w:r>
                  <w:r>
                    <w:rPr>
                      <w:rFonts w:hint="eastAsia" w:cs="Times New Roman"/>
                      <w:color w:val="auto"/>
                      <w:sz w:val="21"/>
                      <w:szCs w:val="21"/>
                      <w:lang w:val="en-US" w:eastAsia="zh-CN"/>
                    </w:rPr>
                    <w:t>厂安装</w:t>
                  </w:r>
                  <w:r>
                    <w:rPr>
                      <w:rFonts w:hint="eastAsia" w:ascii="Times New Roman" w:hAnsi="Times New Roman" w:eastAsia="宋体" w:cs="Times New Roman"/>
                      <w:color w:val="auto"/>
                      <w:sz w:val="21"/>
                      <w:szCs w:val="21"/>
                      <w:lang w:val="en-US" w:eastAsia="zh-CN"/>
                    </w:rPr>
                    <w:t>，属于未批先建</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目前</w:t>
                  </w:r>
                  <w:r>
                    <w:rPr>
                      <w:rFonts w:hint="eastAsia" w:cs="Times New Roman"/>
                      <w:color w:val="auto"/>
                      <w:sz w:val="21"/>
                      <w:szCs w:val="21"/>
                      <w:lang w:val="en-US" w:eastAsia="zh-CN"/>
                    </w:rPr>
                    <w:t>企业已主动将</w:t>
                  </w:r>
                  <w:r>
                    <w:rPr>
                      <w:rFonts w:hint="eastAsia" w:ascii="Times New Roman" w:hAnsi="Times New Roman" w:eastAsia="宋体" w:cs="Times New Roman"/>
                      <w:color w:val="auto"/>
                      <w:sz w:val="21"/>
                      <w:szCs w:val="21"/>
                      <w:lang w:val="en-US" w:eastAsia="zh-CN"/>
                    </w:rPr>
                    <w:t>设备</w:t>
                  </w:r>
                  <w:r>
                    <w:rPr>
                      <w:rFonts w:hint="eastAsia" w:cs="Times New Roman"/>
                      <w:color w:val="auto"/>
                      <w:sz w:val="21"/>
                      <w:szCs w:val="21"/>
                      <w:lang w:val="en-US" w:eastAsia="zh-CN"/>
                    </w:rPr>
                    <w:t>拆除</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目前为</w:t>
                  </w:r>
                  <w:r>
                    <w:rPr>
                      <w:rFonts w:hint="eastAsia" w:ascii="Times New Roman" w:hAnsi="Times New Roman" w:eastAsia="宋体" w:cs="Times New Roman"/>
                      <w:color w:val="auto"/>
                      <w:sz w:val="21"/>
                      <w:szCs w:val="21"/>
                      <w:lang w:val="en-US" w:eastAsia="zh-CN"/>
                    </w:rPr>
                    <w:t>空厂房</w:t>
                  </w:r>
                  <w:r>
                    <w:rPr>
                      <w:rFonts w:hint="default" w:ascii="Times New Roman" w:hAnsi="Times New Roman" w:eastAsia="宋体" w:cs="Times New Roman"/>
                      <w:color w:val="auto"/>
                      <w:sz w:val="21"/>
                      <w:szCs w:val="21"/>
                    </w:rPr>
                    <w:t>。</w:t>
                  </w:r>
                </w:p>
              </w:tc>
              <w:tc>
                <w:tcPr>
                  <w:tcW w:w="320" w:type="pct"/>
                  <w:vMerge w:val="continue"/>
                  <w:tcBorders>
                    <w:top w:val="single" w:color="auto" w:sz="4" w:space="0"/>
                    <w:left w:val="single" w:color="auto" w:sz="4" w:space="0"/>
                    <w:bottom w:val="single" w:color="auto" w:sz="4" w:space="0"/>
                    <w:right w:val="nil"/>
                  </w:tcBorders>
                  <w:vAlign w:val="center"/>
                </w:tcPr>
                <w:p w14:paraId="27493BC3">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D513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582FD41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000000" w:sz="4" w:space="0"/>
                  </w:tcBorders>
                  <w:vAlign w:val="center"/>
                </w:tcPr>
                <w:p w14:paraId="4D44F305">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000000" w:sz="4" w:space="0"/>
                    <w:bottom w:val="single" w:color="000000" w:sz="4" w:space="0"/>
                    <w:right w:val="single" w:color="auto" w:sz="4" w:space="0"/>
                  </w:tcBorders>
                  <w:vAlign w:val="center"/>
                </w:tcPr>
                <w:p w14:paraId="79C9DF5B">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建设项目的环境影响报告书、环境影响报告表的基础资料数据明显不实，内容存在重大缺陷、遗漏，或者环境影响评价结论不明确、不合理</w:t>
                  </w:r>
                </w:p>
              </w:tc>
              <w:tc>
                <w:tcPr>
                  <w:tcW w:w="1747" w:type="pct"/>
                  <w:tcBorders>
                    <w:top w:val="single" w:color="000000" w:sz="4" w:space="0"/>
                    <w:left w:val="single" w:color="000000" w:sz="4" w:space="0"/>
                    <w:bottom w:val="single" w:color="000000" w:sz="4" w:space="0"/>
                    <w:right w:val="single" w:color="auto" w:sz="4" w:space="0"/>
                  </w:tcBorders>
                  <w:vAlign w:val="center"/>
                </w:tcPr>
                <w:p w14:paraId="152D8C1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本次评价以企业实际提供资料为前提，核实后进行报告编制，环境影响评价结论明确，经初步审查不存在重大缺陷、遗漏。</w:t>
                  </w:r>
                </w:p>
              </w:tc>
              <w:tc>
                <w:tcPr>
                  <w:tcW w:w="320" w:type="pct"/>
                  <w:vMerge w:val="continue"/>
                  <w:tcBorders>
                    <w:top w:val="single" w:color="auto" w:sz="4" w:space="0"/>
                    <w:left w:val="single" w:color="auto" w:sz="4" w:space="0"/>
                    <w:bottom w:val="single" w:color="auto" w:sz="4" w:space="0"/>
                    <w:right w:val="nil"/>
                  </w:tcBorders>
                  <w:vAlign w:val="center"/>
                </w:tcPr>
                <w:p w14:paraId="58C2742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0F540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1C4D980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1EA18750">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747" w:type="pct"/>
                  <w:tcBorders>
                    <w:top w:val="single" w:color="000000" w:sz="4" w:space="0"/>
                    <w:left w:val="single" w:color="000000" w:sz="4" w:space="0"/>
                    <w:bottom w:val="single" w:color="000000" w:sz="4" w:space="0"/>
                    <w:right w:val="single" w:color="auto" w:sz="4" w:space="0"/>
                  </w:tcBorders>
                  <w:vAlign w:val="center"/>
                </w:tcPr>
                <w:p w14:paraId="04184520">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，属于工业用地。</w:t>
                  </w:r>
                </w:p>
              </w:tc>
              <w:tc>
                <w:tcPr>
                  <w:tcW w:w="320" w:type="pct"/>
                  <w:vMerge w:val="continue"/>
                  <w:tcBorders>
                    <w:top w:val="single" w:color="auto" w:sz="4" w:space="0"/>
                    <w:left w:val="single" w:color="auto" w:sz="4" w:space="0"/>
                    <w:bottom w:val="single" w:color="auto" w:sz="4" w:space="0"/>
                    <w:right w:val="nil"/>
                  </w:tcBorders>
                  <w:vAlign w:val="center"/>
                </w:tcPr>
                <w:p w14:paraId="1766C0EF">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65073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105D451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597B2F1D">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747" w:type="pct"/>
                  <w:tcBorders>
                    <w:top w:val="single" w:color="000000" w:sz="4" w:space="0"/>
                    <w:left w:val="single" w:color="000000" w:sz="4" w:space="0"/>
                    <w:bottom w:val="single" w:color="000000" w:sz="4" w:space="0"/>
                    <w:right w:val="single" w:color="auto" w:sz="4" w:space="0"/>
                  </w:tcBorders>
                  <w:vAlign w:val="center"/>
                </w:tcPr>
                <w:p w14:paraId="0AD6426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项目将按要求严格落实污染物排放总量控制制度，把主要污染物排放总量指标作为建设项目环境影响评价审批的前置条件。在环境影响评价文件审批前，须取得主要污染物排放总量指标。</w:t>
                  </w:r>
                </w:p>
              </w:tc>
              <w:tc>
                <w:tcPr>
                  <w:tcW w:w="320" w:type="pct"/>
                  <w:vMerge w:val="continue"/>
                  <w:tcBorders>
                    <w:top w:val="single" w:color="auto" w:sz="4" w:space="0"/>
                    <w:left w:val="single" w:color="auto" w:sz="4" w:space="0"/>
                    <w:bottom w:val="single" w:color="auto" w:sz="4" w:space="0"/>
                    <w:right w:val="nil"/>
                  </w:tcBorders>
                  <w:vAlign w:val="center"/>
                </w:tcPr>
                <w:p w14:paraId="03779F6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0A50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114D5F4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432C3EFB">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对环境质量现状超标的地区，项目拟采取的措施不能满足区域环境质量改善目标管理要求的，依法不予审批其环评文件。</w:t>
                  </w:r>
                </w:p>
              </w:tc>
              <w:tc>
                <w:tcPr>
                  <w:tcW w:w="1747" w:type="pct"/>
                  <w:tcBorders>
                    <w:top w:val="single" w:color="000000" w:sz="4" w:space="0"/>
                    <w:left w:val="single" w:color="000000" w:sz="4" w:space="0"/>
                    <w:bottom w:val="single" w:color="000000" w:sz="4" w:space="0"/>
                    <w:right w:val="single" w:color="auto" w:sz="4" w:space="0"/>
                  </w:tcBorders>
                  <w:vAlign w:val="center"/>
                </w:tcPr>
                <w:p w14:paraId="32E7DA96">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项目所在区域</w:t>
                  </w:r>
                  <w:r>
                    <w:rPr>
                      <w:rFonts w:hint="eastAsia"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环境空气</w:t>
                  </w:r>
                  <w:r>
                    <w:rPr>
                      <w:rFonts w:hint="eastAsia" w:eastAsia="宋体" w:cs="Times New Roman"/>
                      <w:color w:val="auto"/>
                      <w:sz w:val="21"/>
                      <w:szCs w:val="21"/>
                      <w:lang w:val="en-US" w:eastAsia="zh-CN"/>
                    </w:rPr>
                    <w:t>达标区</w:t>
                  </w:r>
                  <w:r>
                    <w:rPr>
                      <w:rFonts w:hint="eastAsia" w:cs="Times New Roman"/>
                      <w:color w:val="auto"/>
                      <w:sz w:val="21"/>
                      <w:szCs w:val="21"/>
                      <w:lang w:val="en-US" w:eastAsia="zh-CN"/>
                    </w:rPr>
                    <w:t>。</w:t>
                  </w:r>
                </w:p>
              </w:tc>
              <w:tc>
                <w:tcPr>
                  <w:tcW w:w="320" w:type="pct"/>
                  <w:vMerge w:val="continue"/>
                  <w:tcBorders>
                    <w:top w:val="single" w:color="auto" w:sz="4" w:space="0"/>
                    <w:left w:val="single" w:color="auto" w:sz="4" w:space="0"/>
                    <w:bottom w:val="single" w:color="auto" w:sz="4" w:space="0"/>
                    <w:right w:val="nil"/>
                  </w:tcBorders>
                  <w:vAlign w:val="center"/>
                </w:tcPr>
                <w:p w14:paraId="0D803C6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7D080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43A392B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2E0D505E">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生态保护红线原则上按禁止开发区域的要求进行管理，严禁不符合主体功能定位的各类开发活动，严禁任意改变用途。</w:t>
                  </w:r>
                </w:p>
              </w:tc>
              <w:tc>
                <w:tcPr>
                  <w:tcW w:w="1747" w:type="pct"/>
                  <w:tcBorders>
                    <w:top w:val="single" w:color="000000" w:sz="4" w:space="0"/>
                    <w:left w:val="single" w:color="000000" w:sz="4" w:space="0"/>
                    <w:bottom w:val="single" w:color="000000" w:sz="4" w:space="0"/>
                    <w:right w:val="single" w:color="auto" w:sz="4" w:space="0"/>
                  </w:tcBorders>
                  <w:vAlign w:val="center"/>
                </w:tcPr>
                <w:p w14:paraId="63E6043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s="Times New Roman"/>
                      <w:color w:val="auto"/>
                      <w:sz w:val="21"/>
                      <w:szCs w:val="21"/>
                      <w:lang w:eastAsia="zh-CN"/>
                    </w:rPr>
                    <w:t>江苏淮安涟水古淮河省级湿地公园北</w:t>
                  </w:r>
                  <w:r>
                    <w:rPr>
                      <w:rFonts w:hint="default" w:ascii="Times New Roman" w:hAnsi="Times New Roman" w:eastAsia="宋体" w:cs="Times New Roman"/>
                      <w:color w:val="auto"/>
                      <w:sz w:val="21"/>
                      <w:szCs w:val="21"/>
                    </w:rPr>
                    <w:t>侧</w:t>
                  </w:r>
                  <w:r>
                    <w:rPr>
                      <w:rFonts w:hint="eastAsia" w:cs="Times New Roman"/>
                      <w:color w:val="auto"/>
                      <w:sz w:val="21"/>
                      <w:szCs w:val="21"/>
                      <w:lang w:val="en-US" w:eastAsia="zh-CN"/>
                    </w:rPr>
                    <w:t>4.26</w:t>
                  </w:r>
                  <w:r>
                    <w:rPr>
                      <w:rFonts w:hint="default" w:ascii="Times New Roman" w:hAnsi="Times New Roman" w:eastAsia="宋体" w:cs="Times New Roman"/>
                      <w:color w:val="auto"/>
                      <w:sz w:val="21"/>
                      <w:szCs w:val="21"/>
                    </w:rPr>
                    <w:t>km左右，不在管控范围之内</w:t>
                  </w:r>
                </w:p>
              </w:tc>
              <w:tc>
                <w:tcPr>
                  <w:tcW w:w="320" w:type="pct"/>
                  <w:vMerge w:val="continue"/>
                  <w:tcBorders>
                    <w:top w:val="single" w:color="auto" w:sz="4" w:space="0"/>
                    <w:left w:val="single" w:color="auto" w:sz="4" w:space="0"/>
                    <w:bottom w:val="single" w:color="auto" w:sz="4" w:space="0"/>
                    <w:right w:val="nil"/>
                  </w:tcBorders>
                  <w:vAlign w:val="center"/>
                </w:tcPr>
                <w:p w14:paraId="4913EA6F">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5424E0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795C595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428B60E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禁止审批无法落实危险废物利用、处置途径的项目，从严审批危险废物产生量大、本地无配套利用处置能力</w:t>
                  </w:r>
                  <w:r>
                    <w:rPr>
                      <w:rFonts w:hint="eastAsia" w:cs="Times New Roman"/>
                      <w:color w:val="auto"/>
                      <w:sz w:val="21"/>
                      <w:szCs w:val="21"/>
                      <w:lang w:eastAsia="zh-CN"/>
                    </w:rPr>
                    <w:t>且</w:t>
                  </w:r>
                  <w:r>
                    <w:rPr>
                      <w:rFonts w:hint="default" w:ascii="Times New Roman" w:hAnsi="Times New Roman" w:eastAsia="宋体" w:cs="Times New Roman"/>
                      <w:color w:val="auto"/>
                      <w:sz w:val="21"/>
                      <w:szCs w:val="21"/>
                    </w:rPr>
                    <w:t>需设区市统筹解决的项目</w:t>
                  </w:r>
                </w:p>
              </w:tc>
              <w:tc>
                <w:tcPr>
                  <w:tcW w:w="1747" w:type="pct"/>
                  <w:tcBorders>
                    <w:top w:val="single" w:color="000000" w:sz="4" w:space="0"/>
                    <w:left w:val="single" w:color="000000" w:sz="4" w:space="0"/>
                    <w:bottom w:val="single" w:color="000000" w:sz="4" w:space="0"/>
                    <w:right w:val="single" w:color="auto" w:sz="4" w:space="0"/>
                  </w:tcBorders>
                  <w:vAlign w:val="center"/>
                </w:tcPr>
                <w:p w14:paraId="53B71FC3">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项目危险废物委托有资质单位安全处置，危险废物处置可行性论证详见相关章节。</w:t>
                  </w:r>
                </w:p>
              </w:tc>
              <w:tc>
                <w:tcPr>
                  <w:tcW w:w="320" w:type="pct"/>
                  <w:vMerge w:val="continue"/>
                  <w:tcBorders>
                    <w:top w:val="single" w:color="auto" w:sz="4" w:space="0"/>
                    <w:left w:val="single" w:color="auto" w:sz="4" w:space="0"/>
                    <w:bottom w:val="single" w:color="auto" w:sz="4" w:space="0"/>
                    <w:right w:val="nil"/>
                  </w:tcBorders>
                  <w:vAlign w:val="center"/>
                </w:tcPr>
                <w:p w14:paraId="183FEC4E">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38482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08D16DB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31117E35">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禁止新建、扩建不符合国家产能置换要求的严重过剩产能行业的项目</w:t>
                  </w:r>
                </w:p>
              </w:tc>
              <w:tc>
                <w:tcPr>
                  <w:tcW w:w="1747" w:type="pct"/>
                  <w:vMerge w:val="restart"/>
                  <w:tcBorders>
                    <w:top w:val="single" w:color="000000" w:sz="4" w:space="0"/>
                    <w:left w:val="single" w:color="000000" w:sz="4" w:space="0"/>
                    <w:bottom w:val="single" w:color="000000" w:sz="4" w:space="0"/>
                    <w:right w:val="single" w:color="auto" w:sz="4" w:space="0"/>
                  </w:tcBorders>
                  <w:vAlign w:val="center"/>
                </w:tcPr>
                <w:p w14:paraId="66F24E43">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项目为调味鱼皮及预制水产品</w:t>
                  </w:r>
                  <w:r>
                    <w:rPr>
                      <w:rFonts w:hint="eastAsia" w:cs="Times New Roman"/>
                      <w:color w:val="auto"/>
                      <w:sz w:val="21"/>
                      <w:szCs w:val="21"/>
                      <w:lang w:eastAsia="zh-CN"/>
                    </w:rPr>
                    <w:t>项目</w:t>
                  </w:r>
                  <w:r>
                    <w:rPr>
                      <w:rFonts w:hint="default" w:ascii="Times New Roman" w:hAnsi="Times New Roman" w:eastAsia="宋体" w:cs="Times New Roman"/>
                      <w:color w:val="auto"/>
                      <w:sz w:val="21"/>
                      <w:szCs w:val="21"/>
                    </w:rPr>
                    <w:t>，不属于法律法规和相关政策明令禁止的落后产能项目，不属于国家产能置换要求的过剩产能行业的项目。</w:t>
                  </w:r>
                </w:p>
              </w:tc>
              <w:tc>
                <w:tcPr>
                  <w:tcW w:w="320" w:type="pct"/>
                  <w:vMerge w:val="continue"/>
                  <w:tcBorders>
                    <w:top w:val="single" w:color="auto" w:sz="4" w:space="0"/>
                    <w:left w:val="single" w:color="auto" w:sz="4" w:space="0"/>
                    <w:bottom w:val="single" w:color="auto" w:sz="4" w:space="0"/>
                    <w:right w:val="nil"/>
                  </w:tcBorders>
                  <w:vAlign w:val="center"/>
                </w:tcPr>
                <w:p w14:paraId="44197A0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C0CA9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44"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62EE07FF">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1707A5F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禁止新建、扩建法律法规和相关政策明令禁止的落后产能项目</w:t>
                  </w:r>
                </w:p>
              </w:tc>
              <w:tc>
                <w:tcPr>
                  <w:tcW w:w="1747" w:type="pct"/>
                  <w:vMerge w:val="continue"/>
                  <w:tcBorders>
                    <w:top w:val="single" w:color="000000" w:sz="4" w:space="0"/>
                    <w:left w:val="single" w:color="000000" w:sz="4" w:space="0"/>
                    <w:bottom w:val="single" w:color="000000" w:sz="4" w:space="0"/>
                    <w:right w:val="single" w:color="auto" w:sz="4" w:space="0"/>
                  </w:tcBorders>
                  <w:vAlign w:val="center"/>
                </w:tcPr>
                <w:p w14:paraId="31F1C75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320" w:type="pct"/>
                  <w:vMerge w:val="continue"/>
                  <w:tcBorders>
                    <w:top w:val="single" w:color="auto" w:sz="4" w:space="0"/>
                    <w:left w:val="single" w:color="auto" w:sz="4" w:space="0"/>
                    <w:bottom w:val="single" w:color="auto" w:sz="4" w:space="0"/>
                    <w:right w:val="nil"/>
                  </w:tcBorders>
                  <w:vAlign w:val="center"/>
                </w:tcPr>
                <w:p w14:paraId="47C9FB1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29AFC0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tcBorders>
                    <w:top w:val="single" w:color="auto" w:sz="4" w:space="0"/>
                    <w:left w:val="nil"/>
                    <w:bottom w:val="single" w:color="auto" w:sz="4" w:space="0"/>
                    <w:right w:val="single" w:color="auto" w:sz="4" w:space="0"/>
                  </w:tcBorders>
                  <w:vAlign w:val="center"/>
                </w:tcPr>
                <w:p w14:paraId="148FAD79">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《省政府关于印发大运河江苏段核心监控区国土空间管控暂行办法的通知》（苏政发</w:t>
                  </w:r>
                  <w:r>
                    <w:rPr>
                      <w:rFonts w:hint="eastAsia" w:cs="Times New Roman"/>
                      <w:color w:val="auto"/>
                      <w:sz w:val="21"/>
                      <w:szCs w:val="21"/>
                      <w:lang w:eastAsia="zh-CN"/>
                    </w:rPr>
                    <w:t>〔2021〕20号</w:t>
                  </w:r>
                  <w:r>
                    <w:rPr>
                      <w:rFonts w:hint="default" w:ascii="Times New Roman" w:hAnsi="Times New Roman" w:eastAsia="宋体" w:cs="Times New Roman"/>
                      <w:color w:val="auto"/>
                      <w:sz w:val="21"/>
                      <w:szCs w:val="21"/>
                    </w:rPr>
                    <w:t>）</w:t>
                  </w: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79B077F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第二条</w:t>
                  </w:r>
                  <w:r>
                    <w:rPr>
                      <w:rFonts w:hint="default" w:ascii="Times New Roman" w:hAnsi="Times New Roman" w:eastAsia="宋体" w:cs="Times New Roman"/>
                      <w:color w:val="auto"/>
                      <w:sz w:val="21"/>
                      <w:szCs w:val="21"/>
                    </w:rPr>
                    <w:t>在大运河江苏段核心监控区内从事各类国土空间保护与开发利用活动，应遵守本办法。</w:t>
                  </w:r>
                </w:p>
                <w:p w14:paraId="57BC461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第三条</w:t>
                  </w:r>
                  <w:r>
                    <w:rPr>
                      <w:rFonts w:hint="default" w:ascii="Times New Roman" w:hAnsi="Times New Roman" w:eastAsia="宋体" w:cs="Times New Roman"/>
                      <w:color w:val="auto"/>
                      <w:sz w:val="21"/>
                      <w:szCs w:val="21"/>
                    </w:rPr>
                    <w:t>本办法所称核心监控区，是指大运河江苏段主河道两岸各2千米的范围。滨河生态空间，是指核心监控区内，原则上除建成区（城市、建制镇）外，大运河江苏段主河道两岸各1千米的范围。</w:t>
                  </w:r>
                </w:p>
              </w:tc>
              <w:tc>
                <w:tcPr>
                  <w:tcW w:w="1747" w:type="pct"/>
                  <w:tcBorders>
                    <w:top w:val="single" w:color="000000" w:sz="4" w:space="0"/>
                    <w:left w:val="single" w:color="000000" w:sz="4" w:space="0"/>
                    <w:bottom w:val="single" w:color="000000" w:sz="4" w:space="0"/>
                    <w:right w:val="single" w:color="auto" w:sz="4" w:space="0"/>
                  </w:tcBorders>
                  <w:vAlign w:val="center"/>
                </w:tcPr>
                <w:p w14:paraId="6318F03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项目位于大运河东北侧</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km左右，不在核心监控区、滨河生态空间范围内。</w:t>
                  </w:r>
                </w:p>
              </w:tc>
              <w:tc>
                <w:tcPr>
                  <w:tcW w:w="320" w:type="pct"/>
                  <w:tcBorders>
                    <w:top w:val="single" w:color="auto" w:sz="4" w:space="0"/>
                    <w:left w:val="single" w:color="auto" w:sz="4" w:space="0"/>
                    <w:bottom w:val="single" w:color="auto" w:sz="4" w:space="0"/>
                    <w:right w:val="nil"/>
                  </w:tcBorders>
                  <w:vAlign w:val="center"/>
                </w:tcPr>
                <w:p w14:paraId="56AFB86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3E42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tcBorders>
                    <w:top w:val="single" w:color="auto" w:sz="4" w:space="0"/>
                    <w:left w:val="nil"/>
                    <w:bottom w:val="single" w:color="auto" w:sz="4" w:space="0"/>
                    <w:right w:val="single" w:color="auto" w:sz="4" w:space="0"/>
                  </w:tcBorders>
                  <w:vAlign w:val="center"/>
                </w:tcPr>
                <w:p w14:paraId="7DF30333">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《市政府关于印发大运河淮安段核心监控区国土空间管控细则的通知》（淮政规</w:t>
                  </w:r>
                  <w:r>
                    <w:rPr>
                      <w:rFonts w:hint="eastAsia" w:cs="Times New Roman"/>
                      <w:color w:val="auto"/>
                      <w:sz w:val="21"/>
                      <w:szCs w:val="21"/>
                      <w:lang w:eastAsia="zh-CN"/>
                    </w:rPr>
                    <w:t>〔2022〕8号</w:t>
                  </w:r>
                  <w:r>
                    <w:rPr>
                      <w:rFonts w:hint="default" w:ascii="Times New Roman" w:hAnsi="Times New Roman" w:eastAsia="宋体" w:cs="Times New Roman"/>
                      <w:color w:val="auto"/>
                      <w:sz w:val="21"/>
                      <w:szCs w:val="21"/>
                    </w:rPr>
                    <w:t>）</w:t>
                  </w: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7B35018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第二条</w:t>
                  </w:r>
                  <w:r>
                    <w:rPr>
                      <w:rFonts w:hint="default" w:ascii="Times New Roman" w:hAnsi="Times New Roman" w:eastAsia="宋体" w:cs="Times New Roman"/>
                      <w:color w:val="auto"/>
                      <w:sz w:val="21"/>
                      <w:szCs w:val="21"/>
                    </w:rPr>
                    <w:t>在大运河淮安段核心监控区内从事各类国土空间保护与开发利用活动，应当遵守本细则。本细则所称大运河淮安段核心监控区，是指大运河淮安段、张福河两侧河道岸线临水边界线外各2千米的范围。</w:t>
                  </w:r>
                </w:p>
                <w:p w14:paraId="6729B8E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第四条</w:t>
                  </w:r>
                  <w:r>
                    <w:rPr>
                      <w:rFonts w:hint="default" w:ascii="Times New Roman" w:hAnsi="Times New Roman" w:eastAsia="宋体" w:cs="Times New Roman"/>
                      <w:color w:val="auto"/>
                      <w:sz w:val="21"/>
                      <w:szCs w:val="21"/>
                    </w:rPr>
                    <w:t>本细则所称滨河生态空间，是指核心监控区内，原则上除建成区（城市、建制镇）外，大运河淮安段、张福河两侧河道岸线临水边界线外各1千米的范围。</w:t>
                  </w:r>
                </w:p>
              </w:tc>
              <w:tc>
                <w:tcPr>
                  <w:tcW w:w="1747" w:type="pct"/>
                  <w:tcBorders>
                    <w:top w:val="single" w:color="000000" w:sz="4" w:space="0"/>
                    <w:left w:val="single" w:color="000000" w:sz="4" w:space="0"/>
                    <w:bottom w:val="single" w:color="000000" w:sz="4" w:space="0"/>
                    <w:right w:val="single" w:color="auto" w:sz="4" w:space="0"/>
                  </w:tcBorders>
                  <w:vAlign w:val="center"/>
                </w:tcPr>
                <w:p w14:paraId="3E702AA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项目位于大运河东北侧</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km左右，不在核心监控区、滨河生态空间范围内。</w:t>
                  </w:r>
                </w:p>
              </w:tc>
              <w:tc>
                <w:tcPr>
                  <w:tcW w:w="320" w:type="pct"/>
                  <w:tcBorders>
                    <w:top w:val="single" w:color="auto" w:sz="4" w:space="0"/>
                    <w:left w:val="single" w:color="auto" w:sz="4" w:space="0"/>
                    <w:bottom w:val="single" w:color="auto" w:sz="4" w:space="0"/>
                    <w:right w:val="nil"/>
                  </w:tcBorders>
                  <w:vAlign w:val="center"/>
                </w:tcPr>
                <w:p w14:paraId="51B362A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21F8B6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cs="Times New Roman" w:hAnsiTheme="minorEastAsia" w:eastAsiaTheme="minorEastAsia"/>
                <w:b/>
                <w:bCs/>
                <w:color w:val="auto"/>
                <w:sz w:val="24"/>
              </w:rPr>
            </w:pPr>
            <w:r>
              <w:rPr>
                <w:rFonts w:hAnsi="宋体"/>
                <w:color w:val="auto"/>
                <w:sz w:val="24"/>
              </w:rPr>
              <w:t>对照</w:t>
            </w:r>
            <w:r>
              <w:rPr>
                <w:rFonts w:hint="default" w:hAnsi="宋体"/>
                <w:color w:val="auto"/>
                <w:sz w:val="24"/>
              </w:rPr>
              <w:t>苏环办</w:t>
            </w:r>
            <w:r>
              <w:rPr>
                <w:rFonts w:hint="eastAsia" w:hAnsi="宋体"/>
                <w:color w:val="auto"/>
                <w:sz w:val="24"/>
                <w:lang w:eastAsia="zh-CN"/>
              </w:rPr>
              <w:t>〔2023〕154号</w:t>
            </w:r>
            <w:r>
              <w:rPr>
                <w:rFonts w:hint="default" w:hAnsi="宋体"/>
                <w:color w:val="auto"/>
                <w:sz w:val="24"/>
              </w:rPr>
              <w:t>省生态环境厅关于做好《危险废物贮存污染控制标准》等标准规范实施后危险废物环境管理衔接工作的通知</w:t>
            </w:r>
            <w:r>
              <w:rPr>
                <w:rFonts w:hint="eastAsia" w:hAnsi="宋体"/>
                <w:color w:val="auto"/>
                <w:sz w:val="24"/>
                <w:lang w:eastAsia="zh-CN"/>
              </w:rPr>
              <w:t>，</w:t>
            </w:r>
            <w:r>
              <w:rPr>
                <w:rFonts w:hint="default" w:hAnsi="宋体"/>
                <w:color w:val="auto"/>
                <w:sz w:val="24"/>
              </w:rPr>
              <w:t>省生态环境厅关于印发《江苏省固体废物全过程环境监管工作意见》的通知苏环办</w:t>
            </w:r>
            <w:r>
              <w:rPr>
                <w:rFonts w:hint="eastAsia" w:hAnsi="宋体"/>
                <w:color w:val="auto"/>
                <w:sz w:val="24"/>
                <w:lang w:eastAsia="zh-CN"/>
              </w:rPr>
              <w:t>〔2024〕16号</w:t>
            </w:r>
            <w:r>
              <w:rPr>
                <w:rFonts w:hint="default" w:hAnsi="宋体"/>
                <w:color w:val="auto"/>
                <w:sz w:val="24"/>
                <w:lang w:eastAsia="zh-CN"/>
              </w:rPr>
              <w:t>文</w:t>
            </w:r>
            <w:r>
              <w:rPr>
                <w:rFonts w:hint="eastAsia" w:hAnsi="宋体"/>
                <w:color w:val="auto"/>
                <w:sz w:val="24"/>
                <w:lang w:eastAsia="zh-CN"/>
              </w:rPr>
              <w:t>，</w:t>
            </w:r>
            <w:r>
              <w:rPr>
                <w:rFonts w:hint="default" w:hAnsi="宋体"/>
                <w:color w:val="auto"/>
                <w:sz w:val="24"/>
                <w:lang w:eastAsia="zh-CN"/>
              </w:rPr>
              <w:t>《江苏省固体废物全过程环境监管工作意见》的通知</w:t>
            </w:r>
            <w:r>
              <w:rPr>
                <w:rFonts w:hint="eastAsia" w:hAnsi="宋体"/>
                <w:color w:val="auto"/>
                <w:sz w:val="24"/>
                <w:lang w:eastAsia="zh-CN"/>
              </w:rPr>
              <w:t>（</w:t>
            </w:r>
            <w:r>
              <w:rPr>
                <w:rFonts w:hint="default" w:hAnsi="宋体"/>
                <w:color w:val="auto"/>
                <w:sz w:val="24"/>
                <w:lang w:eastAsia="zh-CN"/>
              </w:rPr>
              <w:t>苏环办</w:t>
            </w:r>
            <w:r>
              <w:rPr>
                <w:rFonts w:hint="eastAsia" w:hAnsi="宋体"/>
                <w:color w:val="auto"/>
                <w:sz w:val="24"/>
                <w:lang w:eastAsia="zh-CN"/>
              </w:rPr>
              <w:t>〔2024〕16号）文件的相符性分析见下表。</w:t>
            </w:r>
          </w:p>
          <w:p w14:paraId="7FA34F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hAnsiTheme="minorEastAsia" w:eastAsiaTheme="minorEastAsia"/>
                <w:color w:val="auto"/>
                <w:sz w:val="24"/>
                <w:lang w:val="en-US" w:eastAsia="zh-CN"/>
              </w:rPr>
            </w:pPr>
            <w:r>
              <w:rPr>
                <w:rFonts w:ascii="Times New Roman" w:cs="Times New Roman" w:hAnsiTheme="minorEastAsia" w:eastAsiaTheme="minorEastAsia"/>
                <w:b/>
                <w:bCs/>
                <w:color w:val="auto"/>
                <w:sz w:val="24"/>
              </w:rPr>
              <w:t>表1-1</w:t>
            </w:r>
            <w:r>
              <w:rPr>
                <w:rFonts w:hint="eastAsia" w:cs="Times New Roman" w:hAnsiTheme="minorEastAsia" w:eastAsiaTheme="minorEastAsia"/>
                <w:b/>
                <w:bCs/>
                <w:color w:val="auto"/>
                <w:sz w:val="24"/>
                <w:lang w:val="en-US" w:eastAsia="zh-CN"/>
              </w:rPr>
              <w:t>1</w:t>
            </w:r>
            <w:r>
              <w:rPr>
                <w:rFonts w:hint="eastAsia" w:ascii="Times New Roman" w:cs="Times New Roman" w:hAnsiTheme="minorEastAsia" w:eastAsiaTheme="minorEastAsia"/>
                <w:b/>
                <w:bCs/>
                <w:color w:val="auto"/>
                <w:sz w:val="24"/>
                <w:lang w:val="en-US" w:eastAsia="zh-CN"/>
              </w:rPr>
              <w:t>与固体危废相关文件</w:t>
            </w:r>
            <w:r>
              <w:rPr>
                <w:rFonts w:hint="eastAsia" w:cs="Times New Roman" w:hAnsiTheme="minorEastAsia" w:eastAsiaTheme="minorEastAsia"/>
                <w:b/>
                <w:bCs/>
                <w:color w:val="auto"/>
                <w:sz w:val="24"/>
                <w:lang w:val="en-US" w:eastAsia="zh-CN"/>
              </w:rPr>
              <w:t>的</w:t>
            </w:r>
            <w:r>
              <w:rPr>
                <w:rFonts w:hint="eastAsia" w:ascii="Times New Roman" w:cs="Times New Roman" w:hAnsiTheme="minorEastAsia" w:eastAsiaTheme="minorEastAsia"/>
                <w:b/>
                <w:bCs/>
                <w:color w:val="auto"/>
                <w:sz w:val="24"/>
                <w:lang w:val="en-US" w:eastAsia="zh-CN"/>
              </w:rPr>
              <w:t>相符性</w:t>
            </w:r>
          </w:p>
          <w:tbl>
            <w:tblPr>
              <w:tblStyle w:val="13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87"/>
              <w:gridCol w:w="4400"/>
              <w:gridCol w:w="2304"/>
              <w:gridCol w:w="247"/>
            </w:tblGrid>
            <w:tr w14:paraId="5875C9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5788" w:type="dxa"/>
                  <w:gridSpan w:val="2"/>
                  <w:tcBorders>
                    <w:tl2br w:val="nil"/>
                    <w:tr2bl w:val="nil"/>
                  </w:tcBorders>
                  <w:vAlign w:val="center"/>
                </w:tcPr>
                <w:p w14:paraId="79281454">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要求</w:t>
                  </w:r>
                </w:p>
              </w:tc>
              <w:tc>
                <w:tcPr>
                  <w:tcW w:w="2304" w:type="dxa"/>
                  <w:tcBorders>
                    <w:tl2br w:val="nil"/>
                    <w:tr2bl w:val="nil"/>
                  </w:tcBorders>
                  <w:vAlign w:val="center"/>
                </w:tcPr>
                <w:p w14:paraId="3F1B4755">
                  <w:pPr>
                    <w:pStyle w:val="133"/>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本项目情况</w:t>
                  </w:r>
                </w:p>
              </w:tc>
              <w:tc>
                <w:tcPr>
                  <w:tcW w:w="0" w:type="auto"/>
                  <w:tcBorders>
                    <w:tl2br w:val="nil"/>
                    <w:tr2bl w:val="nil"/>
                  </w:tcBorders>
                  <w:vAlign w:val="center"/>
                </w:tcPr>
                <w:p w14:paraId="4D98BA58">
                  <w:pPr>
                    <w:pStyle w:val="133"/>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是否符合</w:t>
                  </w:r>
                </w:p>
              </w:tc>
            </w:tr>
            <w:tr w14:paraId="7215D1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restart"/>
                  <w:tcBorders>
                    <w:tl2br w:val="nil"/>
                    <w:tr2bl w:val="nil"/>
                  </w:tcBorders>
                  <w:vAlign w:val="center"/>
                </w:tcPr>
                <w:p w14:paraId="34900C3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苏环办</w:t>
                  </w:r>
                  <w:r>
                    <w:rPr>
                      <w:rFonts w:hint="eastAsia" w:cs="Times New Roman"/>
                      <w:color w:val="auto"/>
                      <w:spacing w:val="0"/>
                      <w:position w:val="0"/>
                      <w:sz w:val="21"/>
                      <w:szCs w:val="21"/>
                      <w:lang w:eastAsia="zh-CN"/>
                    </w:rPr>
                    <w:t>〔2023〕154号</w:t>
                  </w:r>
                  <w:r>
                    <w:rPr>
                      <w:rFonts w:hint="default" w:ascii="Times New Roman" w:hAnsi="Times New Roman" w:eastAsia="宋体" w:cs="Times New Roman"/>
                      <w:color w:val="auto"/>
                      <w:spacing w:val="0"/>
                      <w:position w:val="0"/>
                      <w:sz w:val="21"/>
                      <w:szCs w:val="21"/>
                    </w:rPr>
                    <w:t>省生态环境厅关于做好《危险废物贮存污染控制标准》等标准规范实施后危险废物环境管理衔接工作的通知</w:t>
                  </w:r>
                </w:p>
                <w:p w14:paraId="374F56C0">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1717A817">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危险废物贮存设施</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含贮存点</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应按照《省生态环境厅关于进一步加强危险废物污染防治工作的实施意见》</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苏环办</w:t>
                  </w:r>
                  <w:r>
                    <w:rPr>
                      <w:rFonts w:hint="eastAsia" w:ascii="Times New Roman" w:hAnsi="Times New Roman" w:cs="Times New Roman"/>
                      <w:color w:val="auto"/>
                      <w:spacing w:val="0"/>
                      <w:position w:val="0"/>
                      <w:sz w:val="21"/>
                      <w:szCs w:val="21"/>
                      <w:lang w:eastAsia="zh-CN"/>
                    </w:rPr>
                    <w:t>〔2023〕327号）</w:t>
                  </w:r>
                  <w:r>
                    <w:rPr>
                      <w:rFonts w:hint="default" w:ascii="Times New Roman" w:hAnsi="Times New Roman" w:eastAsia="宋体" w:cs="Times New Roman"/>
                      <w:color w:val="auto"/>
                      <w:spacing w:val="0"/>
                      <w:position w:val="0"/>
                      <w:sz w:val="21"/>
                      <w:szCs w:val="21"/>
                    </w:rPr>
                    <w:t>、《省生态环境厅关于做好江苏省危险废物全生命周期监控系统上线运行工作的通知》</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苏环办</w:t>
                  </w:r>
                  <w:r>
                    <w:rPr>
                      <w:rFonts w:hint="eastAsia" w:ascii="Times New Roman" w:hAnsi="Times New Roman" w:cs="Times New Roman"/>
                      <w:color w:val="auto"/>
                      <w:spacing w:val="0"/>
                      <w:position w:val="0"/>
                      <w:sz w:val="21"/>
                      <w:szCs w:val="21"/>
                      <w:lang w:eastAsia="zh-CN"/>
                    </w:rPr>
                    <w:t>〔2020〕401号）</w:t>
                  </w:r>
                  <w:r>
                    <w:rPr>
                      <w:rFonts w:hint="default" w:ascii="Times New Roman" w:hAnsi="Times New Roman" w:eastAsia="宋体" w:cs="Times New Roman"/>
                      <w:color w:val="auto"/>
                      <w:spacing w:val="0"/>
                      <w:position w:val="0"/>
                      <w:sz w:val="21"/>
                      <w:szCs w:val="21"/>
                    </w:rPr>
                    <w:t>等文件要求设置视频监控，并与中控室联网，视频监控应确保监控画面清晰，视频记录保存时间至少为3个月。</w:t>
                  </w:r>
                </w:p>
              </w:tc>
              <w:tc>
                <w:tcPr>
                  <w:tcW w:w="2304" w:type="dxa"/>
                  <w:tcBorders>
                    <w:tl2br w:val="nil"/>
                    <w:tr2bl w:val="nil"/>
                  </w:tcBorders>
                  <w:vAlign w:val="center"/>
                </w:tcPr>
                <w:p w14:paraId="306FF27E">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pacing w:val="0"/>
                      <w:position w:val="0"/>
                      <w:sz w:val="21"/>
                      <w:szCs w:val="21"/>
                    </w:rPr>
                    <w:t>项目</w:t>
                  </w:r>
                  <w:r>
                    <w:rPr>
                      <w:rFonts w:hint="eastAsia" w:ascii="Times New Roman" w:hAnsi="Times New Roman" w:cs="Times New Roman"/>
                      <w:color w:val="auto"/>
                      <w:spacing w:val="0"/>
                      <w:position w:val="0"/>
                      <w:sz w:val="21"/>
                      <w:szCs w:val="21"/>
                      <w:lang w:eastAsia="zh-CN"/>
                    </w:rPr>
                    <w:t>不涉及新建危废仓库，依托现有项目危废仓库，</w:t>
                  </w:r>
                  <w:r>
                    <w:rPr>
                      <w:rFonts w:hint="eastAsia" w:ascii="Times New Roman" w:hAnsi="Times New Roman" w:cs="Times New Roman"/>
                      <w:color w:val="auto"/>
                      <w:spacing w:val="0"/>
                      <w:position w:val="0"/>
                      <w:sz w:val="21"/>
                      <w:szCs w:val="21"/>
                      <w:lang w:val="en-US" w:eastAsia="zh-CN"/>
                    </w:rPr>
                    <w:t>已</w:t>
                  </w:r>
                  <w:r>
                    <w:rPr>
                      <w:rFonts w:hint="default" w:ascii="Times New Roman" w:hAnsi="Times New Roman" w:eastAsia="宋体" w:cs="Times New Roman"/>
                      <w:color w:val="auto"/>
                      <w:spacing w:val="0"/>
                      <w:position w:val="0"/>
                      <w:sz w:val="21"/>
                      <w:szCs w:val="21"/>
                      <w:lang w:val="en-US" w:eastAsia="zh-CN"/>
                    </w:rPr>
                    <w:t>按照</w:t>
                  </w:r>
                  <w:r>
                    <w:rPr>
                      <w:rFonts w:hint="default" w:ascii="Times New Roman" w:hAnsi="Times New Roman" w:eastAsia="宋体" w:cs="Times New Roman"/>
                      <w:color w:val="auto"/>
                      <w:spacing w:val="0"/>
                      <w:position w:val="0"/>
                      <w:sz w:val="21"/>
                      <w:szCs w:val="21"/>
                    </w:rPr>
                    <w:t>《省生态环境厅关于做好江苏省危险废物全生命周期监控系统上线运行工作的通知》</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苏环办</w:t>
                  </w:r>
                  <w:r>
                    <w:rPr>
                      <w:rFonts w:hint="eastAsia" w:ascii="Times New Roman" w:hAnsi="Times New Roman" w:cs="Times New Roman"/>
                      <w:color w:val="auto"/>
                      <w:spacing w:val="0"/>
                      <w:position w:val="0"/>
                      <w:sz w:val="21"/>
                      <w:szCs w:val="21"/>
                      <w:lang w:eastAsia="zh-CN"/>
                    </w:rPr>
                    <w:t>〔2020〕401号）</w:t>
                  </w:r>
                  <w:r>
                    <w:rPr>
                      <w:rFonts w:hint="default" w:ascii="Times New Roman" w:hAnsi="Times New Roman" w:eastAsia="宋体" w:cs="Times New Roman"/>
                      <w:color w:val="auto"/>
                      <w:spacing w:val="0"/>
                      <w:position w:val="0"/>
                      <w:sz w:val="21"/>
                      <w:szCs w:val="21"/>
                    </w:rPr>
                    <w:t>等文件要求设置视频监控，并与中控室联网，监控画面清晰，视频记录保存时间至少为3个月。</w:t>
                  </w:r>
                </w:p>
              </w:tc>
              <w:tc>
                <w:tcPr>
                  <w:tcW w:w="0" w:type="auto"/>
                  <w:tcBorders>
                    <w:tl2br w:val="nil"/>
                    <w:tr2bl w:val="nil"/>
                  </w:tcBorders>
                  <w:vAlign w:val="center"/>
                </w:tcPr>
                <w:p w14:paraId="25CE37D9">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p w14:paraId="79F1E16B">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p w14:paraId="7B7EAEEA">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p w14:paraId="5C2DE334">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p w14:paraId="14A463C8">
                  <w:pPr>
                    <w:pStyle w:val="133"/>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34F88B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7312DBFD">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6D8F6701">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危险废物识别标志样式可由江苏省危险废物全生命周期监控系统自动生成，原贮存、利用处置设施标志牌上贮存设施环评批文、贮存设施建筑面积或容积、贮存设施环境污染防治措施环境应急物资和设备、贮存危险废物清单、利用处置方式、利用处置能力、可利用处置危废、产生危废等信息纳入识别标志二维码管理，危险废物标签备注栏需显示容器容量材质等信息。本通知印发前已设置贮存、利用、处置设施标志牌的，可直接对照附件要求在标志牌上进行修改，《规范》实施之日前已经张贴在危险废物包装上的标签不需更换。</w:t>
                  </w:r>
                </w:p>
              </w:tc>
              <w:tc>
                <w:tcPr>
                  <w:tcW w:w="2304" w:type="dxa"/>
                  <w:tcBorders>
                    <w:tl2br w:val="nil"/>
                    <w:tr2bl w:val="nil"/>
                  </w:tcBorders>
                  <w:vAlign w:val="center"/>
                </w:tcPr>
                <w:p w14:paraId="66D094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pacing w:val="0"/>
                      <w:position w:val="0"/>
                      <w:sz w:val="21"/>
                      <w:szCs w:val="21"/>
                    </w:rPr>
                    <w:t>项目</w:t>
                  </w:r>
                  <w:r>
                    <w:rPr>
                      <w:rFonts w:hint="eastAsia" w:ascii="Times New Roman" w:hAnsi="Times New Roman" w:cs="Times New Roman"/>
                      <w:color w:val="auto"/>
                      <w:spacing w:val="0"/>
                      <w:position w:val="0"/>
                      <w:sz w:val="21"/>
                      <w:szCs w:val="21"/>
                      <w:lang w:eastAsia="zh-CN"/>
                    </w:rPr>
                    <w:t>不涉及新建危废仓库，依托现有项目危废仓库</w:t>
                  </w:r>
                  <w:r>
                    <w:rPr>
                      <w:rFonts w:hint="default" w:ascii="Times New Roman" w:hAnsi="Times New Roman" w:eastAsia="宋体" w:cs="Times New Roman"/>
                      <w:color w:val="auto"/>
                      <w:spacing w:val="0"/>
                      <w:kern w:val="2"/>
                      <w:position w:val="0"/>
                      <w:sz w:val="21"/>
                      <w:szCs w:val="21"/>
                      <w:lang w:val="en-US" w:eastAsia="en-US" w:bidi="ar-SA"/>
                    </w:rPr>
                    <w:t>贮存场所标志</w:t>
                  </w:r>
                  <w:r>
                    <w:rPr>
                      <w:rFonts w:hint="eastAsia" w:cs="Times New Roman"/>
                      <w:color w:val="auto"/>
                      <w:spacing w:val="0"/>
                      <w:kern w:val="2"/>
                      <w:position w:val="0"/>
                      <w:sz w:val="21"/>
                      <w:szCs w:val="21"/>
                      <w:lang w:val="en-US" w:eastAsia="zh-CN" w:bidi="ar-SA"/>
                    </w:rPr>
                    <w:t>已按照</w:t>
                  </w:r>
                  <w:r>
                    <w:rPr>
                      <w:rFonts w:hint="default" w:ascii="Times New Roman" w:hAnsi="Times New Roman" w:eastAsia="宋体" w:cs="Times New Roman"/>
                      <w:color w:val="auto"/>
                      <w:spacing w:val="0"/>
                      <w:kern w:val="2"/>
                      <w:position w:val="0"/>
                      <w:sz w:val="21"/>
                      <w:szCs w:val="21"/>
                      <w:lang w:val="en-US" w:eastAsia="en-US" w:bidi="ar-SA"/>
                    </w:rPr>
                    <w:t>《危险废物识别标志设置技术规范》（HJ1276-2022）、《环境保护图形标志固体废物贮存（处置）场》（GB15562.2-1995）及修改单、《江苏省危险废物集中收集体系建设工作方案（试行）》</w:t>
                  </w:r>
                  <w:bookmarkStart w:id="8" w:name="OLE_LINK16"/>
                  <w:r>
                    <w:rPr>
                      <w:rFonts w:hint="default" w:ascii="Times New Roman" w:hAnsi="Times New Roman" w:eastAsia="宋体" w:cs="Times New Roman"/>
                      <w:color w:val="auto"/>
                      <w:spacing w:val="0"/>
                      <w:kern w:val="2"/>
                      <w:position w:val="0"/>
                      <w:sz w:val="21"/>
                      <w:szCs w:val="21"/>
                      <w:lang w:val="en-US" w:eastAsia="en-US" w:bidi="ar-SA"/>
                    </w:rPr>
                    <w:t>（苏环办</w:t>
                  </w:r>
                  <w:r>
                    <w:rPr>
                      <w:rFonts w:hint="eastAsia" w:cs="Times New Roman"/>
                      <w:color w:val="auto"/>
                      <w:spacing w:val="0"/>
                      <w:kern w:val="2"/>
                      <w:position w:val="0"/>
                      <w:sz w:val="21"/>
                      <w:szCs w:val="21"/>
                      <w:lang w:val="en-US" w:eastAsia="zh-CN" w:bidi="ar-SA"/>
                    </w:rPr>
                    <w:t>〔2021〕290号</w:t>
                  </w:r>
                  <w:r>
                    <w:rPr>
                      <w:rFonts w:hint="default" w:ascii="Times New Roman" w:hAnsi="Times New Roman" w:eastAsia="宋体" w:cs="Times New Roman"/>
                      <w:color w:val="auto"/>
                      <w:spacing w:val="0"/>
                      <w:kern w:val="2"/>
                      <w:position w:val="0"/>
                      <w:sz w:val="21"/>
                      <w:szCs w:val="21"/>
                      <w:lang w:val="en-US" w:eastAsia="en-US" w:bidi="ar-SA"/>
                    </w:rPr>
                    <w:t>）要求</w:t>
                  </w:r>
                  <w:r>
                    <w:rPr>
                      <w:rFonts w:hint="eastAsia" w:cs="Times New Roman"/>
                      <w:color w:val="auto"/>
                      <w:spacing w:val="0"/>
                      <w:kern w:val="2"/>
                      <w:position w:val="0"/>
                      <w:sz w:val="21"/>
                      <w:szCs w:val="21"/>
                      <w:lang w:val="en-US" w:eastAsia="zh-CN" w:bidi="ar-SA"/>
                    </w:rPr>
                    <w:t>进行管理</w:t>
                  </w:r>
                  <w:r>
                    <w:rPr>
                      <w:rFonts w:hint="default" w:ascii="Times New Roman" w:hAnsi="Times New Roman" w:eastAsia="宋体" w:cs="Times New Roman"/>
                      <w:color w:val="auto"/>
                      <w:spacing w:val="0"/>
                      <w:kern w:val="2"/>
                      <w:position w:val="0"/>
                      <w:sz w:val="21"/>
                      <w:szCs w:val="21"/>
                      <w:lang w:val="en-US" w:eastAsia="en-US" w:bidi="ar-SA"/>
                    </w:rPr>
                    <w:t>。</w:t>
                  </w:r>
                  <w:bookmarkEnd w:id="8"/>
                </w:p>
              </w:tc>
              <w:tc>
                <w:tcPr>
                  <w:tcW w:w="0" w:type="auto"/>
                  <w:tcBorders>
                    <w:tl2br w:val="nil"/>
                    <w:tr2bl w:val="nil"/>
                  </w:tcBorders>
                  <w:vAlign w:val="center"/>
                </w:tcPr>
                <w:p w14:paraId="558B432C">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571411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07E376A4">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588C0416">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各级生态环境部门要高度重视危险废物贮存污染控制标准和危险废物新老识别标志更换落实工作，通过组织线上线下学习培训、印发“口袋书”等方式，加强对环评、固管、执法等监管部门和相关企业的宣传培训，指导帮助企业做好标准规范实施后危险废物环境管理的衔接工作</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提高其危险废物规范化环境管理水平。</w:t>
                  </w:r>
                </w:p>
              </w:tc>
              <w:tc>
                <w:tcPr>
                  <w:tcW w:w="2304" w:type="dxa"/>
                  <w:tcBorders>
                    <w:tl2br w:val="nil"/>
                    <w:tr2bl w:val="nil"/>
                  </w:tcBorders>
                  <w:vAlign w:val="center"/>
                </w:tcPr>
                <w:p w14:paraId="154FD5EE">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z w:val="21"/>
                      <w:szCs w:val="21"/>
                      <w:lang w:eastAsia="zh-CN"/>
                    </w:rPr>
                    <w:t>扩建</w:t>
                  </w:r>
                  <w:r>
                    <w:rPr>
                      <w:rFonts w:hint="default" w:ascii="Times New Roman" w:hAnsi="Times New Roman" w:eastAsia="宋体" w:cs="Times New Roman"/>
                      <w:color w:val="auto"/>
                      <w:spacing w:val="0"/>
                      <w:position w:val="0"/>
                      <w:sz w:val="21"/>
                      <w:szCs w:val="21"/>
                      <w:lang w:val="en-US" w:eastAsia="zh-CN"/>
                    </w:rPr>
                    <w:t>项目根据相关要求对企业员工进行相关培训，提高危险废物环境管理水平</w:t>
                  </w:r>
                </w:p>
              </w:tc>
              <w:tc>
                <w:tcPr>
                  <w:tcW w:w="0" w:type="auto"/>
                  <w:tcBorders>
                    <w:tl2br w:val="nil"/>
                    <w:tr2bl w:val="nil"/>
                  </w:tcBorders>
                  <w:vAlign w:val="center"/>
                </w:tcPr>
                <w:p w14:paraId="6AD9F7A5">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5494F4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0" w:type="auto"/>
                  <w:vMerge w:val="restart"/>
                  <w:tcBorders>
                    <w:tl2br w:val="nil"/>
                    <w:tr2bl w:val="nil"/>
                  </w:tcBorders>
                  <w:vAlign w:val="center"/>
                </w:tcPr>
                <w:p w14:paraId="06EBB675">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省生态环境厅关于印发《江苏省固体废物全过程环境监管工作意见》的通知苏环办</w:t>
                  </w:r>
                  <w:r>
                    <w:rPr>
                      <w:rFonts w:hint="eastAsia" w:ascii="Times New Roman" w:hAnsi="Times New Roman" w:cs="Times New Roman"/>
                      <w:color w:val="auto"/>
                      <w:spacing w:val="0"/>
                      <w:position w:val="0"/>
                      <w:sz w:val="21"/>
                      <w:szCs w:val="21"/>
                      <w:lang w:eastAsia="zh-CN"/>
                    </w:rPr>
                    <w:t>〔2024〕16号</w:t>
                  </w:r>
                  <w:r>
                    <w:rPr>
                      <w:rFonts w:hint="default" w:ascii="Times New Roman" w:hAnsi="Times New Roman" w:eastAsia="宋体" w:cs="Times New Roman"/>
                      <w:color w:val="auto"/>
                      <w:spacing w:val="0"/>
                      <w:position w:val="0"/>
                      <w:sz w:val="21"/>
                      <w:szCs w:val="21"/>
                      <w:lang w:eastAsia="zh-CN"/>
                    </w:rPr>
                    <w:t>文</w:t>
                  </w:r>
                </w:p>
              </w:tc>
              <w:tc>
                <w:tcPr>
                  <w:tcW w:w="4400" w:type="dxa"/>
                  <w:tcBorders>
                    <w:tl2br w:val="nil"/>
                    <w:tr2bl w:val="nil"/>
                  </w:tcBorders>
                  <w:vAlign w:val="center"/>
                </w:tcPr>
                <w:p w14:paraId="1E484068">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规范贮存管理要求。根据《危险废物贮存污染控制标准》</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GB18597-2023</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，企业可根据实际情况选择采用危险废物贮存设施或贮存点</w:t>
                  </w:r>
                  <w:r>
                    <w:rPr>
                      <w:rFonts w:hint="eastAsia" w:ascii="Times New Roman" w:hAnsi="Times New Roman" w:cs="Times New Roman"/>
                      <w:color w:val="auto"/>
                      <w:spacing w:val="0"/>
                      <w:position w:val="0"/>
                      <w:sz w:val="21"/>
                      <w:szCs w:val="21"/>
                      <w:lang w:eastAsia="zh-CN"/>
                    </w:rPr>
                    <w:t>两种</w:t>
                  </w:r>
                  <w:r>
                    <w:rPr>
                      <w:rFonts w:hint="default" w:ascii="Times New Roman" w:hAnsi="Times New Roman" w:eastAsia="宋体" w:cs="Times New Roman"/>
                      <w:color w:val="auto"/>
                      <w:spacing w:val="0"/>
                      <w:position w:val="0"/>
                      <w:sz w:val="21"/>
                      <w:szCs w:val="21"/>
                    </w:rPr>
                    <w:t>方式进行贮存，符合相应的污染控制标准</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不具备建设贮存设施条件、选用贮存点方式的</w:t>
                  </w:r>
                </w:p>
              </w:tc>
              <w:tc>
                <w:tcPr>
                  <w:tcW w:w="2304" w:type="dxa"/>
                  <w:tcBorders>
                    <w:tl2br w:val="nil"/>
                    <w:tr2bl w:val="nil"/>
                  </w:tcBorders>
                  <w:vAlign w:val="center"/>
                </w:tcPr>
                <w:p w14:paraId="66BDFAED">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z w:val="21"/>
                      <w:szCs w:val="21"/>
                      <w:lang w:eastAsia="zh-CN"/>
                    </w:rPr>
                    <w:t>扩建</w:t>
                  </w:r>
                  <w:r>
                    <w:rPr>
                      <w:rFonts w:hint="default" w:ascii="Times New Roman" w:hAnsi="Times New Roman" w:eastAsia="宋体" w:cs="Times New Roman"/>
                      <w:color w:val="auto"/>
                      <w:spacing w:val="0"/>
                      <w:position w:val="0"/>
                      <w:sz w:val="21"/>
                      <w:szCs w:val="21"/>
                    </w:rPr>
                    <w:t>项目</w:t>
                  </w:r>
                  <w:r>
                    <w:rPr>
                      <w:rFonts w:hint="eastAsia" w:ascii="Times New Roman" w:hAnsi="Times New Roman" w:cs="Times New Roman"/>
                      <w:color w:val="auto"/>
                      <w:spacing w:val="0"/>
                      <w:position w:val="0"/>
                      <w:sz w:val="21"/>
                      <w:szCs w:val="21"/>
                      <w:lang w:eastAsia="zh-CN"/>
                    </w:rPr>
                    <w:t>不涉及新建危废仓库，依托现有项目危废仓库，</w:t>
                  </w:r>
                  <w:r>
                    <w:rPr>
                      <w:rFonts w:hint="eastAsia" w:ascii="Times New Roman" w:hAnsi="Times New Roman" w:cs="Times New Roman"/>
                      <w:color w:val="auto"/>
                      <w:spacing w:val="0"/>
                      <w:position w:val="0"/>
                      <w:sz w:val="21"/>
                      <w:szCs w:val="21"/>
                      <w:lang w:val="en-US" w:eastAsia="zh-CN"/>
                    </w:rPr>
                    <w:t>已</w:t>
                  </w:r>
                  <w:r>
                    <w:rPr>
                      <w:rFonts w:hint="default" w:ascii="Times New Roman" w:hAnsi="Times New Roman" w:eastAsia="宋体" w:cs="Times New Roman"/>
                      <w:color w:val="auto"/>
                      <w:spacing w:val="0"/>
                      <w:kern w:val="2"/>
                      <w:position w:val="0"/>
                      <w:sz w:val="21"/>
                      <w:szCs w:val="21"/>
                      <w:lang w:val="en-US" w:eastAsia="zh-CN" w:bidi="ar-SA"/>
                    </w:rPr>
                    <w:t>落实</w:t>
                  </w:r>
                  <w:r>
                    <w:rPr>
                      <w:rFonts w:hint="default" w:ascii="Times New Roman" w:hAnsi="Times New Roman" w:eastAsia="宋体" w:cs="Times New Roman"/>
                      <w:color w:val="auto"/>
                      <w:spacing w:val="0"/>
                      <w:kern w:val="2"/>
                      <w:position w:val="0"/>
                      <w:sz w:val="21"/>
                      <w:szCs w:val="21"/>
                      <w:lang w:val="en-US" w:eastAsia="en-US" w:bidi="ar-SA"/>
                    </w:rPr>
                    <w:t>《危险废物贮存污染控制标准》</w:t>
                  </w:r>
                  <w:r>
                    <w:rPr>
                      <w:rFonts w:hint="eastAsia" w:ascii="Times New Roman" w:hAnsi="Times New Roman" w:cs="Times New Roman"/>
                      <w:color w:val="auto"/>
                      <w:spacing w:val="0"/>
                      <w:kern w:val="2"/>
                      <w:position w:val="0"/>
                      <w:sz w:val="21"/>
                      <w:szCs w:val="21"/>
                      <w:lang w:val="en-US" w:eastAsia="zh-CN" w:bidi="ar-SA"/>
                    </w:rPr>
                    <w:t>（</w:t>
                  </w:r>
                  <w:r>
                    <w:rPr>
                      <w:rFonts w:hint="default" w:ascii="Times New Roman" w:hAnsi="Times New Roman" w:eastAsia="宋体" w:cs="Times New Roman"/>
                      <w:color w:val="auto"/>
                      <w:spacing w:val="0"/>
                      <w:kern w:val="2"/>
                      <w:position w:val="0"/>
                      <w:sz w:val="21"/>
                      <w:szCs w:val="21"/>
                      <w:lang w:val="en-US" w:eastAsia="en-US" w:bidi="ar-SA"/>
                    </w:rPr>
                    <w:t>GB18597-2023</w:t>
                  </w:r>
                  <w:r>
                    <w:rPr>
                      <w:rFonts w:hint="eastAsia" w:ascii="Times New Roman" w:hAnsi="Times New Roman" w:cs="Times New Roman"/>
                      <w:color w:val="auto"/>
                      <w:spacing w:val="0"/>
                      <w:kern w:val="2"/>
                      <w:position w:val="0"/>
                      <w:sz w:val="21"/>
                      <w:szCs w:val="21"/>
                      <w:lang w:val="en-US" w:eastAsia="zh-CN" w:bidi="ar-SA"/>
                    </w:rPr>
                    <w:t>）</w:t>
                  </w:r>
                  <w:r>
                    <w:rPr>
                      <w:rFonts w:hint="default" w:ascii="Times New Roman" w:hAnsi="Times New Roman" w:eastAsia="宋体" w:cs="Times New Roman"/>
                      <w:color w:val="auto"/>
                      <w:spacing w:val="0"/>
                      <w:kern w:val="2"/>
                      <w:position w:val="0"/>
                      <w:sz w:val="21"/>
                      <w:szCs w:val="21"/>
                      <w:lang w:val="en-US" w:eastAsia="zh-CN" w:bidi="ar-SA"/>
                    </w:rPr>
                    <w:t>，进行分类贮存</w:t>
                  </w:r>
                </w:p>
              </w:tc>
              <w:tc>
                <w:tcPr>
                  <w:tcW w:w="0" w:type="auto"/>
                  <w:tcBorders>
                    <w:tl2br w:val="nil"/>
                    <w:tr2bl w:val="nil"/>
                  </w:tcBorders>
                  <w:vAlign w:val="center"/>
                </w:tcPr>
                <w:p w14:paraId="51537E5E">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600A61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0" w:type="auto"/>
                  <w:vMerge w:val="continue"/>
                  <w:tcBorders>
                    <w:tl2br w:val="nil"/>
                    <w:tr2bl w:val="nil"/>
                  </w:tcBorders>
                  <w:vAlign w:val="center"/>
                </w:tcPr>
                <w:p w14:paraId="5C2CD51A">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5E102EC2">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规范贮存管理要求</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根据《危险废物贮存污染控制标准》（GB18597</w:t>
                  </w:r>
                  <w:r>
                    <w:rPr>
                      <w:rFonts w:hint="default"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rPr>
                    <w:t>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w:t>
                  </w:r>
                  <w:r>
                    <w:rPr>
                      <w:rFonts w:hint="eastAsia" w:ascii="Times New Roman" w:hAnsi="Times New Roman" w:cs="Times New Roman"/>
                      <w:color w:val="auto"/>
                      <w:spacing w:val="0"/>
                      <w:position w:val="0"/>
                      <w:sz w:val="21"/>
                      <w:szCs w:val="21"/>
                      <w:lang w:eastAsia="zh-CN"/>
                    </w:rPr>
                    <w:t>Ⅱ级</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eastAsia="zh-CN"/>
                    </w:rPr>
                    <w:t>Ⅲ级</w:t>
                  </w:r>
                  <w:r>
                    <w:rPr>
                      <w:rFonts w:hint="default" w:ascii="Times New Roman" w:hAnsi="Times New Roman" w:eastAsia="宋体" w:cs="Times New Roman"/>
                      <w:color w:val="auto"/>
                      <w:spacing w:val="0"/>
                      <w:position w:val="0"/>
                      <w:sz w:val="21"/>
                      <w:szCs w:val="21"/>
                    </w:rPr>
                    <w:t>危险废物贮存时间分别不得超过30天、60天、90天，最大贮存量不得超过1吨</w:t>
                  </w:r>
                </w:p>
              </w:tc>
              <w:tc>
                <w:tcPr>
                  <w:tcW w:w="2304" w:type="dxa"/>
                  <w:tcBorders>
                    <w:tl2br w:val="nil"/>
                    <w:tr2bl w:val="nil"/>
                  </w:tcBorders>
                  <w:vAlign w:val="center"/>
                </w:tcPr>
                <w:p w14:paraId="65458C0B">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z w:val="21"/>
                      <w:szCs w:val="21"/>
                      <w:lang w:eastAsia="zh-CN"/>
                    </w:rPr>
                    <w:t>扩建</w:t>
                  </w:r>
                  <w:r>
                    <w:rPr>
                      <w:rFonts w:hint="default" w:ascii="Times New Roman" w:hAnsi="Times New Roman" w:eastAsia="宋体" w:cs="Times New Roman"/>
                      <w:color w:val="auto"/>
                      <w:spacing w:val="0"/>
                      <w:position w:val="0"/>
                      <w:sz w:val="21"/>
                      <w:szCs w:val="21"/>
                    </w:rPr>
                    <w:t>项目</w:t>
                  </w:r>
                  <w:r>
                    <w:rPr>
                      <w:rFonts w:hint="eastAsia" w:ascii="Times New Roman" w:hAnsi="Times New Roman" w:cs="Times New Roman"/>
                      <w:color w:val="auto"/>
                      <w:spacing w:val="0"/>
                      <w:position w:val="0"/>
                      <w:sz w:val="21"/>
                      <w:szCs w:val="21"/>
                      <w:lang w:eastAsia="zh-CN"/>
                    </w:rPr>
                    <w:t>不涉及新建危废仓库，依托现有项目危废仓库，</w:t>
                  </w:r>
                  <w:r>
                    <w:rPr>
                      <w:rFonts w:hint="eastAsia" w:ascii="Times New Roman" w:hAnsi="Times New Roman" w:cs="Times New Roman"/>
                      <w:color w:val="auto"/>
                      <w:spacing w:val="0"/>
                      <w:position w:val="0"/>
                      <w:sz w:val="21"/>
                      <w:szCs w:val="21"/>
                      <w:lang w:val="en-US" w:eastAsia="zh-CN"/>
                    </w:rPr>
                    <w:t>已</w:t>
                  </w:r>
                  <w:r>
                    <w:rPr>
                      <w:rFonts w:hint="default" w:ascii="Times New Roman" w:hAnsi="Times New Roman" w:eastAsia="宋体" w:cs="Times New Roman"/>
                      <w:color w:val="auto"/>
                      <w:spacing w:val="0"/>
                      <w:position w:val="0"/>
                      <w:sz w:val="21"/>
                      <w:szCs w:val="21"/>
                      <w:lang w:val="en-US" w:eastAsia="zh-CN"/>
                    </w:rPr>
                    <w:t>按照</w:t>
                  </w:r>
                  <w:r>
                    <w:rPr>
                      <w:rFonts w:hint="default" w:ascii="Times New Roman" w:hAnsi="Times New Roman" w:eastAsia="宋体" w:cs="Times New Roman"/>
                      <w:color w:val="auto"/>
                      <w:spacing w:val="0"/>
                      <w:position w:val="0"/>
                      <w:sz w:val="21"/>
                      <w:szCs w:val="21"/>
                    </w:rPr>
                    <w:t>《危险废物贮存污染控制标准》（GB18597</w:t>
                  </w:r>
                  <w:r>
                    <w:rPr>
                      <w:rFonts w:hint="default"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rPr>
                    <w:t>2023）</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lang w:val="en-US" w:eastAsia="zh-CN"/>
                    </w:rPr>
                    <w:t>落实危废贮存，过程中配套防扬散、防流失、防渗漏及其他防止污染环境的措施，并且</w:t>
                  </w:r>
                  <w:r>
                    <w:rPr>
                      <w:rFonts w:hint="default" w:ascii="Times New Roman" w:hAnsi="Times New Roman" w:eastAsia="宋体" w:cs="Times New Roman"/>
                      <w:color w:val="auto"/>
                      <w:spacing w:val="0"/>
                      <w:position w:val="0"/>
                      <w:sz w:val="21"/>
                      <w:szCs w:val="21"/>
                    </w:rPr>
                    <w:t>执行《江苏省危险废物集中收集体系建设工作方案（试行）》（苏环办〔2021〕290号）</w:t>
                  </w:r>
                  <w:r>
                    <w:rPr>
                      <w:rFonts w:hint="default" w:ascii="Times New Roman" w:hAnsi="Times New Roman" w:eastAsia="宋体" w:cs="Times New Roman"/>
                      <w:color w:val="auto"/>
                      <w:spacing w:val="0"/>
                      <w:position w:val="0"/>
                      <w:sz w:val="21"/>
                      <w:szCs w:val="21"/>
                      <w:lang w:val="en-US" w:eastAsia="zh-CN"/>
                    </w:rPr>
                    <w:t>要求，提高危废处理次数</w:t>
                  </w:r>
                </w:p>
              </w:tc>
              <w:tc>
                <w:tcPr>
                  <w:tcW w:w="0" w:type="auto"/>
                  <w:tcBorders>
                    <w:tl2br w:val="nil"/>
                    <w:tr2bl w:val="nil"/>
                  </w:tcBorders>
                  <w:vAlign w:val="center"/>
                </w:tcPr>
                <w:p w14:paraId="4D2B43B2">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0A74B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2DFEF55E">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3AF6E363">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强化转移过程管理。全面落实危险废物转移电子联单制度，实行省内全域扫描“二维码”转移。加强与危险货物道路运输电子运单数据共享，实现运输轨迹可溯可查。产废单位须依法核实经营单位主体资格和技术能力，并直接签订利用处置合同，违法委托的，应当与造成环境污染和生态破坏的受托方承担连带责任；经营单位须按包装物扫码签收，签收人、车辆信息等须拍照上传至系统，严禁“空转”二维码。积极推行一般工业固体废物转移电子联单制度，优先选择环境风险较大的污泥、矿渣等试行</w:t>
                  </w:r>
                </w:p>
              </w:tc>
              <w:tc>
                <w:tcPr>
                  <w:tcW w:w="2304" w:type="dxa"/>
                  <w:tcBorders>
                    <w:tl2br w:val="nil"/>
                    <w:tr2bl w:val="nil"/>
                  </w:tcBorders>
                  <w:vAlign w:val="center"/>
                </w:tcPr>
                <w:p w14:paraId="1F72201F">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建设单位危险废物产生、经营企业在省内转移时按要求选择有资质并能利用“江苏省固体废物管理信息系统”进行信息比对的危险货物道路运输企业承运危险废物</w:t>
                  </w:r>
                </w:p>
              </w:tc>
              <w:tc>
                <w:tcPr>
                  <w:tcW w:w="0" w:type="auto"/>
                  <w:tcBorders>
                    <w:tl2br w:val="nil"/>
                    <w:tr2bl w:val="nil"/>
                  </w:tcBorders>
                  <w:vAlign w:val="center"/>
                </w:tcPr>
                <w:p w14:paraId="518B4EE7">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27AB3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restart"/>
                  <w:tcBorders>
                    <w:tl2br w:val="nil"/>
                    <w:tr2bl w:val="nil"/>
                  </w:tcBorders>
                  <w:vAlign w:val="center"/>
                </w:tcPr>
                <w:p w14:paraId="683D4776">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eastAsia="zh-CN"/>
                    </w:rPr>
                    <w:t>《江苏省固体废物全过程环境监管工作意见》的通知</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lang w:eastAsia="zh-CN"/>
                    </w:rPr>
                    <w:t>苏环办</w:t>
                  </w:r>
                  <w:r>
                    <w:rPr>
                      <w:rFonts w:hint="eastAsia" w:ascii="Times New Roman" w:hAnsi="Times New Roman" w:cs="Times New Roman"/>
                      <w:color w:val="auto"/>
                      <w:spacing w:val="0"/>
                      <w:position w:val="0"/>
                      <w:sz w:val="21"/>
                      <w:szCs w:val="21"/>
                      <w:lang w:eastAsia="zh-CN"/>
                    </w:rPr>
                    <w:t>〔2024〕16号）</w:t>
                  </w:r>
                </w:p>
              </w:tc>
              <w:tc>
                <w:tcPr>
                  <w:tcW w:w="4400" w:type="dxa"/>
                  <w:tcBorders>
                    <w:tl2br w:val="nil"/>
                    <w:tr2bl w:val="nil"/>
                  </w:tcBorders>
                  <w:vAlign w:val="center"/>
                </w:tcPr>
                <w:p w14:paraId="4455061B">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建立健全管理台账。</w:t>
                  </w:r>
                  <w:r>
                    <w:rPr>
                      <w:rFonts w:hint="default" w:ascii="Times New Roman" w:hAnsi="Times New Roman" w:eastAsia="宋体" w:cs="Times New Roman"/>
                      <w:color w:val="auto"/>
                      <w:spacing w:val="0"/>
                      <w:position w:val="0"/>
                      <w:sz w:val="21"/>
                      <w:szCs w:val="21"/>
                    </w:rPr>
                    <w:t>一般工业固体废物</w:t>
                  </w:r>
                  <w:r>
                    <w:rPr>
                      <w:rFonts w:hint="default" w:ascii="Times New Roman" w:hAnsi="Times New Roman" w:eastAsia="宋体" w:cs="Times New Roman"/>
                      <w:color w:val="auto"/>
                      <w:spacing w:val="0"/>
                      <w:position w:val="0"/>
                      <w:sz w:val="21"/>
                      <w:szCs w:val="21"/>
                      <w:lang w:val="en-US" w:eastAsia="zh-CN"/>
                    </w:rPr>
                    <w:t>产生</w:t>
                  </w:r>
                  <w:r>
                    <w:rPr>
                      <w:rFonts w:hint="default" w:ascii="Times New Roman" w:hAnsi="Times New Roman" w:eastAsia="宋体" w:cs="Times New Roman"/>
                      <w:color w:val="auto"/>
                      <w:spacing w:val="0"/>
                      <w:position w:val="0"/>
                      <w:sz w:val="21"/>
                      <w:szCs w:val="21"/>
                    </w:rPr>
                    <w:t>单位要严格根据环评文件等</w:t>
                  </w:r>
                  <w:r>
                    <w:rPr>
                      <w:rFonts w:hint="default" w:ascii="Times New Roman" w:hAnsi="Times New Roman" w:eastAsia="宋体" w:cs="Times New Roman"/>
                      <w:color w:val="auto"/>
                      <w:spacing w:val="0"/>
                      <w:position w:val="0"/>
                      <w:sz w:val="21"/>
                      <w:szCs w:val="21"/>
                      <w:lang w:val="en-US" w:eastAsia="zh-CN"/>
                    </w:rPr>
                    <w:t>明确固体废物</w:t>
                  </w:r>
                  <w:r>
                    <w:rPr>
                      <w:rFonts w:hint="default" w:ascii="Times New Roman" w:hAnsi="Times New Roman" w:eastAsia="宋体" w:cs="Times New Roman"/>
                      <w:color w:val="auto"/>
                      <w:spacing w:val="0"/>
                      <w:position w:val="0"/>
                      <w:sz w:val="21"/>
                      <w:szCs w:val="21"/>
                    </w:rPr>
                    <w:t>属性，</w:t>
                  </w:r>
                  <w:r>
                    <w:rPr>
                      <w:rFonts w:hint="default" w:ascii="Times New Roman" w:hAnsi="Times New Roman" w:eastAsia="宋体" w:cs="Times New Roman"/>
                      <w:color w:val="auto"/>
                      <w:spacing w:val="0"/>
                      <w:position w:val="0"/>
                      <w:sz w:val="21"/>
                      <w:szCs w:val="21"/>
                      <w:lang w:val="en-US" w:eastAsia="zh-CN"/>
                    </w:rPr>
                    <w:t>做好不同属性固体废物分类管理。按照《</w:t>
                  </w:r>
                  <w:r>
                    <w:rPr>
                      <w:rFonts w:hint="eastAsia" w:ascii="Times New Roman" w:hAnsi="Times New Roman" w:cs="Times New Roman"/>
                      <w:color w:val="auto"/>
                      <w:spacing w:val="0"/>
                      <w:position w:val="0"/>
                      <w:sz w:val="21"/>
                      <w:szCs w:val="21"/>
                      <w:lang w:val="en-US" w:eastAsia="zh-CN"/>
                    </w:rPr>
                    <w:t>中华人民共和国固体废物污染环境防治法</w:t>
                  </w:r>
                  <w:r>
                    <w:rPr>
                      <w:rFonts w:hint="default" w:ascii="Times New Roman" w:hAnsi="Times New Roman" w:eastAsia="宋体" w:cs="Times New Roman"/>
                      <w:color w:val="auto"/>
                      <w:spacing w:val="0"/>
                      <w:position w:val="0"/>
                      <w:sz w:val="21"/>
                      <w:szCs w:val="21"/>
                      <w:lang w:val="en-US" w:eastAsia="zh-CN"/>
                    </w:rPr>
                    <w:t>》《一般工业固体废物管理台账制定指南（试行）》的要求，</w:t>
                  </w:r>
                  <w:r>
                    <w:rPr>
                      <w:rFonts w:hint="default" w:ascii="Times New Roman" w:hAnsi="Times New Roman" w:eastAsia="宋体" w:cs="Times New Roman"/>
                      <w:color w:val="auto"/>
                      <w:spacing w:val="0"/>
                      <w:position w:val="0"/>
                      <w:sz w:val="21"/>
                      <w:szCs w:val="21"/>
                    </w:rPr>
                    <w:t>建立健全</w:t>
                  </w:r>
                  <w:r>
                    <w:rPr>
                      <w:rFonts w:hint="default" w:ascii="Times New Roman" w:hAnsi="Times New Roman" w:eastAsia="宋体" w:cs="Times New Roman"/>
                      <w:color w:val="auto"/>
                      <w:spacing w:val="0"/>
                      <w:position w:val="0"/>
                      <w:sz w:val="21"/>
                      <w:szCs w:val="21"/>
                      <w:lang w:val="en-US" w:eastAsia="zh-CN"/>
                    </w:rPr>
                    <w:t>全过程管理</w:t>
                  </w:r>
                  <w:r>
                    <w:rPr>
                      <w:rFonts w:hint="default" w:ascii="Times New Roman" w:hAnsi="Times New Roman" w:eastAsia="宋体" w:cs="Times New Roman"/>
                      <w:color w:val="auto"/>
                      <w:spacing w:val="0"/>
                      <w:position w:val="0"/>
                      <w:sz w:val="21"/>
                      <w:szCs w:val="21"/>
                    </w:rPr>
                    <w:t>台账，如实记录一般工业固体废物</w:t>
                  </w:r>
                  <w:r>
                    <w:rPr>
                      <w:rFonts w:hint="default" w:ascii="Times New Roman" w:hAnsi="Times New Roman" w:eastAsia="宋体" w:cs="Times New Roman"/>
                      <w:color w:val="auto"/>
                      <w:spacing w:val="0"/>
                      <w:position w:val="0"/>
                      <w:sz w:val="21"/>
                      <w:szCs w:val="21"/>
                      <w:lang w:val="en-US" w:eastAsia="zh-CN"/>
                    </w:rPr>
                    <w:t>种类、数量、流向、贮存、利用、处置等信息。推动产生单位简</w:t>
                  </w:r>
                  <w:r>
                    <w:rPr>
                      <w:rFonts w:hint="eastAsia" w:ascii="Times New Roman" w:hAnsi="Times New Roman" w:cs="Times New Roman"/>
                      <w:color w:val="auto"/>
                      <w:spacing w:val="0"/>
                      <w:position w:val="0"/>
                      <w:sz w:val="21"/>
                      <w:szCs w:val="21"/>
                      <w:lang w:val="en-US" w:eastAsia="zh-CN"/>
                    </w:rPr>
                    <w:t>立</w:t>
                  </w:r>
                  <w:r>
                    <w:rPr>
                      <w:rFonts w:hint="default" w:ascii="Times New Roman" w:hAnsi="Times New Roman" w:eastAsia="宋体" w:cs="Times New Roman"/>
                      <w:color w:val="auto"/>
                      <w:spacing w:val="0"/>
                      <w:position w:val="0"/>
                      <w:sz w:val="21"/>
                      <w:szCs w:val="21"/>
                      <w:lang w:val="en-US" w:eastAsia="zh-CN"/>
                    </w:rPr>
                    <w:t>电子台账，并直接与江苏省固体废物管理信息系统（以下简称固废系统）数据对接。</w:t>
                  </w:r>
                </w:p>
              </w:tc>
              <w:tc>
                <w:tcPr>
                  <w:tcW w:w="2304" w:type="dxa"/>
                  <w:tcBorders>
                    <w:tl2br w:val="nil"/>
                    <w:tr2bl w:val="nil"/>
                  </w:tcBorders>
                  <w:shd w:val="clear" w:color="auto" w:fill="auto"/>
                  <w:vAlign w:val="center"/>
                </w:tcPr>
                <w:p w14:paraId="6A4AC786">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z w:val="21"/>
                      <w:szCs w:val="21"/>
                      <w:lang w:eastAsia="zh-CN"/>
                    </w:rPr>
                    <w:t>扩建</w:t>
                  </w:r>
                  <w:r>
                    <w:rPr>
                      <w:rFonts w:hint="default" w:ascii="Times New Roman" w:hAnsi="Times New Roman" w:eastAsia="宋体" w:cs="Times New Roman"/>
                      <w:color w:val="auto"/>
                      <w:spacing w:val="0"/>
                      <w:position w:val="0"/>
                      <w:sz w:val="21"/>
                      <w:szCs w:val="21"/>
                    </w:rPr>
                    <w:t>项目</w:t>
                  </w:r>
                  <w:r>
                    <w:rPr>
                      <w:rFonts w:hint="eastAsia" w:ascii="Times New Roman" w:hAnsi="Times New Roman" w:cs="Times New Roman"/>
                      <w:color w:val="auto"/>
                      <w:spacing w:val="0"/>
                      <w:position w:val="0"/>
                      <w:sz w:val="21"/>
                      <w:szCs w:val="21"/>
                      <w:lang w:eastAsia="zh-CN"/>
                    </w:rPr>
                    <w:t>不涉及新建</w:t>
                  </w:r>
                  <w:r>
                    <w:rPr>
                      <w:rFonts w:hint="default" w:ascii="Times New Roman" w:hAnsi="Times New Roman" w:eastAsia="宋体" w:cs="Times New Roman"/>
                      <w:color w:val="auto"/>
                      <w:spacing w:val="0"/>
                      <w:position w:val="0"/>
                      <w:sz w:val="21"/>
                      <w:szCs w:val="21"/>
                    </w:rPr>
                    <w:t>一般工业固体废物</w:t>
                  </w:r>
                  <w:r>
                    <w:rPr>
                      <w:rFonts w:hint="eastAsia" w:ascii="Times New Roman" w:hAnsi="Times New Roman" w:cs="Times New Roman"/>
                      <w:color w:val="auto"/>
                      <w:spacing w:val="0"/>
                      <w:position w:val="0"/>
                      <w:sz w:val="21"/>
                      <w:szCs w:val="21"/>
                      <w:lang w:eastAsia="zh-CN"/>
                    </w:rPr>
                    <w:t>仓库，依托现有项目</w:t>
                  </w:r>
                  <w:r>
                    <w:rPr>
                      <w:rFonts w:hint="default" w:ascii="Times New Roman" w:hAnsi="Times New Roman" w:eastAsia="宋体" w:cs="Times New Roman"/>
                      <w:color w:val="auto"/>
                      <w:spacing w:val="0"/>
                      <w:position w:val="0"/>
                      <w:sz w:val="21"/>
                      <w:szCs w:val="21"/>
                    </w:rPr>
                    <w:t>一般工业固体废物</w:t>
                  </w:r>
                  <w:r>
                    <w:rPr>
                      <w:rFonts w:hint="eastAsia" w:ascii="Times New Roman" w:hAnsi="Times New Roman" w:cs="Times New Roman"/>
                      <w:color w:val="auto"/>
                      <w:spacing w:val="0"/>
                      <w:position w:val="0"/>
                      <w:sz w:val="21"/>
                      <w:szCs w:val="21"/>
                      <w:lang w:eastAsia="zh-CN"/>
                    </w:rPr>
                    <w:t>，</w:t>
                  </w:r>
                  <w:r>
                    <w:rPr>
                      <w:rFonts w:hint="eastAsia" w:ascii="Times New Roman" w:hAnsi="Times New Roman" w:cs="Times New Roman"/>
                      <w:color w:val="auto"/>
                      <w:spacing w:val="0"/>
                      <w:position w:val="0"/>
                      <w:sz w:val="21"/>
                      <w:szCs w:val="21"/>
                      <w:lang w:val="en-US" w:eastAsia="zh-CN"/>
                    </w:rPr>
                    <w:t>已</w:t>
                  </w:r>
                  <w:r>
                    <w:rPr>
                      <w:rFonts w:hint="default" w:ascii="Times New Roman" w:hAnsi="Times New Roman" w:eastAsia="宋体" w:cs="Times New Roman"/>
                      <w:color w:val="auto"/>
                      <w:spacing w:val="0"/>
                      <w:position w:val="0"/>
                      <w:sz w:val="21"/>
                      <w:szCs w:val="21"/>
                      <w:lang w:val="en-US" w:eastAsia="zh-CN"/>
                    </w:rPr>
                    <w:t>按照</w:t>
                  </w:r>
                  <w:r>
                    <w:rPr>
                      <w:rFonts w:hint="default" w:ascii="Times New Roman" w:hAnsi="Times New Roman" w:eastAsia="宋体" w:cs="Times New Roman"/>
                      <w:color w:val="auto"/>
                      <w:spacing w:val="0"/>
                      <w:kern w:val="2"/>
                      <w:position w:val="0"/>
                      <w:sz w:val="21"/>
                      <w:szCs w:val="21"/>
                      <w:lang w:val="en-US" w:eastAsia="en-US" w:bidi="ar-SA"/>
                    </w:rPr>
                    <w:t>一般工业固体废物</w:t>
                  </w:r>
                  <w:r>
                    <w:rPr>
                      <w:rFonts w:hint="default" w:ascii="Times New Roman" w:hAnsi="Times New Roman" w:eastAsia="宋体" w:cs="Times New Roman"/>
                      <w:color w:val="auto"/>
                      <w:spacing w:val="0"/>
                      <w:kern w:val="2"/>
                      <w:position w:val="0"/>
                      <w:sz w:val="21"/>
                      <w:szCs w:val="21"/>
                      <w:lang w:val="en-US" w:eastAsia="zh-CN" w:bidi="ar-SA"/>
                    </w:rPr>
                    <w:t>管理台账</w:t>
                  </w:r>
                  <w:r>
                    <w:rPr>
                      <w:rFonts w:hint="default" w:ascii="Times New Roman" w:hAnsi="Times New Roman" w:eastAsia="宋体" w:cs="Times New Roman"/>
                      <w:color w:val="auto"/>
                      <w:spacing w:val="0"/>
                      <w:kern w:val="2"/>
                      <w:position w:val="0"/>
                      <w:sz w:val="21"/>
                      <w:szCs w:val="21"/>
                      <w:lang w:val="en-US" w:eastAsia="en-US" w:bidi="ar-SA"/>
                    </w:rPr>
                    <w:t>，</w:t>
                  </w:r>
                  <w:r>
                    <w:rPr>
                      <w:rFonts w:hint="default" w:ascii="Times New Roman" w:hAnsi="Times New Roman" w:eastAsia="宋体" w:cs="Times New Roman"/>
                      <w:color w:val="auto"/>
                      <w:spacing w:val="0"/>
                      <w:kern w:val="2"/>
                      <w:position w:val="0"/>
                      <w:sz w:val="21"/>
                      <w:szCs w:val="21"/>
                      <w:lang w:val="en-US" w:eastAsia="zh-CN" w:bidi="ar-SA"/>
                    </w:rPr>
                    <w:t>按要求</w:t>
                  </w:r>
                  <w:r>
                    <w:rPr>
                      <w:rFonts w:hint="default" w:ascii="Times New Roman" w:hAnsi="Times New Roman" w:eastAsia="宋体" w:cs="Times New Roman"/>
                      <w:color w:val="auto"/>
                      <w:spacing w:val="0"/>
                      <w:kern w:val="2"/>
                      <w:position w:val="0"/>
                      <w:sz w:val="21"/>
                      <w:szCs w:val="21"/>
                      <w:lang w:val="en-US" w:eastAsia="en-US" w:bidi="ar-SA"/>
                    </w:rPr>
                    <w:t>明确</w:t>
                  </w:r>
                  <w:r>
                    <w:rPr>
                      <w:rFonts w:hint="default" w:ascii="Times New Roman" w:hAnsi="Times New Roman" w:eastAsia="宋体" w:cs="Times New Roman"/>
                      <w:color w:val="auto"/>
                      <w:spacing w:val="0"/>
                      <w:kern w:val="2"/>
                      <w:position w:val="0"/>
                      <w:sz w:val="21"/>
                      <w:szCs w:val="21"/>
                      <w:lang w:val="en-US" w:eastAsia="zh-CN" w:bidi="ar-SA"/>
                    </w:rPr>
                    <w:t>固体废物属性，</w:t>
                  </w:r>
                  <w:r>
                    <w:rPr>
                      <w:rFonts w:hint="default" w:ascii="Times New Roman" w:hAnsi="Times New Roman" w:eastAsia="宋体" w:cs="Times New Roman"/>
                      <w:color w:val="auto"/>
                      <w:spacing w:val="0"/>
                      <w:kern w:val="2"/>
                      <w:position w:val="0"/>
                      <w:sz w:val="21"/>
                      <w:szCs w:val="21"/>
                      <w:lang w:val="en-US" w:eastAsia="en-US" w:bidi="ar-SA"/>
                    </w:rPr>
                    <w:t>如实记录一般工业固体废物</w:t>
                  </w:r>
                  <w:r>
                    <w:rPr>
                      <w:rFonts w:hint="default" w:ascii="Times New Roman" w:hAnsi="Times New Roman" w:eastAsia="宋体" w:cs="Times New Roman"/>
                      <w:color w:val="auto"/>
                      <w:spacing w:val="0"/>
                      <w:kern w:val="2"/>
                      <w:position w:val="0"/>
                      <w:sz w:val="21"/>
                      <w:szCs w:val="21"/>
                      <w:lang w:val="en-US" w:eastAsia="zh-CN" w:bidi="ar-SA"/>
                    </w:rPr>
                    <w:t>种类、数量、流向、贮存、利用、处置等信息。</w:t>
                  </w:r>
                </w:p>
              </w:tc>
              <w:tc>
                <w:tcPr>
                  <w:tcW w:w="0" w:type="auto"/>
                  <w:tcBorders>
                    <w:tl2br w:val="nil"/>
                    <w:tr2bl w:val="nil"/>
                  </w:tcBorders>
                  <w:vAlign w:val="center"/>
                </w:tcPr>
                <w:p w14:paraId="6E163362">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1ADE13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36A695BD">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eastAsia="zh-CN"/>
                    </w:rPr>
                  </w:pPr>
                </w:p>
              </w:tc>
              <w:tc>
                <w:tcPr>
                  <w:tcW w:w="4400" w:type="dxa"/>
                  <w:tcBorders>
                    <w:tl2br w:val="nil"/>
                    <w:tr2bl w:val="nil"/>
                  </w:tcBorders>
                  <w:vAlign w:val="center"/>
                </w:tcPr>
                <w:p w14:paraId="69DA4CD5">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完善贮存设施建设</w:t>
                  </w:r>
                  <w:r>
                    <w:rPr>
                      <w:rFonts w:hint="default" w:ascii="Times New Roman" w:hAnsi="Times New Roman" w:eastAsia="宋体" w:cs="Times New Roman"/>
                      <w:color w:val="auto"/>
                      <w:spacing w:val="0"/>
                      <w:position w:val="0"/>
                      <w:sz w:val="21"/>
                      <w:szCs w:val="21"/>
                    </w:rPr>
                    <w:t>。一般工业固体废物产生、收集贮存、利用处置单位应建设满足防扬散、防流失、防渗漏或者其他防止污染环境措施要求的贮存设施，在显著位置设立符合《环境保护图形标志固体废物贮存</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处置</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场》</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GB15562.2</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要求的环境保护图形标志</w:t>
                  </w:r>
                  <w:r>
                    <w:rPr>
                      <w:rFonts w:hint="default" w:ascii="Times New Roman" w:hAnsi="Times New Roman" w:eastAsia="宋体" w:cs="Times New Roman"/>
                      <w:color w:val="auto"/>
                      <w:spacing w:val="0"/>
                      <w:position w:val="0"/>
                      <w:sz w:val="21"/>
                      <w:szCs w:val="21"/>
                      <w:lang w:eastAsia="zh-CN"/>
                    </w:rPr>
                    <w:t>。</w:t>
                  </w:r>
                </w:p>
              </w:tc>
              <w:tc>
                <w:tcPr>
                  <w:tcW w:w="2304" w:type="dxa"/>
                  <w:tcBorders>
                    <w:tl2br w:val="nil"/>
                    <w:tr2bl w:val="nil"/>
                  </w:tcBorders>
                  <w:shd w:val="clear" w:color="auto" w:fill="auto"/>
                  <w:vAlign w:val="center"/>
                </w:tcPr>
                <w:p w14:paraId="1F16AB5B">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kern w:val="2"/>
                      <w:position w:val="0"/>
                      <w:sz w:val="21"/>
                      <w:szCs w:val="21"/>
                      <w:lang w:val="en-US" w:eastAsia="en-US" w:bidi="ar-SA"/>
                    </w:rPr>
                    <w:t>一般工业固废</w:t>
                  </w:r>
                  <w:r>
                    <w:rPr>
                      <w:rFonts w:hint="default" w:ascii="Times New Roman" w:hAnsi="Times New Roman" w:eastAsia="宋体" w:cs="Times New Roman"/>
                      <w:color w:val="auto"/>
                      <w:spacing w:val="0"/>
                      <w:kern w:val="2"/>
                      <w:position w:val="0"/>
                      <w:sz w:val="21"/>
                      <w:szCs w:val="21"/>
                      <w:lang w:val="en-US" w:eastAsia="zh-CN" w:bidi="ar-SA"/>
                    </w:rPr>
                    <w:t>暂存场所及生产车间</w:t>
                  </w:r>
                  <w:r>
                    <w:rPr>
                      <w:rFonts w:hint="eastAsia"/>
                      <w:color w:val="auto"/>
                      <w:lang w:eastAsia="zh-CN"/>
                    </w:rPr>
                    <w:t>已按照</w:t>
                  </w:r>
                  <w:r>
                    <w:rPr>
                      <w:rFonts w:hint="default" w:ascii="Times New Roman" w:hAnsi="Times New Roman" w:eastAsia="宋体" w:cs="Times New Roman"/>
                      <w:color w:val="auto"/>
                      <w:spacing w:val="0"/>
                      <w:kern w:val="2"/>
                      <w:position w:val="0"/>
                      <w:sz w:val="21"/>
                      <w:szCs w:val="21"/>
                      <w:lang w:val="en-US" w:eastAsia="zh-CN" w:bidi="ar-SA"/>
                    </w:rPr>
                    <w:t>要求做好</w:t>
                  </w:r>
                  <w:r>
                    <w:rPr>
                      <w:rFonts w:hint="default" w:ascii="Times New Roman" w:hAnsi="Times New Roman" w:eastAsia="宋体" w:cs="Times New Roman"/>
                      <w:color w:val="auto"/>
                      <w:spacing w:val="0"/>
                      <w:kern w:val="2"/>
                      <w:position w:val="0"/>
                      <w:sz w:val="21"/>
                      <w:szCs w:val="21"/>
                      <w:lang w:val="en-US" w:eastAsia="en-US" w:bidi="ar-SA"/>
                    </w:rPr>
                    <w:t>相应防渗漏、防雨淋、防扬尘等</w:t>
                  </w:r>
                  <w:r>
                    <w:rPr>
                      <w:rFonts w:hint="default" w:ascii="Times New Roman" w:hAnsi="Times New Roman" w:eastAsia="宋体" w:cs="Times New Roman"/>
                      <w:color w:val="auto"/>
                      <w:spacing w:val="0"/>
                      <w:kern w:val="2"/>
                      <w:position w:val="0"/>
                      <w:sz w:val="21"/>
                      <w:szCs w:val="21"/>
                      <w:lang w:val="en-US" w:eastAsia="zh-CN" w:bidi="ar-SA"/>
                    </w:rPr>
                    <w:t>措施，严格按照</w:t>
                  </w:r>
                  <w:r>
                    <w:rPr>
                      <w:rFonts w:hint="default" w:ascii="Times New Roman" w:hAnsi="Times New Roman" w:eastAsia="宋体" w:cs="Times New Roman"/>
                      <w:color w:val="auto"/>
                      <w:spacing w:val="0"/>
                      <w:kern w:val="2"/>
                      <w:position w:val="0"/>
                      <w:sz w:val="21"/>
                      <w:szCs w:val="21"/>
                      <w:lang w:val="en-US" w:eastAsia="en-US" w:bidi="ar-SA"/>
                    </w:rPr>
                    <w:t>《环境保护图形标志固体废物贮存</w:t>
                  </w:r>
                  <w:r>
                    <w:rPr>
                      <w:rFonts w:hint="eastAsia" w:cs="Times New Roman"/>
                      <w:color w:val="auto"/>
                      <w:spacing w:val="0"/>
                      <w:kern w:val="2"/>
                      <w:position w:val="0"/>
                      <w:sz w:val="21"/>
                      <w:szCs w:val="21"/>
                      <w:lang w:val="en-US" w:eastAsia="zh-CN" w:bidi="ar-SA"/>
                    </w:rPr>
                    <w:t>（</w:t>
                  </w:r>
                  <w:r>
                    <w:rPr>
                      <w:rFonts w:hint="default" w:ascii="Times New Roman" w:hAnsi="Times New Roman" w:eastAsia="宋体" w:cs="Times New Roman"/>
                      <w:color w:val="auto"/>
                      <w:spacing w:val="0"/>
                      <w:kern w:val="2"/>
                      <w:position w:val="0"/>
                      <w:sz w:val="21"/>
                      <w:szCs w:val="21"/>
                      <w:lang w:val="en-US" w:eastAsia="en-US" w:bidi="ar-SA"/>
                    </w:rPr>
                    <w:t>处置</w:t>
                  </w:r>
                  <w:r>
                    <w:rPr>
                      <w:rFonts w:hint="eastAsia" w:cs="Times New Roman"/>
                      <w:color w:val="auto"/>
                      <w:spacing w:val="0"/>
                      <w:kern w:val="2"/>
                      <w:position w:val="0"/>
                      <w:sz w:val="21"/>
                      <w:szCs w:val="21"/>
                      <w:lang w:val="en-US" w:eastAsia="zh-CN" w:bidi="ar-SA"/>
                    </w:rPr>
                    <w:t>）</w:t>
                  </w:r>
                  <w:r>
                    <w:rPr>
                      <w:rFonts w:hint="default" w:ascii="Times New Roman" w:hAnsi="Times New Roman" w:eastAsia="宋体" w:cs="Times New Roman"/>
                      <w:color w:val="auto"/>
                      <w:spacing w:val="0"/>
                      <w:kern w:val="2"/>
                      <w:position w:val="0"/>
                      <w:sz w:val="21"/>
                      <w:szCs w:val="21"/>
                      <w:lang w:val="en-US" w:eastAsia="en-US" w:bidi="ar-SA"/>
                    </w:rPr>
                    <w:t>场》</w:t>
                  </w:r>
                  <w:r>
                    <w:rPr>
                      <w:rFonts w:hint="eastAsia" w:cs="Times New Roman"/>
                      <w:color w:val="auto"/>
                      <w:spacing w:val="0"/>
                      <w:kern w:val="2"/>
                      <w:position w:val="0"/>
                      <w:sz w:val="21"/>
                      <w:szCs w:val="21"/>
                      <w:lang w:val="en-US" w:eastAsia="zh-CN" w:bidi="ar-SA"/>
                    </w:rPr>
                    <w:t>（</w:t>
                  </w:r>
                  <w:r>
                    <w:rPr>
                      <w:rFonts w:hint="default" w:ascii="Times New Roman" w:hAnsi="Times New Roman" w:eastAsia="宋体" w:cs="Times New Roman"/>
                      <w:color w:val="auto"/>
                      <w:spacing w:val="0"/>
                      <w:kern w:val="2"/>
                      <w:position w:val="0"/>
                      <w:sz w:val="21"/>
                      <w:szCs w:val="21"/>
                      <w:lang w:val="en-US" w:eastAsia="en-US" w:bidi="ar-SA"/>
                    </w:rPr>
                    <w:t>GB15562.2</w:t>
                  </w:r>
                  <w:r>
                    <w:rPr>
                      <w:rFonts w:hint="eastAsia" w:cs="Times New Roman"/>
                      <w:color w:val="auto"/>
                      <w:spacing w:val="0"/>
                      <w:kern w:val="2"/>
                      <w:position w:val="0"/>
                      <w:sz w:val="21"/>
                      <w:szCs w:val="21"/>
                      <w:lang w:val="en-US" w:eastAsia="zh-CN" w:bidi="ar-SA"/>
                    </w:rPr>
                    <w:t>）</w:t>
                  </w:r>
                  <w:r>
                    <w:rPr>
                      <w:rFonts w:hint="default" w:ascii="Times New Roman" w:hAnsi="Times New Roman" w:eastAsia="宋体" w:cs="Times New Roman"/>
                      <w:color w:val="auto"/>
                      <w:spacing w:val="0"/>
                      <w:kern w:val="2"/>
                      <w:position w:val="0"/>
                      <w:sz w:val="21"/>
                      <w:szCs w:val="21"/>
                      <w:lang w:val="en-US" w:eastAsia="en-US" w:bidi="ar-SA"/>
                    </w:rPr>
                    <w:t>要求</w:t>
                  </w:r>
                  <w:r>
                    <w:rPr>
                      <w:rFonts w:hint="default" w:ascii="Times New Roman" w:hAnsi="Times New Roman" w:eastAsia="宋体" w:cs="Times New Roman"/>
                      <w:color w:val="auto"/>
                      <w:spacing w:val="0"/>
                      <w:kern w:val="2"/>
                      <w:position w:val="0"/>
                      <w:sz w:val="21"/>
                      <w:szCs w:val="21"/>
                      <w:lang w:val="en-US" w:eastAsia="zh-CN" w:bidi="ar-SA"/>
                    </w:rPr>
                    <w:t>，树立</w:t>
                  </w:r>
                  <w:r>
                    <w:rPr>
                      <w:rFonts w:hint="default" w:ascii="Times New Roman" w:hAnsi="Times New Roman" w:eastAsia="宋体" w:cs="Times New Roman"/>
                      <w:color w:val="auto"/>
                      <w:spacing w:val="0"/>
                      <w:kern w:val="2"/>
                      <w:position w:val="0"/>
                      <w:sz w:val="21"/>
                      <w:szCs w:val="21"/>
                      <w:lang w:val="en-US" w:eastAsia="en-US" w:bidi="ar-SA"/>
                    </w:rPr>
                    <w:t>环境保护图形标志。</w:t>
                  </w:r>
                </w:p>
              </w:tc>
              <w:tc>
                <w:tcPr>
                  <w:tcW w:w="0" w:type="auto"/>
                  <w:tcBorders>
                    <w:tl2br w:val="nil"/>
                    <w:tr2bl w:val="nil"/>
                  </w:tcBorders>
                  <w:vAlign w:val="center"/>
                </w:tcPr>
                <w:p w14:paraId="329180A1">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7A2742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433F57EE">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eastAsia="zh-CN"/>
                    </w:rPr>
                  </w:pPr>
                </w:p>
              </w:tc>
              <w:tc>
                <w:tcPr>
                  <w:tcW w:w="4400" w:type="dxa"/>
                  <w:tcBorders>
                    <w:tl2br w:val="nil"/>
                    <w:tr2bl w:val="nil"/>
                  </w:tcBorders>
                  <w:shd w:val="clear" w:color="auto" w:fill="auto"/>
                  <w:vAlign w:val="center"/>
                </w:tcPr>
                <w:p w14:paraId="510DDDD0">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落实转运转移制度。产生单位委托运输、利用、处置一般工业固体废物的，要对受托方的主体资格和技术能力进行核实，依法签订书面合同，在合同中约定污染防治要求，并跟踪最终利用处置去向，严禁委托给无利用处置能力的单位和个人，收集单位应落实并跟踪最终利用处置去向。省内转移污泥要严格执行电子转运联单制度，转移其他一般工业固体废物的逐步执行。原则上污泥以设区市为范围就近利用处置。跨省转移贮存、处置一般工业固体废物的，严格执行审批程序。跨省转出利用一般工业固体废物的，执行备案流程，严禁未备先转。接受跨省移入利用一般工业固体废物的单位，应在接受前向属地生态环境部门提供种类、数量、贮存、利用处置等有关资料，防范污染二次转移。对</w:t>
                  </w:r>
                  <w:r>
                    <w:rPr>
                      <w:rFonts w:hint="eastAsia" w:ascii="Times New Roman" w:hAnsi="Times New Roman" w:cs="Times New Roman"/>
                      <w:color w:val="auto"/>
                      <w:spacing w:val="0"/>
                      <w:position w:val="0"/>
                      <w:sz w:val="21"/>
                      <w:szCs w:val="21"/>
                      <w:lang w:val="en-US" w:eastAsia="zh-CN"/>
                    </w:rPr>
                    <w:t>接收</w:t>
                  </w:r>
                  <w:r>
                    <w:rPr>
                      <w:rFonts w:hint="default" w:ascii="Times New Roman" w:hAnsi="Times New Roman" w:eastAsia="宋体" w:cs="Times New Roman"/>
                      <w:color w:val="auto"/>
                      <w:spacing w:val="0"/>
                      <w:position w:val="0"/>
                      <w:sz w:val="21"/>
                      <w:szCs w:val="21"/>
                      <w:lang w:val="en-US" w:eastAsia="zh-CN"/>
                    </w:rPr>
                    <w:t>的一般工业固体废物与合同约定内容不相符的，应予退回，同时向属地生态环境部门报告。</w:t>
                  </w:r>
                </w:p>
              </w:tc>
              <w:tc>
                <w:tcPr>
                  <w:tcW w:w="2304" w:type="dxa"/>
                  <w:tcBorders>
                    <w:tl2br w:val="nil"/>
                    <w:tr2bl w:val="nil"/>
                  </w:tcBorders>
                  <w:shd w:val="clear" w:color="auto" w:fill="auto"/>
                  <w:vAlign w:val="center"/>
                </w:tcPr>
                <w:p w14:paraId="51749FA1">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pacing w:val="0"/>
                      <w:kern w:val="2"/>
                      <w:position w:val="0"/>
                      <w:sz w:val="21"/>
                      <w:szCs w:val="21"/>
                      <w:lang w:val="en-US" w:eastAsia="zh-CN" w:bidi="ar-SA"/>
                    </w:rPr>
                    <w:t>与处置单位签订书面合同，对于与合同约定内容不相符的，将</w:t>
                  </w:r>
                  <w:r>
                    <w:rPr>
                      <w:rFonts w:hint="eastAsia" w:cs="Times New Roman"/>
                      <w:color w:val="auto"/>
                      <w:spacing w:val="0"/>
                      <w:kern w:val="2"/>
                      <w:position w:val="0"/>
                      <w:sz w:val="21"/>
                      <w:szCs w:val="21"/>
                      <w:lang w:val="en-US" w:eastAsia="zh-CN" w:bidi="ar-SA"/>
                    </w:rPr>
                    <w:t>予以</w:t>
                  </w:r>
                  <w:r>
                    <w:rPr>
                      <w:rFonts w:hint="default" w:ascii="Times New Roman" w:hAnsi="Times New Roman" w:eastAsia="宋体" w:cs="Times New Roman"/>
                      <w:color w:val="auto"/>
                      <w:spacing w:val="0"/>
                      <w:kern w:val="2"/>
                      <w:position w:val="0"/>
                      <w:sz w:val="21"/>
                      <w:szCs w:val="21"/>
                      <w:lang w:val="en-US" w:eastAsia="zh-CN" w:bidi="ar-SA"/>
                    </w:rPr>
                    <w:t>退回，同时向属地生态环境部门报告。</w:t>
                  </w:r>
                </w:p>
              </w:tc>
              <w:tc>
                <w:tcPr>
                  <w:tcW w:w="0" w:type="auto"/>
                  <w:tcBorders>
                    <w:tl2br w:val="nil"/>
                    <w:tr2bl w:val="nil"/>
                  </w:tcBorders>
                  <w:vAlign w:val="center"/>
                </w:tcPr>
                <w:p w14:paraId="2472B39D">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3C312C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3A7077FB">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eastAsia="zh-CN"/>
                    </w:rPr>
                  </w:pPr>
                </w:p>
              </w:tc>
              <w:tc>
                <w:tcPr>
                  <w:tcW w:w="4400" w:type="dxa"/>
                  <w:tcBorders>
                    <w:tl2br w:val="nil"/>
                    <w:tr2bl w:val="nil"/>
                  </w:tcBorders>
                  <w:shd w:val="clear" w:color="auto" w:fill="auto"/>
                  <w:vAlign w:val="center"/>
                </w:tcPr>
                <w:p w14:paraId="263B9B3F">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全面开展信息申报。排污许可中涉及一般工业固体废物的单位均应进入固废系统申报，污染源“一企一档”管理系统</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企业“环保脸谱”</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自动向相关单位及其属地生态环境部门推送提醒申报信息。无排污许可证或排污许可证未涉及固体废物，但实际涉及一般工业固体废物的，也可通过固废系统进行申报</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一般工业固体废物产生单位操作说明详见附件1</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。固废系统内单位分为产生单位和收集贮存利用处置单位。产生固体废物</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次生固体废物除外</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的单位属于产生单位，如还涉及收集、贮存、利用、处置活动的，可在业务下同时选择产生固体废物和收集、贮存、利用、处置固体废物。收集贮存利用处置单位不涉及固体废物产生</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次生固体废物除外</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。一般工业固体废物产生单位根据年产废量大于100吨</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含100吨</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、小于100吨且大于10吨</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含10吨</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、小于10吨分别按月度、季度和年度申报，涉及一般工业污泥产生的单位按月度申报。一般工业固体废物收集贮存利用处置单位按</w:t>
                  </w:r>
                  <w:r>
                    <w:rPr>
                      <w:rFonts w:hint="eastAsia" w:ascii="Times New Roman" w:hAnsi="Times New Roman" w:cs="Times New Roman"/>
                      <w:color w:val="auto"/>
                      <w:spacing w:val="0"/>
                      <w:position w:val="0"/>
                      <w:sz w:val="21"/>
                      <w:szCs w:val="21"/>
                      <w:lang w:eastAsia="zh-CN"/>
                    </w:rPr>
                    <w:t>月</w:t>
                  </w:r>
                  <w:r>
                    <w:rPr>
                      <w:rFonts w:hint="default" w:ascii="Times New Roman" w:hAnsi="Times New Roman" w:eastAsia="宋体" w:cs="Times New Roman"/>
                      <w:color w:val="auto"/>
                      <w:spacing w:val="0"/>
                      <w:position w:val="0"/>
                      <w:sz w:val="21"/>
                      <w:szCs w:val="21"/>
                    </w:rPr>
                    <w:t>申报</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涉及一般污泥收集贮存利用处置的单位按日申报。原通过江苏省危险废物动态管理系统申报的一般污泥产生和利用处置单位，要按固废系统要求继续申报，补充完善基本信息和一般污泥代码</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详见附件2</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。对未按要求申报的，固废系统自动限制电子转运联单功能。</w:t>
                  </w:r>
                </w:p>
              </w:tc>
              <w:tc>
                <w:tcPr>
                  <w:tcW w:w="2304" w:type="dxa"/>
                  <w:tcBorders>
                    <w:tl2br w:val="nil"/>
                    <w:tr2bl w:val="nil"/>
                  </w:tcBorders>
                  <w:shd w:val="clear" w:color="auto" w:fill="auto"/>
                  <w:vAlign w:val="center"/>
                </w:tcPr>
                <w:p w14:paraId="05DF267D">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z w:val="21"/>
                      <w:szCs w:val="21"/>
                      <w:lang w:eastAsia="zh-CN"/>
                    </w:rPr>
                    <w:t>扩建</w:t>
                  </w:r>
                  <w:r>
                    <w:rPr>
                      <w:rFonts w:hint="default" w:ascii="Times New Roman" w:hAnsi="Times New Roman" w:eastAsia="宋体" w:cs="Times New Roman"/>
                      <w:color w:val="auto"/>
                      <w:spacing w:val="0"/>
                      <w:position w:val="0"/>
                      <w:sz w:val="21"/>
                      <w:szCs w:val="21"/>
                      <w:lang w:val="en-US" w:eastAsia="zh-CN"/>
                    </w:rPr>
                    <w:t>项目将严格按照要求如实申报</w:t>
                  </w:r>
                  <w:r>
                    <w:rPr>
                      <w:rFonts w:hint="default" w:ascii="Times New Roman" w:hAnsi="Times New Roman" w:eastAsia="宋体" w:cs="Times New Roman"/>
                      <w:color w:val="auto"/>
                      <w:spacing w:val="0"/>
                      <w:position w:val="0"/>
                      <w:sz w:val="21"/>
                      <w:szCs w:val="21"/>
                    </w:rPr>
                    <w:t>“一企一档”管理系统</w:t>
                  </w:r>
                  <w:r>
                    <w:rPr>
                      <w:rFonts w:hint="eastAsia"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企业“环保脸谱”</w:t>
                  </w:r>
                  <w:r>
                    <w:rPr>
                      <w:rFonts w:hint="eastAsia"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lang w:val="en-US" w:eastAsia="zh-CN"/>
                    </w:rPr>
                    <w:t>信息。</w:t>
                  </w:r>
                </w:p>
              </w:tc>
              <w:tc>
                <w:tcPr>
                  <w:tcW w:w="0" w:type="auto"/>
                  <w:tcBorders>
                    <w:tl2br w:val="nil"/>
                    <w:tr2bl w:val="nil"/>
                  </w:tcBorders>
                  <w:vAlign w:val="center"/>
                </w:tcPr>
                <w:p w14:paraId="2E00766E">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bl>
          <w:p w14:paraId="4F5C3601">
            <w:pPr>
              <w:widowControl/>
              <w:adjustRightInd w:val="0"/>
              <w:snapToGrid w:val="0"/>
              <w:spacing w:line="360" w:lineRule="auto"/>
              <w:ind w:firstLine="480" w:firstLineChars="200"/>
              <w:rPr>
                <w:rFonts w:hint="eastAsia" w:cs="Times New Roman" w:hAnsiTheme="minorEastAsia" w:eastAsiaTheme="minorEastAsia"/>
                <w:color w:val="auto"/>
                <w:sz w:val="24"/>
                <w:lang w:eastAsia="zh-CN"/>
              </w:rPr>
            </w:pPr>
            <w:r>
              <w:rPr>
                <w:rFonts w:ascii="Times New Roman" w:cs="Times New Roman" w:hAnsiTheme="minorEastAsia" w:eastAsiaTheme="minorEastAsia"/>
                <w:color w:val="auto"/>
                <w:sz w:val="24"/>
              </w:rPr>
              <w:t>根据上表分析可知，</w:t>
            </w:r>
            <w:r>
              <w:rPr>
                <w:rFonts w:hint="eastAsia" w:cs="Times New Roman" w:hAnsiTheme="minorEastAsia" w:eastAsiaTheme="minorEastAsia"/>
                <w:color w:val="auto"/>
                <w:sz w:val="24"/>
                <w:lang w:eastAsia="zh-CN"/>
              </w:rPr>
              <w:t>扩建</w:t>
            </w:r>
            <w:r>
              <w:rPr>
                <w:rFonts w:hint="eastAsia" w:ascii="Times New Roman" w:cs="Times New Roman" w:hAnsiTheme="minorEastAsia" w:eastAsiaTheme="minorEastAsia"/>
                <w:color w:val="auto"/>
                <w:sz w:val="24"/>
              </w:rPr>
              <w:t>项目</w:t>
            </w:r>
            <w:r>
              <w:rPr>
                <w:rFonts w:ascii="Times New Roman" w:cs="Times New Roman" w:hAnsiTheme="minorEastAsia" w:eastAsiaTheme="minorEastAsia"/>
                <w:color w:val="auto"/>
                <w:sz w:val="24"/>
              </w:rPr>
              <w:t>与对照</w:t>
            </w:r>
            <w:r>
              <w:rPr>
                <w:rFonts w:hint="default" w:ascii="Times New Roman" w:cs="Times New Roman" w:hAnsiTheme="minorEastAsia" w:eastAsiaTheme="minorEastAsia"/>
                <w:color w:val="auto"/>
                <w:sz w:val="24"/>
              </w:rPr>
              <w:t>苏环办</w:t>
            </w:r>
            <w:r>
              <w:rPr>
                <w:rFonts w:hint="eastAsia" w:cs="Times New Roman" w:hAnsiTheme="minorEastAsia" w:eastAsiaTheme="minorEastAsia"/>
                <w:color w:val="auto"/>
                <w:sz w:val="24"/>
                <w:lang w:eastAsia="zh-CN"/>
              </w:rPr>
              <w:t>〔2023〕154号</w:t>
            </w:r>
            <w:r>
              <w:rPr>
                <w:rFonts w:hint="default" w:ascii="Times New Roman" w:cs="Times New Roman" w:hAnsiTheme="minorEastAsia" w:eastAsiaTheme="minorEastAsia"/>
                <w:color w:val="auto"/>
                <w:sz w:val="24"/>
              </w:rPr>
              <w:t>省生态环境厅关于做好《危险废物贮存污染控制标准》等标准规范实施后危险废物环境管理衔接工作的通知</w:t>
            </w:r>
            <w:r>
              <w:rPr>
                <w:rFonts w:hint="eastAsia" w:ascii="Times New Roman" w:cs="Times New Roman" w:hAnsiTheme="minorEastAsia" w:eastAsiaTheme="minorEastAsia"/>
                <w:color w:val="auto"/>
                <w:sz w:val="24"/>
                <w:lang w:eastAsia="zh-CN"/>
              </w:rPr>
              <w:t>，</w:t>
            </w:r>
            <w:r>
              <w:rPr>
                <w:rFonts w:hint="default" w:ascii="Times New Roman" w:cs="Times New Roman" w:hAnsiTheme="minorEastAsia" w:eastAsiaTheme="minorEastAsia"/>
                <w:color w:val="auto"/>
                <w:sz w:val="24"/>
              </w:rPr>
              <w:t>省生态环境厅关于印发《江苏省固体废物全过程环境监管工作意见》的通知苏环办</w:t>
            </w:r>
            <w:r>
              <w:rPr>
                <w:rFonts w:hint="eastAsia" w:cs="Times New Roman" w:hAnsiTheme="minorEastAsia" w:eastAsiaTheme="minorEastAsia"/>
                <w:color w:val="auto"/>
                <w:sz w:val="24"/>
                <w:lang w:eastAsia="zh-CN"/>
              </w:rPr>
              <w:t>〔2024〕16号</w:t>
            </w:r>
            <w:r>
              <w:rPr>
                <w:rFonts w:hint="default" w:ascii="Times New Roman" w:cs="Times New Roman" w:hAnsiTheme="minorEastAsia" w:eastAsiaTheme="minorEastAsia"/>
                <w:color w:val="auto"/>
                <w:sz w:val="24"/>
                <w:lang w:eastAsia="zh-CN"/>
              </w:rPr>
              <w:t>文</w:t>
            </w:r>
            <w:r>
              <w:rPr>
                <w:rFonts w:hint="eastAsia" w:ascii="Times New Roman" w:cs="Times New Roman" w:hAnsiTheme="minorEastAsia" w:eastAsiaTheme="minorEastAsia"/>
                <w:color w:val="auto"/>
                <w:sz w:val="24"/>
                <w:lang w:eastAsia="zh-CN"/>
              </w:rPr>
              <w:t>，</w:t>
            </w:r>
            <w:r>
              <w:rPr>
                <w:rFonts w:hint="default" w:ascii="Times New Roman" w:cs="Times New Roman" w:hAnsiTheme="minorEastAsia" w:eastAsiaTheme="minorEastAsia"/>
                <w:color w:val="auto"/>
                <w:sz w:val="24"/>
                <w:lang w:eastAsia="zh-CN"/>
              </w:rPr>
              <w:t>《江苏省固体废物全过程环境监管工作意见》的通知</w:t>
            </w:r>
            <w:r>
              <w:rPr>
                <w:rFonts w:hint="eastAsia" w:cs="Times New Roman" w:hAnsiTheme="minorEastAsia" w:eastAsiaTheme="minorEastAsia"/>
                <w:color w:val="auto"/>
                <w:sz w:val="24"/>
                <w:lang w:eastAsia="zh-CN"/>
              </w:rPr>
              <w:t>（</w:t>
            </w:r>
            <w:r>
              <w:rPr>
                <w:rFonts w:hint="default" w:ascii="Times New Roman" w:cs="Times New Roman" w:hAnsiTheme="minorEastAsia" w:eastAsiaTheme="minorEastAsia"/>
                <w:color w:val="auto"/>
                <w:sz w:val="24"/>
                <w:lang w:eastAsia="zh-CN"/>
              </w:rPr>
              <w:t>苏环办</w:t>
            </w:r>
            <w:r>
              <w:rPr>
                <w:rFonts w:hint="eastAsia" w:cs="Times New Roman" w:hAnsiTheme="minorEastAsia" w:eastAsiaTheme="minorEastAsia"/>
                <w:color w:val="auto"/>
                <w:sz w:val="24"/>
                <w:lang w:eastAsia="zh-CN"/>
              </w:rPr>
              <w:t>〔2024〕16号）</w:t>
            </w:r>
            <w:r>
              <w:rPr>
                <w:rFonts w:hint="eastAsia" w:ascii="Times New Roman" w:cs="Times New Roman" w:hAnsiTheme="minorEastAsia" w:eastAsiaTheme="minorEastAsia"/>
                <w:color w:val="auto"/>
                <w:sz w:val="24"/>
                <w:lang w:eastAsia="zh-CN"/>
              </w:rPr>
              <w:t>文</w:t>
            </w:r>
            <w:r>
              <w:rPr>
                <w:rFonts w:hint="eastAsia" w:cs="Times New Roman" w:hAnsiTheme="minorEastAsia" w:eastAsiaTheme="minorEastAsia"/>
                <w:color w:val="auto"/>
                <w:sz w:val="24"/>
                <w:lang w:eastAsia="zh-CN"/>
              </w:rPr>
              <w:t>件与</w:t>
            </w:r>
            <w:r>
              <w:rPr>
                <w:rFonts w:ascii="Times New Roman" w:cs="Times New Roman" w:hAnsiTheme="minorEastAsia" w:eastAsiaTheme="minorEastAsia"/>
                <w:color w:val="auto"/>
                <w:sz w:val="24"/>
              </w:rPr>
              <w:t>相关环保法规、指南中的相关要求是相符的</w:t>
            </w:r>
            <w:r>
              <w:rPr>
                <w:rFonts w:hint="eastAsia" w:cs="Times New Roman" w:hAnsiTheme="minorEastAsia" w:eastAsiaTheme="minorEastAsia"/>
                <w:color w:val="auto"/>
                <w:sz w:val="24"/>
                <w:lang w:eastAsia="zh-CN"/>
              </w:rPr>
              <w:t>。</w:t>
            </w:r>
          </w:p>
          <w:p w14:paraId="3F52145B">
            <w:pPr>
              <w:tabs>
                <w:tab w:val="left" w:pos="720"/>
              </w:tabs>
              <w:adjustRightInd w:val="0"/>
              <w:snapToGrid w:val="0"/>
              <w:spacing w:line="360" w:lineRule="auto"/>
              <w:ind w:firstLine="480" w:firstLineChars="200"/>
              <w:rPr>
                <w:rFonts w:hint="eastAsia" w:cs="Times New Roman" w:hAnsiTheme="minorEastAsia" w:eastAsiaTheme="minorEastAsia"/>
                <w:color w:val="auto"/>
                <w:sz w:val="24"/>
                <w:lang w:eastAsia="zh-CN"/>
              </w:rPr>
            </w:pPr>
            <w:r>
              <w:rPr>
                <w:bCs w:val="0"/>
                <w:color w:val="auto"/>
                <w:sz w:val="24"/>
              </w:rPr>
              <w:t>综上所述，</w:t>
            </w:r>
            <w:r>
              <w:rPr>
                <w:rFonts w:hint="eastAsia" w:cs="Times New Roman"/>
                <w:color w:val="auto"/>
                <w:sz w:val="21"/>
                <w:szCs w:val="21"/>
                <w:lang w:eastAsia="zh-CN"/>
              </w:rPr>
              <w:t>扩建</w:t>
            </w:r>
            <w:r>
              <w:rPr>
                <w:bCs w:val="0"/>
                <w:color w:val="auto"/>
                <w:sz w:val="24"/>
              </w:rPr>
              <w:t>项目符合当地</w:t>
            </w:r>
            <w:r>
              <w:rPr>
                <w:rFonts w:hint="default"/>
                <w:bCs w:val="0"/>
                <w:color w:val="auto"/>
                <w:sz w:val="24"/>
              </w:rPr>
              <w:t>流域政策、环保政策、行业政策</w:t>
            </w:r>
            <w:r>
              <w:rPr>
                <w:bCs w:val="0"/>
                <w:color w:val="auto"/>
                <w:sz w:val="24"/>
              </w:rPr>
              <w:t>。</w:t>
            </w:r>
          </w:p>
        </w:tc>
      </w:tr>
    </w:tbl>
    <w:p w14:paraId="793ADBC1">
      <w:pPr>
        <w:spacing w:line="360" w:lineRule="auto"/>
        <w:rPr>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C4BEB9D">
      <w:pPr>
        <w:pStyle w:val="29"/>
        <w:spacing w:before="0" w:beforeAutospacing="0" w:after="0" w:afterAutospacing="0"/>
        <w:jc w:val="center"/>
        <w:outlineLvl w:val="0"/>
        <w:rPr>
          <w:rFonts w:ascii="Times New Roman" w:hAnsi="Times New Roman"/>
          <w:b/>
          <w:snapToGrid w:val="0"/>
          <w:color w:val="auto"/>
          <w:sz w:val="30"/>
          <w:szCs w:val="30"/>
        </w:rPr>
      </w:pPr>
      <w:bookmarkStart w:id="9" w:name="_Toc7534"/>
      <w:r>
        <w:rPr>
          <w:rFonts w:ascii="Times New Roman"/>
          <w:b/>
          <w:snapToGrid w:val="0"/>
          <w:color w:val="auto"/>
          <w:sz w:val="30"/>
          <w:szCs w:val="30"/>
        </w:rPr>
        <w:t>二、建设项目工程分析</w:t>
      </w:r>
      <w:bookmarkEnd w:id="9"/>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635"/>
      </w:tblGrid>
      <w:tr w14:paraId="2AA56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885" w:hRule="atLeast"/>
          <w:jc w:val="center"/>
        </w:trPr>
        <w:tc>
          <w:tcPr>
            <w:tcW w:w="425" w:type="dxa"/>
            <w:vAlign w:val="center"/>
          </w:tcPr>
          <w:p w14:paraId="3C87304F">
            <w:pPr>
              <w:pStyle w:val="29"/>
              <w:adjustRightInd w:val="0"/>
              <w:snapToGrid w:val="0"/>
              <w:spacing w:before="0" w:beforeAutospacing="0" w:after="0" w:afterAutospacing="0"/>
              <w:jc w:val="center"/>
              <w:rPr>
                <w:rFonts w:ascii="Times New Roman" w:hAnsi="Times New Roman"/>
                <w:b/>
                <w:bCs/>
                <w:color w:val="auto"/>
                <w:sz w:val="21"/>
                <w:szCs w:val="21"/>
              </w:rPr>
            </w:pPr>
            <w:r>
              <w:rPr>
                <w:rFonts w:ascii="Times New Roman"/>
                <w:b/>
                <w:bCs/>
                <w:color w:val="auto"/>
                <w:sz w:val="21"/>
                <w:szCs w:val="21"/>
              </w:rPr>
              <w:t>建设内容</w:t>
            </w:r>
          </w:p>
        </w:tc>
        <w:tc>
          <w:tcPr>
            <w:tcW w:w="8635" w:type="dxa"/>
          </w:tcPr>
          <w:p w14:paraId="55CE222E">
            <w:pPr>
              <w:widowControl/>
              <w:adjustRightInd w:val="0"/>
              <w:snapToGrid w:val="0"/>
              <w:spacing w:line="360" w:lineRule="auto"/>
              <w:ind w:firstLine="482" w:firstLineChars="200"/>
              <w:jc w:val="left"/>
              <w:rPr>
                <w:b/>
                <w:color w:val="auto"/>
                <w:kern w:val="0"/>
                <w:sz w:val="24"/>
                <w:szCs w:val="20"/>
              </w:rPr>
            </w:pPr>
            <w:r>
              <w:rPr>
                <w:b/>
                <w:color w:val="auto"/>
                <w:kern w:val="0"/>
                <w:sz w:val="24"/>
                <w:szCs w:val="20"/>
              </w:rPr>
              <w:t>1.</w:t>
            </w:r>
            <w:r>
              <w:rPr>
                <w:rFonts w:hAnsi="宋体"/>
                <w:b/>
                <w:color w:val="auto"/>
                <w:kern w:val="0"/>
                <w:sz w:val="24"/>
                <w:szCs w:val="20"/>
              </w:rPr>
              <w:t>项目由来</w:t>
            </w:r>
          </w:p>
          <w:p w14:paraId="199078CE">
            <w:pPr>
              <w:spacing w:line="360" w:lineRule="auto"/>
              <w:ind w:firstLine="480" w:firstLineChars="200"/>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rPr>
              <w:t>盖世食品（江苏）有限公司成立于2021年4月29日，位于淮安市涟水县经济开发区涟水路</w:t>
            </w:r>
            <w:r>
              <w:rPr>
                <w:rFonts w:hint="default" w:ascii="Times New Roman" w:hAnsi="Times New Roman" w:eastAsia="宋体" w:cs="Times New Roman"/>
                <w:color w:val="auto"/>
                <w:sz w:val="24"/>
                <w:szCs w:val="24"/>
                <w:lang w:val="en-US" w:eastAsia="zh-CN"/>
              </w:rPr>
              <w:t>3号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shd w:val="clear" w:color="auto" w:fill="FFFFFF"/>
                <w:lang w:eastAsia="zh-CN"/>
              </w:rPr>
              <w:t>企业现有</w:t>
            </w:r>
            <w:r>
              <w:rPr>
                <w:rFonts w:hint="default" w:ascii="Times New Roman" w:hAnsi="Times New Roman" w:eastAsia="宋体" w:cs="Times New Roman"/>
                <w:color w:val="auto"/>
                <w:sz w:val="24"/>
                <w:szCs w:val="24"/>
                <w:shd w:val="clear" w:color="auto" w:fill="FFFFFF"/>
              </w:rPr>
              <w:t>年产1万吨加工食用菌及蔬菜等调味冷冻食品，于2021年9月10日</w:t>
            </w:r>
            <w:r>
              <w:rPr>
                <w:rFonts w:hint="default" w:ascii="Times New Roman" w:hAnsi="Times New Roman" w:eastAsia="宋体" w:cs="Times New Roman"/>
                <w:color w:val="auto"/>
                <w:sz w:val="24"/>
                <w:szCs w:val="24"/>
                <w:shd w:val="clear" w:color="auto" w:fill="FFFFFF"/>
                <w:lang w:eastAsia="zh-CN"/>
              </w:rPr>
              <w:t>取得淮安涟水生态环境局的批复意见（淮</w:t>
            </w:r>
            <w:bookmarkStart w:id="51" w:name="_GoBack"/>
            <w:r>
              <w:rPr>
                <w:rFonts w:hint="default" w:ascii="Times New Roman" w:hAnsi="Times New Roman" w:eastAsia="宋体" w:cs="Times New Roman"/>
                <w:color w:val="auto"/>
                <w:sz w:val="24"/>
                <w:szCs w:val="24"/>
                <w:shd w:val="clear" w:color="auto" w:fill="FFFFFF"/>
                <w:lang w:eastAsia="zh-CN"/>
              </w:rPr>
              <w:t>（</w:t>
            </w:r>
            <w:bookmarkEnd w:id="51"/>
            <w:r>
              <w:rPr>
                <w:rFonts w:hint="default" w:ascii="Times New Roman" w:hAnsi="Times New Roman" w:eastAsia="宋体" w:cs="Times New Roman"/>
                <w:color w:val="auto"/>
                <w:sz w:val="24"/>
                <w:szCs w:val="24"/>
                <w:shd w:val="clear" w:color="auto" w:fill="FFFFFF"/>
                <w:lang w:eastAsia="zh-CN"/>
              </w:rPr>
              <w:t>涟）环表复</w:t>
            </w:r>
            <w:r>
              <w:rPr>
                <w:rFonts w:hint="eastAsia" w:cs="Times New Roman"/>
                <w:color w:val="auto"/>
                <w:sz w:val="24"/>
                <w:szCs w:val="24"/>
                <w:shd w:val="clear" w:color="auto" w:fill="FFFFFF"/>
                <w:lang w:eastAsia="zh-CN"/>
              </w:rPr>
              <w:t>〔2021〕75号</w:t>
            </w:r>
            <w:r>
              <w:rPr>
                <w:rFonts w:hint="default" w:ascii="Times New Roman" w:hAnsi="Times New Roman" w:eastAsia="宋体" w:cs="Times New Roman"/>
                <w:color w:val="auto"/>
                <w:sz w:val="24"/>
                <w:szCs w:val="24"/>
                <w:shd w:val="clear" w:color="auto" w:fill="FFFFFF"/>
                <w:lang w:eastAsia="zh-CN"/>
              </w:rPr>
              <w:t>），此项目未建设。</w:t>
            </w:r>
            <w:r>
              <w:rPr>
                <w:rFonts w:hint="eastAsia" w:ascii="Times New Roman" w:hAnsi="Times New Roman" w:eastAsia="宋体" w:cs="Times New Roman"/>
                <w:color w:val="auto"/>
                <w:sz w:val="24"/>
                <w:szCs w:val="24"/>
                <w:shd w:val="clear" w:color="auto" w:fill="FFFFFF"/>
                <w:lang w:eastAsia="zh-CN"/>
              </w:rPr>
              <w:t>2022年3月由于公司自身上市及募资需求，更改备案（项目编码不变）后，产能增加至年产1.5万吨预制凉菜（产品仍为食用菌及蔬菜等调味冷冻食品），因此重新报批</w:t>
            </w:r>
            <w:r>
              <w:rPr>
                <w:rFonts w:hint="default" w:ascii="Times New Roman" w:hAnsi="Times New Roman" w:eastAsia="宋体" w:cs="Times New Roman"/>
                <w:color w:val="auto"/>
                <w:sz w:val="24"/>
                <w:szCs w:val="24"/>
                <w:shd w:val="clear" w:color="auto" w:fill="FFFFFF"/>
                <w:lang w:eastAsia="zh-CN"/>
              </w:rPr>
              <w:t>年产1.5万吨预</w:t>
            </w:r>
            <w:r>
              <w:rPr>
                <w:rFonts w:hint="default" w:ascii="Times New Roman" w:hAnsi="Times New Roman" w:eastAsia="宋体" w:cs="Times New Roman"/>
                <w:color w:val="auto"/>
                <w:sz w:val="24"/>
                <w:szCs w:val="24"/>
                <w:shd w:val="clear" w:color="auto" w:fill="FFFFFF"/>
              </w:rPr>
              <w:t>制凉菜智能制造（加工）项目、研发及检测中心建设项目，该项目于2022年4月13日取得淮安市</w:t>
            </w:r>
            <w:r>
              <w:rPr>
                <w:rFonts w:hint="eastAsia" w:cs="Times New Roman"/>
                <w:color w:val="auto"/>
                <w:sz w:val="24"/>
                <w:szCs w:val="24"/>
                <w:shd w:val="clear" w:color="auto" w:fill="FFFFFF"/>
                <w:lang w:eastAsia="zh-CN"/>
              </w:rPr>
              <w:t>涟水</w:t>
            </w:r>
            <w:r>
              <w:rPr>
                <w:rFonts w:hint="default" w:ascii="Times New Roman" w:hAnsi="Times New Roman" w:eastAsia="宋体" w:cs="Times New Roman"/>
                <w:color w:val="auto"/>
                <w:sz w:val="24"/>
                <w:szCs w:val="24"/>
                <w:shd w:val="clear" w:color="auto" w:fill="FFFFFF"/>
              </w:rPr>
              <w:t>生态环境局的环评批复（淮（涟）环表复〔2022〕24号）</w:t>
            </w:r>
            <w:r>
              <w:rPr>
                <w:rFonts w:hint="eastAsia"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于2022年7月11日开工建</w:t>
            </w:r>
            <w:r>
              <w:rPr>
                <w:rFonts w:hint="default"/>
                <w:color w:val="auto"/>
                <w:sz w:val="24"/>
              </w:rPr>
              <w:t>设，2023年7月进行排污许可申请，编号为91320826MA25WCN334001Q，2024年6月21日竣工</w:t>
            </w:r>
            <w:r>
              <w:rPr>
                <w:rFonts w:hint="default"/>
                <w:color w:val="auto"/>
                <w:sz w:val="24"/>
                <w:lang w:eastAsia="zh-CN"/>
              </w:rPr>
              <w:t>，</w:t>
            </w:r>
            <w:r>
              <w:rPr>
                <w:rFonts w:hint="default"/>
                <w:color w:val="auto"/>
                <w:sz w:val="24"/>
                <w:lang w:val="en-US" w:eastAsia="zh-CN"/>
              </w:rPr>
              <w:t>2025年5月完成验收。</w:t>
            </w:r>
            <w:r>
              <w:rPr>
                <w:rFonts w:hint="eastAsia"/>
                <w:color w:val="auto"/>
                <w:sz w:val="24"/>
                <w:lang w:val="en-US" w:eastAsia="zh-CN"/>
              </w:rPr>
              <w:t>2025年7月</w:t>
            </w:r>
            <w:r>
              <w:rPr>
                <w:rFonts w:hint="default"/>
                <w:color w:val="auto"/>
                <w:sz w:val="24"/>
              </w:rPr>
              <w:t>公司</w:t>
            </w:r>
            <w:r>
              <w:rPr>
                <w:color w:val="auto"/>
                <w:sz w:val="24"/>
                <w:lang w:val="en-US" w:eastAsia="zh-CN"/>
              </w:rPr>
              <w:t>利用公司原有</w:t>
            </w:r>
            <w:r>
              <w:rPr>
                <w:rFonts w:hint="eastAsia"/>
                <w:color w:val="auto"/>
                <w:sz w:val="24"/>
                <w:lang w:val="en-US" w:eastAsia="zh-CN"/>
              </w:rPr>
              <w:t>预留</w:t>
            </w:r>
            <w:r>
              <w:rPr>
                <w:color w:val="auto"/>
                <w:sz w:val="24"/>
                <w:lang w:val="en-US" w:eastAsia="zh-CN"/>
              </w:rPr>
              <w:t>23亩</w:t>
            </w:r>
            <w:r>
              <w:rPr>
                <w:rFonts w:hint="eastAsia"/>
                <w:color w:val="auto"/>
                <w:sz w:val="24"/>
                <w:lang w:val="en-US" w:eastAsia="zh-CN"/>
              </w:rPr>
              <w:t>空地</w:t>
            </w:r>
            <w:r>
              <w:rPr>
                <w:rFonts w:hint="default"/>
                <w:color w:val="auto"/>
                <w:sz w:val="24"/>
              </w:rPr>
              <w:t>进一步扩充业务生产能力，</w:t>
            </w:r>
            <w:r>
              <w:rPr>
                <w:rFonts w:hint="eastAsia"/>
                <w:color w:val="auto"/>
                <w:sz w:val="24"/>
                <w:lang w:eastAsia="zh-CN"/>
              </w:rPr>
              <w:t>计划在二期预留空地</w:t>
            </w:r>
            <w:r>
              <w:rPr>
                <w:rFonts w:hint="default"/>
                <w:color w:val="auto"/>
                <w:sz w:val="24"/>
              </w:rPr>
              <w:t>建设年产</w:t>
            </w:r>
            <w:r>
              <w:rPr>
                <w:rFonts w:hint="default"/>
                <w:color w:val="auto"/>
                <w:sz w:val="24"/>
                <w:lang w:val="en-US" w:eastAsia="zh-CN"/>
              </w:rPr>
              <w:t>7</w:t>
            </w:r>
            <w:r>
              <w:rPr>
                <w:rFonts w:hint="default"/>
                <w:color w:val="auto"/>
                <w:sz w:val="24"/>
              </w:rPr>
              <w:t>000吨预制水产及肉类智能制造建设项目</w:t>
            </w:r>
            <w:r>
              <w:rPr>
                <w:rFonts w:hint="eastAsia"/>
                <w:color w:val="auto"/>
                <w:sz w:val="24"/>
                <w:lang w:eastAsia="zh-CN"/>
              </w:rPr>
              <w:t>，</w:t>
            </w:r>
            <w:r>
              <w:rPr>
                <w:rFonts w:hint="default" w:ascii="Times New Roman" w:hAnsi="Times New Roman" w:eastAsia="宋体" w:cs="Times New Roman"/>
                <w:color w:val="auto"/>
                <w:sz w:val="24"/>
                <w:szCs w:val="24"/>
              </w:rPr>
              <w:t>该项目已在江苏涟水经济开发区管理委员会备案涟区开发备</w:t>
            </w:r>
            <w:r>
              <w:rPr>
                <w:rFonts w:hint="eastAsia" w:cs="Times New Roman"/>
                <w:color w:val="auto"/>
                <w:sz w:val="24"/>
                <w:szCs w:val="24"/>
                <w:lang w:eastAsia="zh-CN"/>
              </w:rPr>
              <w:t>〔2025〕91号</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2025年7月25日</w:t>
            </w:r>
            <w:r>
              <w:rPr>
                <w:rFonts w:hint="default" w:ascii="Times New Roman" w:hAnsi="Times New Roman" w:eastAsia="宋体" w:cs="Times New Roman"/>
                <w:color w:val="auto"/>
                <w:sz w:val="24"/>
                <w:szCs w:val="24"/>
                <w:shd w:val="clear" w:color="auto" w:fill="FFFFFF"/>
              </w:rPr>
              <w:t>取得淮安市生态环境局的环评批复（淮（涟）环表复〔202</w:t>
            </w:r>
            <w:r>
              <w:rPr>
                <w:rFonts w:hint="eastAsia" w:cs="Times New Roman"/>
                <w:color w:val="auto"/>
                <w:sz w:val="24"/>
                <w:szCs w:val="24"/>
                <w:shd w:val="clear" w:color="auto" w:fill="FFFFFF"/>
                <w:lang w:val="en-US" w:eastAsia="zh-CN"/>
              </w:rPr>
              <w:t>5</w:t>
            </w:r>
            <w:r>
              <w:rPr>
                <w:rFonts w:hint="default" w:ascii="Times New Roman" w:hAnsi="Times New Roman" w:eastAsia="宋体" w:cs="Times New Roman"/>
                <w:color w:val="auto"/>
                <w:sz w:val="24"/>
                <w:szCs w:val="24"/>
                <w:shd w:val="clear" w:color="auto" w:fill="FFFFFF"/>
              </w:rPr>
              <w:t>〕</w:t>
            </w:r>
            <w:r>
              <w:rPr>
                <w:rFonts w:hint="eastAsia" w:cs="Times New Roman"/>
                <w:color w:val="auto"/>
                <w:sz w:val="24"/>
                <w:szCs w:val="24"/>
                <w:shd w:val="clear" w:color="auto" w:fill="FFFFFF"/>
                <w:lang w:val="en-US" w:eastAsia="zh-CN"/>
              </w:rPr>
              <w:t>38</w:t>
            </w:r>
            <w:r>
              <w:rPr>
                <w:rFonts w:hint="default" w:ascii="Times New Roman" w:hAnsi="Times New Roman" w:eastAsia="宋体" w:cs="Times New Roman"/>
                <w:color w:val="auto"/>
                <w:sz w:val="24"/>
                <w:szCs w:val="24"/>
                <w:shd w:val="clear" w:color="auto" w:fill="FFFFFF"/>
              </w:rPr>
              <w:t>号）</w:t>
            </w:r>
            <w:r>
              <w:rPr>
                <w:rFonts w:hint="eastAsia" w:ascii="Times New Roman" w:hAnsi="Times New Roman" w:eastAsia="宋体" w:cs="Times New Roman"/>
                <w:color w:val="auto"/>
                <w:sz w:val="24"/>
                <w:szCs w:val="24"/>
                <w:shd w:val="clear" w:color="auto" w:fill="FFFFFF"/>
                <w:lang w:eastAsia="zh-CN"/>
              </w:rPr>
              <w:t>，该二期</w:t>
            </w:r>
            <w:r>
              <w:rPr>
                <w:rFonts w:hint="eastAsia" w:cs="Times New Roman"/>
                <w:color w:val="auto"/>
                <w:sz w:val="24"/>
                <w:szCs w:val="24"/>
                <w:shd w:val="clear" w:color="auto" w:fill="FFFFFF"/>
                <w:lang w:val="en-US" w:eastAsia="zh-CN"/>
              </w:rPr>
              <w:t>未建设</w:t>
            </w:r>
            <w:r>
              <w:rPr>
                <w:rFonts w:hint="eastAsia" w:ascii="Times New Roman" w:hAnsi="Times New Roman" w:eastAsia="宋体" w:cs="Times New Roman"/>
                <w:color w:val="auto"/>
                <w:sz w:val="24"/>
                <w:szCs w:val="24"/>
                <w:shd w:val="clear" w:color="auto" w:fill="FFFFFF"/>
                <w:lang w:eastAsia="zh-CN"/>
              </w:rPr>
              <w:t>。</w:t>
            </w:r>
          </w:p>
          <w:p w14:paraId="14076989">
            <w:pPr>
              <w:spacing w:line="360" w:lineRule="auto"/>
              <w:ind w:firstLine="480" w:firstLineChars="200"/>
              <w:rPr>
                <w:rFonts w:hint="eastAsia" w:ascii="Times New Roman" w:hAnsi="Times New Roman" w:eastAsia="宋体" w:cs="Times New Roman"/>
                <w:color w:val="auto"/>
                <w:sz w:val="24"/>
                <w:szCs w:val="24"/>
                <w:shd w:val="clear" w:color="auto" w:fill="FFFFFF"/>
                <w:lang w:eastAsia="zh-CN"/>
              </w:rPr>
            </w:pPr>
            <w:r>
              <w:rPr>
                <w:rFonts w:hint="eastAsia" w:ascii="Times New Roman" w:hAnsi="Times New Roman" w:eastAsia="宋体" w:cs="Times New Roman"/>
                <w:color w:val="auto"/>
                <w:sz w:val="24"/>
                <w:szCs w:val="24"/>
                <w:shd w:val="clear" w:color="auto" w:fill="FFFFFF"/>
                <w:lang w:eastAsia="zh-CN"/>
              </w:rPr>
              <w:t>企业目前为进一步满足市场需要，在一期</w:t>
            </w:r>
            <w:r>
              <w:rPr>
                <w:rFonts w:hint="default" w:ascii="Times New Roman" w:hAnsi="Times New Roman" w:eastAsia="宋体" w:cs="Times New Roman"/>
                <w:color w:val="auto"/>
                <w:sz w:val="24"/>
                <w:szCs w:val="24"/>
                <w:shd w:val="clear" w:color="auto" w:fill="FFFFFF"/>
              </w:rPr>
              <w:t>1.5万吨预制凉菜智能制造（加工）项目、研发及检测中心建设项目</w:t>
            </w:r>
            <w:r>
              <w:rPr>
                <w:rFonts w:hint="eastAsia" w:ascii="Times New Roman" w:hAnsi="Times New Roman" w:eastAsia="宋体" w:cs="Times New Roman"/>
                <w:color w:val="auto"/>
                <w:sz w:val="24"/>
                <w:szCs w:val="24"/>
                <w:shd w:val="clear" w:color="auto" w:fill="FFFFFF"/>
                <w:lang w:eastAsia="zh-CN"/>
              </w:rPr>
              <w:t>厂房内的预留空</w:t>
            </w:r>
            <w:r>
              <w:rPr>
                <w:rFonts w:hint="eastAsia" w:cs="Times New Roman"/>
                <w:color w:val="auto"/>
                <w:sz w:val="24"/>
                <w:szCs w:val="24"/>
                <w:shd w:val="clear" w:color="auto" w:fill="FFFFFF"/>
                <w:lang w:eastAsia="zh-CN"/>
              </w:rPr>
              <w:t>车间</w:t>
            </w:r>
            <w:r>
              <w:rPr>
                <w:rFonts w:hint="eastAsia" w:ascii="Times New Roman" w:hAnsi="Times New Roman" w:eastAsia="宋体" w:cs="Times New Roman"/>
                <w:color w:val="auto"/>
                <w:sz w:val="24"/>
                <w:szCs w:val="24"/>
                <w:shd w:val="clear" w:color="auto" w:fill="FFFFFF"/>
                <w:lang w:eastAsia="zh-CN"/>
              </w:rPr>
              <w:t>，进行扩建年产3000吨调味鱼皮及其他预制水产品项目，该项目已于</w:t>
            </w:r>
            <w:r>
              <w:rPr>
                <w:rFonts w:hint="eastAsia" w:cs="Times New Roman"/>
                <w:color w:val="auto"/>
                <w:sz w:val="24"/>
                <w:szCs w:val="24"/>
                <w:shd w:val="clear" w:color="auto" w:fill="FFFFFF"/>
                <w:lang w:eastAsia="zh-CN"/>
              </w:rPr>
              <w:t>2025年7月30日</w:t>
            </w:r>
            <w:r>
              <w:rPr>
                <w:rFonts w:hint="default" w:ascii="Times New Roman" w:hAnsi="Times New Roman" w:eastAsia="宋体" w:cs="Times New Roman"/>
                <w:color w:val="auto"/>
                <w:sz w:val="24"/>
                <w:szCs w:val="24"/>
              </w:rPr>
              <w:t>江苏涟水经济开发区管理委员会备案涟区开发备</w:t>
            </w:r>
            <w:r>
              <w:rPr>
                <w:rFonts w:hint="eastAsia" w:cs="Times New Roman"/>
                <w:color w:val="auto"/>
                <w:sz w:val="24"/>
                <w:szCs w:val="24"/>
                <w:lang w:eastAsia="zh-CN"/>
              </w:rPr>
              <w:t>〔2025〕125号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该</w:t>
            </w:r>
            <w:r>
              <w:rPr>
                <w:rFonts w:hint="eastAsia" w:ascii="Times New Roman" w:hAnsi="Times New Roman" w:eastAsia="宋体" w:cs="Times New Roman"/>
                <w:color w:val="auto"/>
                <w:sz w:val="24"/>
                <w:szCs w:val="24"/>
                <w:shd w:val="clear" w:color="auto" w:fill="FFFFFF"/>
                <w:lang w:eastAsia="zh-CN"/>
              </w:rPr>
              <w:t>项目</w:t>
            </w:r>
            <w:r>
              <w:rPr>
                <w:rFonts w:hint="eastAsia" w:cs="Times New Roman"/>
                <w:color w:val="auto"/>
                <w:sz w:val="24"/>
                <w:szCs w:val="24"/>
                <w:shd w:val="clear" w:color="auto" w:fill="FFFFFF"/>
                <w:lang w:val="en-US" w:eastAsia="zh-CN"/>
              </w:rPr>
              <w:t>于2025年8月设备已进厂安装，属于未批先建，目前企业已主动将相关设备拆除，并及时补办环评手续，已将厂房恢复原状空厂房，拆除前后照片详见附件16。</w:t>
            </w:r>
          </w:p>
          <w:p w14:paraId="10E65F77">
            <w:pPr>
              <w:spacing w:line="360" w:lineRule="auto"/>
              <w:ind w:firstLine="480" w:firstLineChars="200"/>
              <w:rPr>
                <w:color w:val="auto"/>
                <w:sz w:val="24"/>
              </w:rPr>
            </w:pPr>
            <w:r>
              <w:rPr>
                <w:color w:val="auto"/>
                <w:sz w:val="24"/>
              </w:rPr>
              <w:t>根据《建设项目分类管理名录》（2021年版），如下表所示：</w:t>
            </w:r>
          </w:p>
          <w:p w14:paraId="3C43EAD6">
            <w:pPr>
              <w:spacing w:line="360" w:lineRule="auto"/>
              <w:ind w:firstLine="482" w:firstLineChars="200"/>
              <w:jc w:val="center"/>
              <w:rPr>
                <w:b/>
                <w:color w:val="auto"/>
                <w:sz w:val="24"/>
              </w:rPr>
            </w:pPr>
            <w:r>
              <w:rPr>
                <w:b/>
                <w:color w:val="auto"/>
                <w:sz w:val="24"/>
              </w:rPr>
              <w:t>表2-1  建设项目环境影响评价分类管理名录</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957"/>
              <w:gridCol w:w="1612"/>
              <w:gridCol w:w="1614"/>
              <w:gridCol w:w="946"/>
              <w:gridCol w:w="1783"/>
            </w:tblGrid>
            <w:tr w14:paraId="13250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dxa"/>
                  <w:gridSpan w:val="2"/>
                  <w:tcBorders>
                    <w:top w:val="single" w:color="auto" w:sz="12" w:space="0"/>
                    <w:bottom w:val="single" w:color="auto" w:sz="12" w:space="0"/>
                    <w:right w:val="single" w:color="auto" w:sz="4" w:space="0"/>
                    <w:tl2br w:val="single" w:color="auto" w:sz="4" w:space="0"/>
                  </w:tcBorders>
                  <w:vAlign w:val="center"/>
                </w:tcPr>
                <w:p w14:paraId="06C1CAD9">
                  <w:pPr>
                    <w:adjustRightInd w:val="0"/>
                    <w:snapToGrid w:val="0"/>
                    <w:jc w:val="right"/>
                    <w:rPr>
                      <w:b/>
                      <w:color w:val="auto"/>
                      <w:szCs w:val="21"/>
                    </w:rPr>
                  </w:pPr>
                  <w:r>
                    <w:rPr>
                      <w:b/>
                      <w:color w:val="auto"/>
                      <w:szCs w:val="21"/>
                    </w:rPr>
                    <w:t>环评类别</w:t>
                  </w:r>
                </w:p>
                <w:p w14:paraId="61E37464">
                  <w:pPr>
                    <w:adjustRightInd w:val="0"/>
                    <w:snapToGrid w:val="0"/>
                    <w:rPr>
                      <w:b/>
                      <w:color w:val="auto"/>
                      <w:szCs w:val="21"/>
                    </w:rPr>
                  </w:pPr>
                  <w:r>
                    <w:rPr>
                      <w:b/>
                      <w:color w:val="auto"/>
                      <w:szCs w:val="21"/>
                    </w:rPr>
                    <w:t>项目类别</w:t>
                  </w:r>
                </w:p>
              </w:tc>
              <w:tc>
                <w:tcPr>
                  <w:tcW w:w="1700" w:type="dxa"/>
                  <w:tcBorders>
                    <w:top w:val="single" w:color="auto" w:sz="12" w:space="0"/>
                    <w:left w:val="single" w:color="auto" w:sz="4" w:space="0"/>
                    <w:bottom w:val="single" w:color="auto" w:sz="12" w:space="0"/>
                    <w:right w:val="single" w:color="auto" w:sz="4" w:space="0"/>
                  </w:tcBorders>
                  <w:vAlign w:val="center"/>
                </w:tcPr>
                <w:p w14:paraId="413BDBC8">
                  <w:pPr>
                    <w:adjustRightInd w:val="0"/>
                    <w:snapToGrid w:val="0"/>
                    <w:jc w:val="center"/>
                    <w:rPr>
                      <w:b/>
                      <w:color w:val="auto"/>
                      <w:szCs w:val="21"/>
                    </w:rPr>
                  </w:pPr>
                  <w:r>
                    <w:rPr>
                      <w:b/>
                      <w:color w:val="auto"/>
                      <w:szCs w:val="21"/>
                    </w:rPr>
                    <w:t>报告书</w:t>
                  </w:r>
                </w:p>
              </w:tc>
              <w:tc>
                <w:tcPr>
                  <w:tcW w:w="1702" w:type="dxa"/>
                  <w:tcBorders>
                    <w:top w:val="single" w:color="auto" w:sz="12" w:space="0"/>
                    <w:left w:val="single" w:color="auto" w:sz="4" w:space="0"/>
                    <w:bottom w:val="single" w:color="auto" w:sz="12" w:space="0"/>
                    <w:right w:val="single" w:color="auto" w:sz="4" w:space="0"/>
                  </w:tcBorders>
                  <w:vAlign w:val="center"/>
                </w:tcPr>
                <w:p w14:paraId="4094BE9E">
                  <w:pPr>
                    <w:adjustRightInd w:val="0"/>
                    <w:snapToGrid w:val="0"/>
                    <w:jc w:val="center"/>
                    <w:rPr>
                      <w:b/>
                      <w:color w:val="auto"/>
                      <w:szCs w:val="21"/>
                    </w:rPr>
                  </w:pPr>
                  <w:r>
                    <w:rPr>
                      <w:b/>
                      <w:color w:val="auto"/>
                      <w:szCs w:val="21"/>
                    </w:rPr>
                    <w:t>报告表</w:t>
                  </w:r>
                </w:p>
              </w:tc>
              <w:tc>
                <w:tcPr>
                  <w:tcW w:w="992" w:type="dxa"/>
                  <w:tcBorders>
                    <w:top w:val="single" w:color="auto" w:sz="12" w:space="0"/>
                    <w:left w:val="single" w:color="auto" w:sz="4" w:space="0"/>
                    <w:bottom w:val="single" w:color="auto" w:sz="12" w:space="0"/>
                  </w:tcBorders>
                  <w:vAlign w:val="center"/>
                </w:tcPr>
                <w:p w14:paraId="12967D28">
                  <w:pPr>
                    <w:adjustRightInd w:val="0"/>
                    <w:snapToGrid w:val="0"/>
                    <w:jc w:val="center"/>
                    <w:rPr>
                      <w:b/>
                      <w:color w:val="auto"/>
                      <w:szCs w:val="21"/>
                    </w:rPr>
                  </w:pPr>
                  <w:r>
                    <w:rPr>
                      <w:b/>
                      <w:color w:val="auto"/>
                      <w:szCs w:val="21"/>
                    </w:rPr>
                    <w:t>登记表</w:t>
                  </w:r>
                </w:p>
              </w:tc>
              <w:tc>
                <w:tcPr>
                  <w:tcW w:w="1882" w:type="dxa"/>
                  <w:tcBorders>
                    <w:top w:val="single" w:color="auto" w:sz="12" w:space="0"/>
                    <w:left w:val="single" w:color="auto" w:sz="4" w:space="0"/>
                    <w:bottom w:val="single" w:color="auto" w:sz="12" w:space="0"/>
                  </w:tcBorders>
                  <w:vAlign w:val="center"/>
                </w:tcPr>
                <w:p w14:paraId="35B4EE0B">
                  <w:pPr>
                    <w:adjustRightInd w:val="0"/>
                    <w:snapToGrid w:val="0"/>
                    <w:jc w:val="center"/>
                    <w:rPr>
                      <w:b/>
                      <w:color w:val="auto"/>
                      <w:szCs w:val="21"/>
                    </w:rPr>
                  </w:pPr>
                  <w:r>
                    <w:rPr>
                      <w:b/>
                      <w:color w:val="auto"/>
                      <w:szCs w:val="21"/>
                    </w:rPr>
                    <w:t>本项目</w:t>
                  </w:r>
                </w:p>
              </w:tc>
            </w:tr>
            <w:tr w14:paraId="170BA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9" w:type="dxa"/>
                  <w:gridSpan w:val="6"/>
                  <w:tcBorders>
                    <w:top w:val="single" w:color="auto" w:sz="12" w:space="0"/>
                    <w:bottom w:val="single" w:color="auto" w:sz="4" w:space="0"/>
                  </w:tcBorders>
                  <w:vAlign w:val="center"/>
                </w:tcPr>
                <w:p w14:paraId="0BCE41FB">
                  <w:pPr>
                    <w:adjustRightInd w:val="0"/>
                    <w:snapToGrid w:val="0"/>
                    <w:rPr>
                      <w:color w:val="auto"/>
                      <w:szCs w:val="21"/>
                    </w:rPr>
                  </w:pPr>
                  <w:r>
                    <w:rPr>
                      <w:color w:val="auto"/>
                      <w:szCs w:val="21"/>
                    </w:rPr>
                    <w:t>十一、食品制造业14</w:t>
                  </w:r>
                </w:p>
              </w:tc>
            </w:tr>
            <w:tr w14:paraId="22515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dxa"/>
                  <w:tcBorders>
                    <w:top w:val="single" w:color="auto" w:sz="4" w:space="0"/>
                    <w:bottom w:val="single" w:color="auto" w:sz="12" w:space="0"/>
                  </w:tcBorders>
                  <w:vAlign w:val="center"/>
                </w:tcPr>
                <w:p w14:paraId="0594BF9A">
                  <w:pPr>
                    <w:adjustRightInd w:val="0"/>
                    <w:snapToGrid w:val="0"/>
                    <w:jc w:val="center"/>
                    <w:rPr>
                      <w:color w:val="auto"/>
                      <w:szCs w:val="21"/>
                    </w:rPr>
                  </w:pPr>
                  <w:r>
                    <w:rPr>
                      <w:color w:val="auto"/>
                      <w:szCs w:val="21"/>
                    </w:rPr>
                    <w:t>2</w:t>
                  </w:r>
                  <w:r>
                    <w:rPr>
                      <w:rFonts w:hint="eastAsia"/>
                      <w:color w:val="auto"/>
                      <w:szCs w:val="21"/>
                    </w:rPr>
                    <w:t>1</w:t>
                  </w:r>
                </w:p>
              </w:tc>
              <w:tc>
                <w:tcPr>
                  <w:tcW w:w="2067" w:type="dxa"/>
                  <w:tcBorders>
                    <w:top w:val="single" w:color="auto" w:sz="4" w:space="0"/>
                    <w:bottom w:val="single" w:color="auto" w:sz="12" w:space="0"/>
                  </w:tcBorders>
                  <w:vAlign w:val="center"/>
                </w:tcPr>
                <w:p w14:paraId="674522C3">
                  <w:pPr>
                    <w:adjustRightInd w:val="0"/>
                    <w:snapToGrid w:val="0"/>
                    <w:jc w:val="center"/>
                    <w:rPr>
                      <w:color w:val="auto"/>
                      <w:szCs w:val="21"/>
                    </w:rPr>
                  </w:pPr>
                  <w:r>
                    <w:rPr>
                      <w:rFonts w:hint="eastAsia"/>
                      <w:color w:val="auto"/>
                      <w:szCs w:val="21"/>
                    </w:rPr>
                    <w:t>方便食品制造</w:t>
                  </w:r>
                  <w:r>
                    <w:rPr>
                      <w:color w:val="auto"/>
                      <w:szCs w:val="21"/>
                    </w:rPr>
                    <w:t>143</w:t>
                  </w:r>
                </w:p>
              </w:tc>
              <w:tc>
                <w:tcPr>
                  <w:tcW w:w="1700" w:type="dxa"/>
                  <w:tcBorders>
                    <w:top w:val="single" w:color="auto" w:sz="4" w:space="0"/>
                    <w:bottom w:val="single" w:color="auto" w:sz="12" w:space="0"/>
                  </w:tcBorders>
                  <w:vAlign w:val="center"/>
                </w:tcPr>
                <w:p w14:paraId="674851CE">
                  <w:pPr>
                    <w:adjustRightInd w:val="0"/>
                    <w:snapToGrid w:val="0"/>
                    <w:jc w:val="center"/>
                    <w:rPr>
                      <w:color w:val="auto"/>
                      <w:szCs w:val="21"/>
                    </w:rPr>
                  </w:pPr>
                  <w:r>
                    <w:rPr>
                      <w:rFonts w:hint="eastAsia"/>
                      <w:color w:val="auto"/>
                      <w:szCs w:val="21"/>
                    </w:rPr>
                    <w:t>/</w:t>
                  </w:r>
                </w:p>
              </w:tc>
              <w:tc>
                <w:tcPr>
                  <w:tcW w:w="1702" w:type="dxa"/>
                  <w:tcBorders>
                    <w:top w:val="single" w:color="auto" w:sz="4" w:space="0"/>
                    <w:bottom w:val="single" w:color="auto" w:sz="12" w:space="0"/>
                  </w:tcBorders>
                  <w:shd w:val="clear" w:color="auto" w:fill="BFBFBF"/>
                  <w:vAlign w:val="center"/>
                </w:tcPr>
                <w:p w14:paraId="61D8511D">
                  <w:pPr>
                    <w:adjustRightInd w:val="0"/>
                    <w:snapToGrid w:val="0"/>
                    <w:jc w:val="center"/>
                    <w:rPr>
                      <w:color w:val="auto"/>
                      <w:szCs w:val="21"/>
                    </w:rPr>
                  </w:pPr>
                  <w:r>
                    <w:rPr>
                      <w:rFonts w:hint="eastAsia"/>
                      <w:color w:val="auto"/>
                      <w:szCs w:val="21"/>
                    </w:rPr>
                    <w:t>除单纯分装外</w:t>
                  </w:r>
                </w:p>
              </w:tc>
              <w:tc>
                <w:tcPr>
                  <w:tcW w:w="992" w:type="dxa"/>
                  <w:tcBorders>
                    <w:top w:val="single" w:color="auto" w:sz="4" w:space="0"/>
                    <w:bottom w:val="single" w:color="auto" w:sz="12" w:space="0"/>
                  </w:tcBorders>
                  <w:shd w:val="clear" w:color="auto" w:fill="auto"/>
                  <w:vAlign w:val="center"/>
                </w:tcPr>
                <w:p w14:paraId="0E062821">
                  <w:pPr>
                    <w:adjustRightInd w:val="0"/>
                    <w:snapToGrid w:val="0"/>
                    <w:jc w:val="center"/>
                    <w:rPr>
                      <w:color w:val="auto"/>
                      <w:szCs w:val="21"/>
                    </w:rPr>
                  </w:pPr>
                  <w:r>
                    <w:rPr>
                      <w:color w:val="auto"/>
                      <w:szCs w:val="21"/>
                    </w:rPr>
                    <w:t>/</w:t>
                  </w:r>
                </w:p>
              </w:tc>
              <w:tc>
                <w:tcPr>
                  <w:tcW w:w="1882" w:type="dxa"/>
                  <w:tcBorders>
                    <w:top w:val="single" w:color="auto" w:sz="4" w:space="0"/>
                    <w:bottom w:val="single" w:color="auto" w:sz="12" w:space="0"/>
                  </w:tcBorders>
                  <w:vAlign w:val="center"/>
                </w:tcPr>
                <w:p w14:paraId="48A3E5E5">
                  <w:pPr>
                    <w:adjustRightInd w:val="0"/>
                    <w:snapToGrid w:val="0"/>
                    <w:jc w:val="center"/>
                    <w:rPr>
                      <w:color w:val="auto"/>
                      <w:szCs w:val="21"/>
                    </w:rPr>
                  </w:pPr>
                  <w:r>
                    <w:rPr>
                      <w:color w:val="auto"/>
                      <w:szCs w:val="21"/>
                    </w:rPr>
                    <w:t>C1439</w:t>
                  </w:r>
                  <w:r>
                    <w:rPr>
                      <w:rFonts w:hint="eastAsia"/>
                      <w:color w:val="auto"/>
                      <w:szCs w:val="21"/>
                    </w:rPr>
                    <w:t>其他方便食品制造</w:t>
                  </w:r>
                </w:p>
              </w:tc>
            </w:tr>
          </w:tbl>
          <w:p w14:paraId="7D3A405A">
            <w:pPr>
              <w:spacing w:line="360" w:lineRule="auto"/>
              <w:ind w:firstLine="480" w:firstLineChars="200"/>
              <w:rPr>
                <w:color w:val="auto"/>
                <w:sz w:val="24"/>
              </w:rPr>
            </w:pPr>
            <w:r>
              <w:rPr>
                <w:color w:val="auto"/>
                <w:sz w:val="24"/>
              </w:rPr>
              <w:t>本项目产品为</w:t>
            </w:r>
            <w:r>
              <w:rPr>
                <w:rFonts w:hint="eastAsia" w:ascii="Times New Roman" w:hAnsi="Times New Roman" w:eastAsia="宋体" w:cs="Times New Roman"/>
                <w:color w:val="auto"/>
                <w:sz w:val="24"/>
                <w:szCs w:val="24"/>
                <w:shd w:val="clear" w:color="auto" w:fill="FFFFFF"/>
                <w:lang w:eastAsia="zh-CN"/>
              </w:rPr>
              <w:t>调味鱼皮及其他预制水产品</w:t>
            </w:r>
            <w:r>
              <w:rPr>
                <w:color w:val="auto"/>
                <w:sz w:val="24"/>
              </w:rPr>
              <w:t>，</w:t>
            </w:r>
            <w:r>
              <w:rPr>
                <w:rFonts w:hint="eastAsia"/>
                <w:color w:val="auto"/>
                <w:sz w:val="24"/>
              </w:rPr>
              <w:t>需要</w:t>
            </w:r>
            <w:r>
              <w:rPr>
                <w:rFonts w:hint="eastAsia"/>
                <w:color w:val="auto"/>
                <w:sz w:val="24"/>
                <w:lang w:eastAsia="zh-CN"/>
              </w:rPr>
              <w:t>解冻、泡发、清洗、挑拣、漂烫、冷却、调味、检测、包装等工序</w:t>
            </w:r>
            <w:r>
              <w:rPr>
                <w:rFonts w:hint="eastAsia"/>
                <w:color w:val="auto"/>
                <w:sz w:val="24"/>
              </w:rPr>
              <w:t>，非单纯分装，</w:t>
            </w:r>
            <w:r>
              <w:rPr>
                <w:color w:val="auto"/>
                <w:sz w:val="24"/>
              </w:rPr>
              <w:t>根据上表分析，应当编制报告表。</w:t>
            </w:r>
          </w:p>
          <w:p w14:paraId="5E0DE512">
            <w:pPr>
              <w:spacing w:line="360" w:lineRule="auto"/>
              <w:ind w:firstLine="480" w:firstLineChars="200"/>
              <w:rPr>
                <w:color w:val="auto"/>
                <w:sz w:val="24"/>
              </w:rPr>
            </w:pPr>
            <w:r>
              <w:rPr>
                <w:color w:val="auto"/>
                <w:sz w:val="24"/>
              </w:rPr>
              <w:t>根据《中华人民共和国环境保护法</w:t>
            </w:r>
            <w:r>
              <w:rPr>
                <w:rFonts w:hint="eastAsia"/>
                <w:color w:val="auto"/>
                <w:sz w:val="24"/>
                <w:lang w:eastAsia="zh-CN"/>
              </w:rPr>
              <w:t>》《</w:t>
            </w:r>
            <w:r>
              <w:rPr>
                <w:color w:val="auto"/>
                <w:sz w:val="24"/>
              </w:rPr>
              <w:t>中华人民共和国环境影响评价法</w:t>
            </w:r>
            <w:r>
              <w:rPr>
                <w:rFonts w:hint="eastAsia"/>
                <w:color w:val="auto"/>
                <w:sz w:val="24"/>
                <w:lang w:eastAsia="zh-CN"/>
              </w:rPr>
              <w:t>》《</w:t>
            </w:r>
            <w:r>
              <w:rPr>
                <w:color w:val="auto"/>
                <w:sz w:val="24"/>
              </w:rPr>
              <w:t>建设项目环境保护管理条例》（国务院682号令）等文件的有关规定，应当在工程项目可行性研究阶段对该项目进行环境影响评价。为此，建设单位委托</w:t>
            </w:r>
            <w:r>
              <w:rPr>
                <w:rFonts w:hint="eastAsia"/>
                <w:color w:val="auto"/>
                <w:sz w:val="24"/>
                <w:lang w:eastAsia="zh-CN"/>
              </w:rPr>
              <w:t>淮安市天蓝环境科技有限公司</w:t>
            </w:r>
            <w:r>
              <w:rPr>
                <w:color w:val="auto"/>
                <w:sz w:val="24"/>
              </w:rPr>
              <w:t>承担该项目的环境影响报告的编制工作，环评单位接受委托后，认真研究该项目的有关材料，并进行实地踏勘、调研，收集和核实了有关材料，依据江苏省建设项目环境</w:t>
            </w:r>
            <w:r>
              <w:rPr>
                <w:rFonts w:hint="eastAsia"/>
                <w:color w:val="auto"/>
                <w:sz w:val="24"/>
              </w:rPr>
              <w:t>影响</w:t>
            </w:r>
            <w:r>
              <w:rPr>
                <w:color w:val="auto"/>
                <w:sz w:val="24"/>
              </w:rPr>
              <w:t>报告表主要内容编制要求编制了本环境影响报告表。</w:t>
            </w:r>
          </w:p>
          <w:p w14:paraId="08F12F1E">
            <w:pPr>
              <w:widowControl/>
              <w:adjustRightInd w:val="0"/>
              <w:snapToGrid w:val="0"/>
              <w:spacing w:line="360" w:lineRule="auto"/>
              <w:ind w:firstLine="482" w:firstLineChars="200"/>
              <w:jc w:val="left"/>
              <w:rPr>
                <w:rFonts w:hint="eastAsia" w:ascii="Times New Roman" w:hAnsi="Times New Roman" w:cs="Times New Roman"/>
                <w:b/>
                <w:color w:val="auto"/>
                <w:kern w:val="0"/>
                <w:sz w:val="24"/>
                <w:szCs w:val="20"/>
              </w:rPr>
            </w:pPr>
            <w:r>
              <w:rPr>
                <w:rFonts w:hint="eastAsia" w:ascii="Times New Roman" w:hAnsi="Times New Roman" w:cs="Times New Roman"/>
                <w:b/>
                <w:color w:val="auto"/>
                <w:kern w:val="0"/>
                <w:sz w:val="24"/>
                <w:szCs w:val="20"/>
              </w:rPr>
              <w:t>2.项目概况</w:t>
            </w:r>
          </w:p>
          <w:p w14:paraId="07D3C947">
            <w:pPr>
              <w:wordWrap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heme="minorEastAsia" w:hAnsiTheme="minorEastAsia" w:eastAsiaTheme="minorEastAsia" w:cstheme="minorEastAsia"/>
                <w:color w:val="auto"/>
                <w:sz w:val="24"/>
                <w:lang w:val="zh-CN"/>
              </w:rPr>
              <w:t>项目名称</w:t>
            </w:r>
            <w:r>
              <w:rPr>
                <w:rFonts w:hint="eastAsia" w:ascii="Times New Roman" w:hAnsi="Times New Roman" w:cs="Times New Roman"/>
                <w:color w:val="auto"/>
                <w:sz w:val="24"/>
                <w:lang w:val="zh-CN"/>
              </w:rPr>
              <w:t>：</w:t>
            </w:r>
            <w:r>
              <w:rPr>
                <w:rFonts w:hint="eastAsia" w:ascii="Times New Roman" w:hAnsi="Times New Roman" w:cs="Times New Roman"/>
                <w:color w:val="auto"/>
                <w:sz w:val="24"/>
                <w:szCs w:val="24"/>
              </w:rPr>
              <w:t>盖世食品</w:t>
            </w:r>
            <w:r>
              <w:rPr>
                <w:rFonts w:hint="eastAsia" w:cs="Times New Roman"/>
                <w:color w:val="auto"/>
                <w:sz w:val="24"/>
                <w:szCs w:val="24"/>
                <w:lang w:eastAsia="zh-CN"/>
              </w:rPr>
              <w:t>（</w:t>
            </w:r>
            <w:r>
              <w:rPr>
                <w:rFonts w:hint="eastAsia" w:ascii="Times New Roman" w:hAnsi="Times New Roman" w:cs="Times New Roman"/>
                <w:color w:val="auto"/>
                <w:sz w:val="24"/>
                <w:szCs w:val="24"/>
              </w:rPr>
              <w:t>江苏</w:t>
            </w:r>
            <w:r>
              <w:rPr>
                <w:rFonts w:hint="eastAsia" w:cs="Times New Roman"/>
                <w:color w:val="auto"/>
                <w:sz w:val="24"/>
                <w:szCs w:val="24"/>
                <w:lang w:eastAsia="zh-CN"/>
              </w:rPr>
              <w:t>）</w:t>
            </w:r>
            <w:r>
              <w:rPr>
                <w:rFonts w:hint="eastAsia" w:ascii="Times New Roman" w:hAnsi="Times New Roman" w:cs="Times New Roman"/>
                <w:color w:val="auto"/>
                <w:sz w:val="24"/>
                <w:szCs w:val="24"/>
              </w:rPr>
              <w:t>有限公司年产3000吨调味鱼皮及其他预制水产品</w:t>
            </w:r>
            <w:r>
              <w:rPr>
                <w:rFonts w:hint="eastAsia" w:cs="Times New Roman"/>
                <w:color w:val="auto"/>
                <w:sz w:val="24"/>
                <w:szCs w:val="24"/>
                <w:lang w:val="en-US" w:eastAsia="zh-CN"/>
              </w:rPr>
              <w:t>项目</w:t>
            </w:r>
          </w:p>
          <w:p w14:paraId="5E4371ED">
            <w:pPr>
              <w:wordWrap w:val="0"/>
              <w:spacing w:line="360" w:lineRule="auto"/>
              <w:ind w:firstLine="480" w:firstLineChars="200"/>
              <w:jc w:val="left"/>
              <w:rPr>
                <w:rFonts w:ascii="Times New Roman" w:hAnsi="Times New Roman" w:cs="Times New Roman"/>
                <w:color w:val="auto"/>
                <w:sz w:val="24"/>
                <w:szCs w:val="24"/>
                <w:lang w:val="zh-CN"/>
              </w:rPr>
            </w:pPr>
            <w:r>
              <w:rPr>
                <w:rFonts w:hint="eastAsia" w:ascii="Times New Roman" w:hAnsi="Times New Roman" w:cs="Times New Roman"/>
                <w:color w:val="auto"/>
                <w:sz w:val="24"/>
                <w:szCs w:val="24"/>
                <w:lang w:val="zh-CN"/>
              </w:rPr>
              <w:t>建设单位：</w:t>
            </w:r>
            <w:r>
              <w:rPr>
                <w:rFonts w:ascii="Times New Roman" w:hAnsi="Times New Roman" w:cs="Times New Roman"/>
                <w:color w:val="auto"/>
                <w:sz w:val="24"/>
                <w:szCs w:val="24"/>
              </w:rPr>
              <w:t>盖世食品（江苏）有限公司</w:t>
            </w:r>
          </w:p>
          <w:p w14:paraId="316A42E0">
            <w:pPr>
              <w:wordWrap w:val="0"/>
              <w:spacing w:line="360" w:lineRule="auto"/>
              <w:ind w:firstLine="480" w:firstLineChars="200"/>
              <w:jc w:val="left"/>
              <w:rPr>
                <w:color w:val="auto"/>
                <w:sz w:val="24"/>
                <w:szCs w:val="24"/>
                <w:lang w:val="zh-CN"/>
              </w:rPr>
            </w:pPr>
            <w:r>
              <w:rPr>
                <w:color w:val="auto"/>
                <w:sz w:val="24"/>
                <w:szCs w:val="24"/>
                <w:lang w:val="zh-CN"/>
              </w:rPr>
              <w:t>行业类别：</w:t>
            </w:r>
            <w:r>
              <w:rPr>
                <w:color w:val="auto"/>
                <w:sz w:val="24"/>
                <w:szCs w:val="24"/>
              </w:rPr>
              <w:t>C1439</w:t>
            </w:r>
            <w:r>
              <w:rPr>
                <w:rFonts w:hint="eastAsia"/>
                <w:color w:val="auto"/>
                <w:sz w:val="24"/>
                <w:szCs w:val="24"/>
              </w:rPr>
              <w:t>其他方便食品制造</w:t>
            </w:r>
          </w:p>
          <w:p w14:paraId="5C20E069">
            <w:pPr>
              <w:wordWrap w:val="0"/>
              <w:spacing w:line="360" w:lineRule="auto"/>
              <w:ind w:firstLine="480" w:firstLineChars="200"/>
              <w:jc w:val="left"/>
              <w:rPr>
                <w:rFonts w:hint="eastAsia" w:ascii="Times New Roman" w:hAnsi="Times New Roman" w:cs="Times New Roman"/>
                <w:color w:val="auto"/>
                <w:sz w:val="24"/>
                <w:szCs w:val="24"/>
                <w:lang w:val="zh-CN" w:eastAsia="zh-CN"/>
              </w:rPr>
            </w:pPr>
            <w:r>
              <w:rPr>
                <w:color w:val="auto"/>
                <w:sz w:val="24"/>
                <w:szCs w:val="24"/>
                <w:lang w:val="zh-CN"/>
              </w:rPr>
              <w:t>建设地点：</w:t>
            </w:r>
            <w:r>
              <w:rPr>
                <w:rFonts w:hint="eastAsia" w:cs="Times New Roman"/>
                <w:color w:val="auto"/>
                <w:sz w:val="24"/>
                <w:szCs w:val="24"/>
                <w:lang w:val="en-US" w:eastAsia="zh-CN"/>
              </w:rPr>
              <w:t>江苏涟水经济开发区涟水路3号</w:t>
            </w:r>
          </w:p>
          <w:p w14:paraId="63DB04F9">
            <w:pPr>
              <w:wordWrap w:val="0"/>
              <w:spacing w:line="360" w:lineRule="auto"/>
              <w:ind w:firstLine="480" w:firstLineChars="200"/>
              <w:jc w:val="left"/>
              <w:rPr>
                <w:color w:val="auto"/>
                <w:sz w:val="24"/>
                <w:szCs w:val="24"/>
                <w:lang w:val="zh-CN"/>
              </w:rPr>
            </w:pPr>
            <w:r>
              <w:rPr>
                <w:color w:val="auto"/>
                <w:sz w:val="24"/>
                <w:szCs w:val="24"/>
                <w:lang w:val="zh-CN"/>
              </w:rPr>
              <w:t>投资总额：</w:t>
            </w:r>
            <w:r>
              <w:rPr>
                <w:rFonts w:hint="eastAsia" w:cs="Times New Roman"/>
                <w:b w:val="0"/>
                <w:bCs/>
                <w:color w:val="auto"/>
                <w:sz w:val="24"/>
                <w:szCs w:val="24"/>
                <w:lang w:val="en-US" w:eastAsia="zh-CN"/>
              </w:rPr>
              <w:t>1800</w:t>
            </w:r>
            <w:r>
              <w:rPr>
                <w:color w:val="auto"/>
                <w:sz w:val="24"/>
                <w:szCs w:val="24"/>
                <w:lang w:val="zh-CN"/>
              </w:rPr>
              <w:t>万元</w:t>
            </w:r>
            <w:r>
              <w:rPr>
                <w:rFonts w:hint="eastAsia"/>
                <w:color w:val="auto"/>
                <w:sz w:val="24"/>
                <w:szCs w:val="24"/>
                <w:lang w:val="zh-CN"/>
              </w:rPr>
              <w:t>，其中环保投资</w:t>
            </w:r>
            <w:r>
              <w:rPr>
                <w:rFonts w:hint="eastAsia"/>
                <w:color w:val="auto"/>
                <w:sz w:val="24"/>
                <w:szCs w:val="24"/>
                <w:lang w:val="en-US" w:eastAsia="zh-CN"/>
              </w:rPr>
              <w:t>20</w:t>
            </w:r>
            <w:r>
              <w:rPr>
                <w:rFonts w:hint="eastAsia"/>
                <w:color w:val="auto"/>
                <w:sz w:val="24"/>
                <w:szCs w:val="24"/>
                <w:lang w:val="zh-CN"/>
              </w:rPr>
              <w:t>万元</w:t>
            </w:r>
          </w:p>
          <w:p w14:paraId="2A7C7E36">
            <w:pPr>
              <w:wordWrap w:val="0"/>
              <w:spacing w:line="360" w:lineRule="auto"/>
              <w:ind w:firstLine="480" w:firstLineChars="200"/>
              <w:jc w:val="left"/>
              <w:rPr>
                <w:rFonts w:hint="eastAsia" w:eastAsia="宋体"/>
                <w:color w:val="auto"/>
                <w:sz w:val="24"/>
                <w:szCs w:val="24"/>
                <w:lang w:eastAsia="zh-CN"/>
              </w:rPr>
            </w:pPr>
            <w:r>
              <w:rPr>
                <w:color w:val="auto"/>
                <w:sz w:val="24"/>
                <w:szCs w:val="24"/>
                <w:lang w:val="zh-CN"/>
              </w:rPr>
              <w:t>职工人数：</w:t>
            </w:r>
            <w:r>
              <w:rPr>
                <w:rFonts w:hint="eastAsia"/>
                <w:color w:val="auto"/>
                <w:sz w:val="24"/>
                <w:szCs w:val="24"/>
                <w:lang w:val="en-US" w:eastAsia="zh-CN"/>
              </w:rPr>
              <w:t>扩建</w:t>
            </w:r>
            <w:r>
              <w:rPr>
                <w:rFonts w:hint="eastAsia"/>
                <w:color w:val="auto"/>
                <w:sz w:val="24"/>
                <w:szCs w:val="24"/>
                <w:lang w:eastAsia="zh-CN"/>
              </w:rPr>
              <w:t>项目新增员工</w:t>
            </w:r>
            <w:r>
              <w:rPr>
                <w:rFonts w:hint="eastAsia"/>
                <w:color w:val="auto"/>
                <w:sz w:val="24"/>
                <w:szCs w:val="24"/>
                <w:lang w:val="en-US" w:eastAsia="zh-CN"/>
              </w:rPr>
              <w:t>20名</w:t>
            </w:r>
            <w:r>
              <w:rPr>
                <w:rFonts w:hint="eastAsia"/>
                <w:color w:val="auto"/>
                <w:sz w:val="24"/>
                <w:szCs w:val="24"/>
                <w:lang w:eastAsia="zh-CN"/>
              </w:rPr>
              <w:t>。</w:t>
            </w:r>
          </w:p>
          <w:p w14:paraId="2AED5F13">
            <w:pPr>
              <w:wordWrap w:val="0"/>
              <w:spacing w:line="360" w:lineRule="auto"/>
              <w:ind w:firstLine="480" w:firstLineChars="200"/>
              <w:jc w:val="left"/>
              <w:rPr>
                <w:color w:val="auto"/>
                <w:sz w:val="24"/>
                <w:szCs w:val="24"/>
              </w:rPr>
            </w:pPr>
            <w:r>
              <w:rPr>
                <w:color w:val="auto"/>
                <w:sz w:val="24"/>
                <w:szCs w:val="24"/>
                <w:lang w:val="zh-CN"/>
              </w:rPr>
              <w:t>工作制度：年工作300天，</w:t>
            </w:r>
            <w:r>
              <w:rPr>
                <w:rFonts w:hint="eastAsia"/>
                <w:color w:val="auto"/>
                <w:sz w:val="24"/>
                <w:szCs w:val="24"/>
                <w:lang w:val="zh-CN"/>
              </w:rPr>
              <w:t>每天</w:t>
            </w:r>
            <w:r>
              <w:rPr>
                <w:rFonts w:hint="eastAsia"/>
                <w:color w:val="auto"/>
                <w:sz w:val="24"/>
                <w:szCs w:val="24"/>
              </w:rPr>
              <w:t>8</w:t>
            </w:r>
            <w:r>
              <w:rPr>
                <w:color w:val="auto"/>
                <w:sz w:val="24"/>
                <w:szCs w:val="24"/>
                <w:lang w:val="zh-CN"/>
              </w:rPr>
              <w:t>小时</w:t>
            </w:r>
            <w:r>
              <w:rPr>
                <w:rFonts w:hint="eastAsia"/>
                <w:color w:val="auto"/>
                <w:sz w:val="24"/>
                <w:szCs w:val="24"/>
                <w:lang w:val="zh-CN"/>
              </w:rPr>
              <w:t>，年工作</w:t>
            </w:r>
            <w:r>
              <w:rPr>
                <w:rFonts w:hint="eastAsia"/>
                <w:color w:val="auto"/>
                <w:sz w:val="24"/>
                <w:szCs w:val="24"/>
                <w:lang w:val="en-US" w:eastAsia="zh-CN"/>
              </w:rPr>
              <w:t>2400</w:t>
            </w:r>
            <w:r>
              <w:rPr>
                <w:rFonts w:hint="eastAsia"/>
                <w:color w:val="auto"/>
                <w:sz w:val="24"/>
                <w:szCs w:val="24"/>
              </w:rPr>
              <w:t>小时。</w:t>
            </w:r>
          </w:p>
          <w:p w14:paraId="5ABD6B6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Ansi="宋体"/>
                <w:b/>
                <w:bCs/>
                <w:color w:val="auto"/>
                <w:sz w:val="24"/>
              </w:rPr>
            </w:pPr>
            <w:r>
              <w:rPr>
                <w:rFonts w:hint="eastAsia" w:hAnsi="宋体"/>
                <w:b/>
                <w:bCs/>
                <w:color w:val="auto"/>
                <w:sz w:val="24"/>
              </w:rPr>
              <w:t>3</w:t>
            </w:r>
            <w:r>
              <w:rPr>
                <w:rFonts w:hAnsi="宋体"/>
                <w:b/>
                <w:bCs/>
                <w:color w:val="auto"/>
                <w:sz w:val="24"/>
              </w:rPr>
              <w:t>.</w:t>
            </w:r>
            <w:r>
              <w:rPr>
                <w:rFonts w:hint="eastAsia" w:hAnsi="宋体"/>
                <w:b/>
                <w:bCs/>
                <w:color w:val="auto"/>
                <w:sz w:val="24"/>
              </w:rPr>
              <w:t>产品方案</w:t>
            </w:r>
          </w:p>
          <w:p w14:paraId="1212A8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rFonts w:hint="eastAsia" w:hAnsi="宋体"/>
                <w:color w:val="auto"/>
                <w:sz w:val="24"/>
                <w:lang w:eastAsia="zh-CN"/>
              </w:rPr>
              <w:t>扩建项目建成后</w:t>
            </w:r>
            <w:r>
              <w:rPr>
                <w:rFonts w:hint="eastAsia" w:hAnsi="宋体"/>
                <w:color w:val="auto"/>
                <w:sz w:val="24"/>
              </w:rPr>
              <w:t>全厂</w:t>
            </w:r>
            <w:r>
              <w:rPr>
                <w:rFonts w:hAnsi="宋体"/>
                <w:bCs/>
                <w:color w:val="auto"/>
                <w:sz w:val="24"/>
              </w:rPr>
              <w:t>产品方案见表</w:t>
            </w:r>
            <w:r>
              <w:rPr>
                <w:bCs/>
                <w:color w:val="auto"/>
                <w:sz w:val="24"/>
              </w:rPr>
              <w:t>2-2</w:t>
            </w:r>
            <w:r>
              <w:rPr>
                <w:rFonts w:hAnsi="宋体"/>
                <w:bCs/>
                <w:color w:val="auto"/>
                <w:sz w:val="24"/>
              </w:rPr>
              <w:t>。</w:t>
            </w:r>
          </w:p>
          <w:p w14:paraId="75094186">
            <w:pPr>
              <w:adjustRightInd w:val="0"/>
              <w:snapToGrid w:val="0"/>
              <w:jc w:val="center"/>
              <w:rPr>
                <w:b/>
                <w:color w:val="auto"/>
                <w:szCs w:val="21"/>
              </w:rPr>
            </w:pPr>
            <w:r>
              <w:rPr>
                <w:rFonts w:hAnsi="宋体"/>
                <w:b/>
                <w:color w:val="auto"/>
                <w:sz w:val="24"/>
              </w:rPr>
              <w:t>表</w:t>
            </w:r>
            <w:r>
              <w:rPr>
                <w:b/>
                <w:color w:val="auto"/>
                <w:sz w:val="24"/>
              </w:rPr>
              <w:t>2-2</w:t>
            </w:r>
            <w:r>
              <w:rPr>
                <w:rFonts w:hint="eastAsia" w:hAnsi="宋体"/>
                <w:b/>
                <w:color w:val="auto"/>
                <w:sz w:val="24"/>
              </w:rPr>
              <w:t>全厂</w:t>
            </w:r>
            <w:r>
              <w:rPr>
                <w:rFonts w:hAnsi="宋体"/>
                <w:b/>
                <w:color w:val="auto"/>
                <w:sz w:val="24"/>
              </w:rPr>
              <w:t>产品方案</w:t>
            </w:r>
            <w:r>
              <w:rPr>
                <w:rFonts w:hint="eastAsia" w:hAnsi="宋体"/>
                <w:b/>
                <w:color w:val="auto"/>
                <w:sz w:val="24"/>
              </w:rPr>
              <w:t>单位：t</w:t>
            </w:r>
            <w:r>
              <w:rPr>
                <w:rFonts w:hAnsi="宋体"/>
                <w:b/>
                <w:color w:val="auto"/>
                <w:sz w:val="24"/>
              </w:rPr>
              <w:t>/a</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87"/>
              <w:gridCol w:w="1403"/>
              <w:gridCol w:w="1772"/>
              <w:gridCol w:w="720"/>
              <w:gridCol w:w="1005"/>
              <w:gridCol w:w="775"/>
              <w:gridCol w:w="926"/>
              <w:gridCol w:w="1426"/>
            </w:tblGrid>
            <w:tr w14:paraId="26DC8D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29" w:type="pct"/>
                  <w:vAlign w:val="center"/>
                </w:tcPr>
                <w:p w14:paraId="47550CC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886" w:type="pct"/>
                  <w:gridSpan w:val="2"/>
                  <w:vAlign w:val="center"/>
                </w:tcPr>
                <w:p w14:paraId="437D137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产品名称及规格</w:t>
                  </w:r>
                </w:p>
              </w:tc>
              <w:tc>
                <w:tcPr>
                  <w:tcW w:w="427" w:type="pct"/>
                  <w:vAlign w:val="center"/>
                </w:tcPr>
                <w:p w14:paraId="0C6C1646">
                  <w:pPr>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扩建前</w:t>
                  </w:r>
                </w:p>
              </w:tc>
              <w:tc>
                <w:tcPr>
                  <w:tcW w:w="597" w:type="pct"/>
                  <w:vAlign w:val="center"/>
                </w:tcPr>
                <w:p w14:paraId="2BD677E8">
                  <w:pPr>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扩建</w:t>
                  </w:r>
                  <w:r>
                    <w:rPr>
                      <w:rFonts w:hint="default" w:ascii="Times New Roman" w:hAnsi="Times New Roman" w:eastAsia="宋体" w:cs="Times New Roman"/>
                      <w:b/>
                      <w:bCs/>
                      <w:color w:val="auto"/>
                      <w:sz w:val="21"/>
                      <w:szCs w:val="21"/>
                    </w:rPr>
                    <w:t>后全厂</w:t>
                  </w:r>
                </w:p>
              </w:tc>
              <w:tc>
                <w:tcPr>
                  <w:tcW w:w="460" w:type="pct"/>
                  <w:vAlign w:val="center"/>
                </w:tcPr>
                <w:p w14:paraId="75C9D20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变化量</w:t>
                  </w:r>
                </w:p>
              </w:tc>
              <w:tc>
                <w:tcPr>
                  <w:tcW w:w="550" w:type="pct"/>
                  <w:vAlign w:val="center"/>
                </w:tcPr>
                <w:p w14:paraId="6B3CB90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年运行时数</w:t>
                  </w:r>
                </w:p>
              </w:tc>
              <w:tc>
                <w:tcPr>
                  <w:tcW w:w="847" w:type="pct"/>
                  <w:vAlign w:val="center"/>
                </w:tcPr>
                <w:p w14:paraId="4D6BF911">
                  <w:pPr>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备注</w:t>
                  </w:r>
                </w:p>
              </w:tc>
            </w:tr>
            <w:tr w14:paraId="67E20D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229" w:type="pct"/>
                  <w:vAlign w:val="center"/>
                </w:tcPr>
                <w:p w14:paraId="54D06E5C">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886" w:type="pct"/>
                  <w:gridSpan w:val="2"/>
                  <w:vAlign w:val="center"/>
                </w:tcPr>
                <w:p w14:paraId="0392B40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预制凉菜智能制造（加工）项目、研发及检测中心建设项目</w:t>
                  </w:r>
                </w:p>
              </w:tc>
              <w:tc>
                <w:tcPr>
                  <w:tcW w:w="427" w:type="pct"/>
                  <w:vAlign w:val="center"/>
                </w:tcPr>
                <w:p w14:paraId="534A8DAB">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15000</w:t>
                  </w:r>
                </w:p>
              </w:tc>
              <w:tc>
                <w:tcPr>
                  <w:tcW w:w="597" w:type="pct"/>
                  <w:vAlign w:val="center"/>
                </w:tcPr>
                <w:p w14:paraId="15CD5345">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15000</w:t>
                  </w:r>
                </w:p>
              </w:tc>
              <w:tc>
                <w:tcPr>
                  <w:tcW w:w="460" w:type="pct"/>
                  <w:vAlign w:val="center"/>
                </w:tcPr>
                <w:p w14:paraId="1DF83FA6">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550" w:type="pct"/>
                  <w:vAlign w:val="center"/>
                </w:tcPr>
                <w:p w14:paraId="29D343E2">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2400</w:t>
                  </w:r>
                  <w:r>
                    <w:rPr>
                      <w:rFonts w:hint="eastAsia" w:cs="Times New Roman"/>
                      <w:b w:val="0"/>
                      <w:bCs w:val="0"/>
                      <w:color w:val="auto"/>
                      <w:sz w:val="21"/>
                      <w:szCs w:val="21"/>
                      <w:lang w:val="en-US" w:eastAsia="zh-CN"/>
                    </w:rPr>
                    <w:t>h</w:t>
                  </w:r>
                </w:p>
              </w:tc>
              <w:tc>
                <w:tcPr>
                  <w:tcW w:w="847" w:type="pct"/>
                  <w:vAlign w:val="center"/>
                </w:tcPr>
                <w:p w14:paraId="014C004D">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一期厂房</w:t>
                  </w:r>
                </w:p>
                <w:p w14:paraId="02FC86B1">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（已批已验）</w:t>
                  </w:r>
                </w:p>
              </w:tc>
            </w:tr>
            <w:tr w14:paraId="6A76E7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8" w:hRule="atLeast"/>
                <w:jc w:val="center"/>
              </w:trPr>
              <w:tc>
                <w:tcPr>
                  <w:tcW w:w="229" w:type="pct"/>
                  <w:vAlign w:val="center"/>
                </w:tcPr>
                <w:p w14:paraId="2181A137">
                  <w:pPr>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2</w:t>
                  </w:r>
                </w:p>
              </w:tc>
              <w:tc>
                <w:tcPr>
                  <w:tcW w:w="833" w:type="pct"/>
                  <w:vMerge w:val="restart"/>
                  <w:vAlign w:val="center"/>
                </w:tcPr>
                <w:p w14:paraId="33DF9835">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预制水产及肉类</w:t>
                  </w:r>
                  <w:r>
                    <w:rPr>
                      <w:rFonts w:hint="default" w:ascii="Times New Roman" w:hAnsi="Times New Roman" w:eastAsia="宋体" w:cs="Times New Roman"/>
                      <w:b w:val="0"/>
                      <w:bCs w:val="0"/>
                      <w:color w:val="auto"/>
                      <w:sz w:val="21"/>
                      <w:szCs w:val="21"/>
                    </w:rPr>
                    <w:t>智能制造建设项目</w:t>
                  </w:r>
                </w:p>
              </w:tc>
              <w:tc>
                <w:tcPr>
                  <w:tcW w:w="1053" w:type="pct"/>
                  <w:vAlign w:val="center"/>
                </w:tcPr>
                <w:p w14:paraId="4E7E5655">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海珍味生产线</w:t>
                  </w:r>
                </w:p>
              </w:tc>
              <w:tc>
                <w:tcPr>
                  <w:tcW w:w="427" w:type="pct"/>
                  <w:vAlign w:val="center"/>
                </w:tcPr>
                <w:p w14:paraId="0E66F19F">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3000</w:t>
                  </w:r>
                </w:p>
              </w:tc>
              <w:tc>
                <w:tcPr>
                  <w:tcW w:w="597" w:type="pct"/>
                  <w:vAlign w:val="center"/>
                </w:tcPr>
                <w:p w14:paraId="475C9346">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3000</w:t>
                  </w:r>
                </w:p>
              </w:tc>
              <w:tc>
                <w:tcPr>
                  <w:tcW w:w="460" w:type="pct"/>
                  <w:vAlign w:val="center"/>
                </w:tcPr>
                <w:p w14:paraId="767F64A5">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550" w:type="pct"/>
                  <w:vMerge w:val="restart"/>
                  <w:vAlign w:val="center"/>
                </w:tcPr>
                <w:p w14:paraId="3EE0F301">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2400</w:t>
                  </w:r>
                  <w:r>
                    <w:rPr>
                      <w:rFonts w:hint="default" w:ascii="Times New Roman" w:hAnsi="Times New Roman" w:eastAsia="宋体" w:cs="Times New Roman"/>
                      <w:b w:val="0"/>
                      <w:bCs w:val="0"/>
                      <w:color w:val="auto"/>
                      <w:sz w:val="21"/>
                      <w:szCs w:val="21"/>
                    </w:rPr>
                    <w:t>h</w:t>
                  </w:r>
                </w:p>
              </w:tc>
              <w:tc>
                <w:tcPr>
                  <w:tcW w:w="847" w:type="pct"/>
                  <w:vMerge w:val="restart"/>
                  <w:vAlign w:val="center"/>
                </w:tcPr>
                <w:p w14:paraId="3929675A">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二期厂房</w:t>
                  </w:r>
                </w:p>
                <w:p w14:paraId="5AE4F0DB">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（暂未建设）</w:t>
                  </w:r>
                </w:p>
              </w:tc>
            </w:tr>
            <w:tr w14:paraId="579F64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8" w:hRule="atLeast"/>
                <w:jc w:val="center"/>
              </w:trPr>
              <w:tc>
                <w:tcPr>
                  <w:tcW w:w="229" w:type="pct"/>
                  <w:vAlign w:val="center"/>
                </w:tcPr>
                <w:p w14:paraId="7B84D217">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833" w:type="pct"/>
                  <w:vMerge w:val="continue"/>
                  <w:vAlign w:val="center"/>
                </w:tcPr>
                <w:p w14:paraId="65D418FB">
                  <w:pPr>
                    <w:jc w:val="center"/>
                    <w:rPr>
                      <w:rFonts w:hint="default" w:ascii="Times New Roman" w:hAnsi="Times New Roman" w:eastAsia="宋体" w:cs="Times New Roman"/>
                      <w:b w:val="0"/>
                      <w:bCs w:val="0"/>
                      <w:color w:val="auto"/>
                      <w:sz w:val="21"/>
                      <w:szCs w:val="21"/>
                      <w:lang w:val="en-US" w:eastAsia="zh-CN"/>
                    </w:rPr>
                  </w:pPr>
                </w:p>
              </w:tc>
              <w:tc>
                <w:tcPr>
                  <w:tcW w:w="1053" w:type="pct"/>
                  <w:vAlign w:val="center"/>
                </w:tcPr>
                <w:p w14:paraId="2AAE2749">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肉类加工生产线</w:t>
                  </w:r>
                </w:p>
              </w:tc>
              <w:tc>
                <w:tcPr>
                  <w:tcW w:w="427" w:type="pct"/>
                  <w:vAlign w:val="center"/>
                </w:tcPr>
                <w:p w14:paraId="515A2C8D">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3000</w:t>
                  </w:r>
                </w:p>
              </w:tc>
              <w:tc>
                <w:tcPr>
                  <w:tcW w:w="597" w:type="pct"/>
                  <w:vAlign w:val="center"/>
                </w:tcPr>
                <w:p w14:paraId="0646AE83">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3000</w:t>
                  </w:r>
                </w:p>
              </w:tc>
              <w:tc>
                <w:tcPr>
                  <w:tcW w:w="460" w:type="pct"/>
                  <w:vAlign w:val="center"/>
                </w:tcPr>
                <w:p w14:paraId="301922DA">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550" w:type="pct"/>
                  <w:vMerge w:val="continue"/>
                  <w:vAlign w:val="center"/>
                </w:tcPr>
                <w:p w14:paraId="120409B8">
                  <w:pPr>
                    <w:jc w:val="center"/>
                    <w:rPr>
                      <w:rFonts w:hint="default" w:ascii="Times New Roman" w:hAnsi="Times New Roman" w:eastAsia="宋体" w:cs="Times New Roman"/>
                      <w:b w:val="0"/>
                      <w:bCs w:val="0"/>
                      <w:color w:val="auto"/>
                      <w:sz w:val="21"/>
                      <w:szCs w:val="21"/>
                      <w:lang w:val="en-US" w:eastAsia="zh-CN"/>
                    </w:rPr>
                  </w:pPr>
                </w:p>
              </w:tc>
              <w:tc>
                <w:tcPr>
                  <w:tcW w:w="847" w:type="pct"/>
                  <w:vMerge w:val="continue"/>
                  <w:vAlign w:val="center"/>
                </w:tcPr>
                <w:p w14:paraId="0A3FA5D3">
                  <w:pPr>
                    <w:jc w:val="center"/>
                    <w:rPr>
                      <w:rFonts w:hint="default" w:ascii="Times New Roman" w:hAnsi="Times New Roman" w:eastAsia="宋体" w:cs="Times New Roman"/>
                      <w:b w:val="0"/>
                      <w:bCs w:val="0"/>
                      <w:color w:val="auto"/>
                      <w:sz w:val="21"/>
                      <w:szCs w:val="21"/>
                      <w:lang w:val="en-US" w:eastAsia="zh-CN"/>
                    </w:rPr>
                  </w:pPr>
                </w:p>
              </w:tc>
            </w:tr>
            <w:tr w14:paraId="0599F5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8" w:hRule="atLeast"/>
                <w:jc w:val="center"/>
              </w:trPr>
              <w:tc>
                <w:tcPr>
                  <w:tcW w:w="229" w:type="pct"/>
                  <w:vAlign w:val="center"/>
                </w:tcPr>
                <w:p w14:paraId="499C76B3">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833" w:type="pct"/>
                  <w:vMerge w:val="continue"/>
                  <w:vAlign w:val="center"/>
                </w:tcPr>
                <w:p w14:paraId="6B598158">
                  <w:pPr>
                    <w:jc w:val="center"/>
                    <w:rPr>
                      <w:rFonts w:hint="default" w:ascii="Times New Roman" w:hAnsi="Times New Roman" w:eastAsia="宋体" w:cs="Times New Roman"/>
                      <w:b w:val="0"/>
                      <w:bCs w:val="0"/>
                      <w:color w:val="auto"/>
                      <w:sz w:val="21"/>
                      <w:szCs w:val="21"/>
                      <w:lang w:val="en-US" w:eastAsia="zh-CN"/>
                    </w:rPr>
                  </w:pPr>
                </w:p>
              </w:tc>
              <w:tc>
                <w:tcPr>
                  <w:tcW w:w="1053" w:type="pct"/>
                  <w:vAlign w:val="center"/>
                </w:tcPr>
                <w:p w14:paraId="33CD524B">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干燥藻类</w:t>
                  </w:r>
                  <w:r>
                    <w:rPr>
                      <w:rFonts w:hint="eastAsia" w:ascii="Times New Roman" w:hAnsi="Times New Roman" w:eastAsia="宋体" w:cs="Times New Roman"/>
                      <w:b w:val="0"/>
                      <w:bCs w:val="0"/>
                      <w:color w:val="auto"/>
                      <w:sz w:val="21"/>
                      <w:szCs w:val="21"/>
                      <w:lang w:val="en-US" w:eastAsia="zh-CN"/>
                    </w:rPr>
                    <w:t>预制水产生产线</w:t>
                  </w:r>
                </w:p>
              </w:tc>
              <w:tc>
                <w:tcPr>
                  <w:tcW w:w="427" w:type="pct"/>
                  <w:vAlign w:val="center"/>
                </w:tcPr>
                <w:p w14:paraId="6DBA89BB">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1000</w:t>
                  </w:r>
                </w:p>
              </w:tc>
              <w:tc>
                <w:tcPr>
                  <w:tcW w:w="597" w:type="pct"/>
                  <w:vAlign w:val="center"/>
                </w:tcPr>
                <w:p w14:paraId="25E06BDC">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1000</w:t>
                  </w:r>
                </w:p>
              </w:tc>
              <w:tc>
                <w:tcPr>
                  <w:tcW w:w="460" w:type="pct"/>
                  <w:vAlign w:val="center"/>
                </w:tcPr>
                <w:p w14:paraId="21530148">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550" w:type="pct"/>
                  <w:vMerge w:val="continue"/>
                  <w:vAlign w:val="center"/>
                </w:tcPr>
                <w:p w14:paraId="391A5B64">
                  <w:pPr>
                    <w:jc w:val="center"/>
                    <w:rPr>
                      <w:rFonts w:hint="default" w:ascii="Times New Roman" w:hAnsi="Times New Roman" w:eastAsia="宋体" w:cs="Times New Roman"/>
                      <w:b w:val="0"/>
                      <w:bCs w:val="0"/>
                      <w:color w:val="auto"/>
                      <w:sz w:val="21"/>
                      <w:szCs w:val="21"/>
                      <w:lang w:val="en-US" w:eastAsia="zh-CN"/>
                    </w:rPr>
                  </w:pPr>
                </w:p>
              </w:tc>
              <w:tc>
                <w:tcPr>
                  <w:tcW w:w="847" w:type="pct"/>
                  <w:vMerge w:val="continue"/>
                  <w:vAlign w:val="center"/>
                </w:tcPr>
                <w:p w14:paraId="21D6501A">
                  <w:pPr>
                    <w:jc w:val="center"/>
                    <w:rPr>
                      <w:rFonts w:hint="default" w:ascii="Times New Roman" w:hAnsi="Times New Roman" w:eastAsia="宋体" w:cs="Times New Roman"/>
                      <w:b w:val="0"/>
                      <w:bCs w:val="0"/>
                      <w:color w:val="auto"/>
                      <w:sz w:val="21"/>
                      <w:szCs w:val="21"/>
                      <w:lang w:val="en-US" w:eastAsia="zh-CN"/>
                    </w:rPr>
                  </w:pPr>
                </w:p>
              </w:tc>
            </w:tr>
            <w:tr w14:paraId="6214C6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8" w:hRule="atLeast"/>
                <w:jc w:val="center"/>
              </w:trPr>
              <w:tc>
                <w:tcPr>
                  <w:tcW w:w="229" w:type="pct"/>
                  <w:vAlign w:val="center"/>
                </w:tcPr>
                <w:p w14:paraId="1556FB5B">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833" w:type="pct"/>
                  <w:vMerge w:val="restart"/>
                  <w:vAlign w:val="center"/>
                </w:tcPr>
                <w:p w14:paraId="28657CE1">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年产3000吨调味鱼皮及其他预制水产品项</w:t>
                  </w:r>
                  <w:r>
                    <w:rPr>
                      <w:rFonts w:hint="eastAsia" w:cs="Times New Roman"/>
                      <w:b w:val="0"/>
                      <w:bCs w:val="0"/>
                      <w:color w:val="auto"/>
                      <w:sz w:val="21"/>
                      <w:szCs w:val="21"/>
                      <w:lang w:val="en-US" w:eastAsia="zh-CN"/>
                    </w:rPr>
                    <w:t>目</w:t>
                  </w:r>
                </w:p>
              </w:tc>
              <w:tc>
                <w:tcPr>
                  <w:tcW w:w="1053" w:type="pct"/>
                  <w:vAlign w:val="center"/>
                </w:tcPr>
                <w:p w14:paraId="26E22403">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调味鱼皮生产线</w:t>
                  </w:r>
                </w:p>
              </w:tc>
              <w:tc>
                <w:tcPr>
                  <w:tcW w:w="427" w:type="pct"/>
                  <w:vAlign w:val="center"/>
                </w:tcPr>
                <w:p w14:paraId="41FEA122">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597" w:type="pct"/>
                  <w:vAlign w:val="center"/>
                </w:tcPr>
                <w:p w14:paraId="5E19861C">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1500</w:t>
                  </w:r>
                </w:p>
              </w:tc>
              <w:tc>
                <w:tcPr>
                  <w:tcW w:w="460" w:type="pct"/>
                  <w:vAlign w:val="center"/>
                </w:tcPr>
                <w:p w14:paraId="5C3BACA8">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+1500</w:t>
                  </w:r>
                </w:p>
              </w:tc>
              <w:tc>
                <w:tcPr>
                  <w:tcW w:w="550" w:type="pct"/>
                  <w:vMerge w:val="restart"/>
                  <w:vAlign w:val="center"/>
                </w:tcPr>
                <w:p w14:paraId="690C5BBD">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2400</w:t>
                  </w:r>
                  <w:r>
                    <w:rPr>
                      <w:rFonts w:hint="default" w:ascii="Times New Roman" w:hAnsi="Times New Roman" w:eastAsia="宋体" w:cs="Times New Roman"/>
                      <w:b w:val="0"/>
                      <w:bCs w:val="0"/>
                      <w:color w:val="auto"/>
                      <w:sz w:val="21"/>
                      <w:szCs w:val="21"/>
                    </w:rPr>
                    <w:t>h</w:t>
                  </w:r>
                </w:p>
              </w:tc>
              <w:tc>
                <w:tcPr>
                  <w:tcW w:w="847" w:type="pct"/>
                  <w:vMerge w:val="restart"/>
                  <w:vAlign w:val="center"/>
                </w:tcPr>
                <w:p w14:paraId="644E1506">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一期厂房</w:t>
                  </w:r>
                </w:p>
                <w:p w14:paraId="08293D2B">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（本次扩建）</w:t>
                  </w:r>
                </w:p>
              </w:tc>
            </w:tr>
            <w:tr w14:paraId="0C936F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8" w:hRule="atLeast"/>
                <w:jc w:val="center"/>
              </w:trPr>
              <w:tc>
                <w:tcPr>
                  <w:tcW w:w="229" w:type="pct"/>
                  <w:tcBorders>
                    <w:bottom w:val="single" w:color="auto" w:sz="12" w:space="0"/>
                  </w:tcBorders>
                  <w:vAlign w:val="center"/>
                </w:tcPr>
                <w:p w14:paraId="3EDD45CB">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6</w:t>
                  </w:r>
                </w:p>
              </w:tc>
              <w:tc>
                <w:tcPr>
                  <w:tcW w:w="833" w:type="pct"/>
                  <w:vMerge w:val="continue"/>
                  <w:tcBorders>
                    <w:bottom w:val="single" w:color="auto" w:sz="12" w:space="0"/>
                  </w:tcBorders>
                  <w:vAlign w:val="center"/>
                </w:tcPr>
                <w:p w14:paraId="0C89E525">
                  <w:pPr>
                    <w:jc w:val="center"/>
                    <w:rPr>
                      <w:rFonts w:hint="default" w:ascii="Times New Roman" w:hAnsi="Times New Roman" w:eastAsia="宋体" w:cs="Times New Roman"/>
                      <w:b w:val="0"/>
                      <w:bCs w:val="0"/>
                      <w:color w:val="auto"/>
                      <w:sz w:val="21"/>
                      <w:szCs w:val="21"/>
                      <w:lang w:val="en-US" w:eastAsia="zh-CN"/>
                    </w:rPr>
                  </w:pPr>
                </w:p>
              </w:tc>
              <w:tc>
                <w:tcPr>
                  <w:tcW w:w="1053" w:type="pct"/>
                  <w:tcBorders>
                    <w:bottom w:val="single" w:color="auto" w:sz="12" w:space="0"/>
                  </w:tcBorders>
                  <w:vAlign w:val="center"/>
                </w:tcPr>
                <w:p w14:paraId="343F1B6E">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裙带菜生产线</w:t>
                  </w:r>
                </w:p>
              </w:tc>
              <w:tc>
                <w:tcPr>
                  <w:tcW w:w="427" w:type="pct"/>
                  <w:tcBorders>
                    <w:bottom w:val="single" w:color="auto" w:sz="12" w:space="0"/>
                  </w:tcBorders>
                  <w:vAlign w:val="center"/>
                </w:tcPr>
                <w:p w14:paraId="6DB9CD05">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w:t>
                  </w:r>
                </w:p>
              </w:tc>
              <w:tc>
                <w:tcPr>
                  <w:tcW w:w="597" w:type="pct"/>
                  <w:tcBorders>
                    <w:bottom w:val="single" w:color="auto" w:sz="12" w:space="0"/>
                  </w:tcBorders>
                  <w:vAlign w:val="center"/>
                </w:tcPr>
                <w:p w14:paraId="03428C0F">
                  <w:pPr>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1500</w:t>
                  </w:r>
                </w:p>
              </w:tc>
              <w:tc>
                <w:tcPr>
                  <w:tcW w:w="460" w:type="pct"/>
                  <w:tcBorders>
                    <w:bottom w:val="single" w:color="auto" w:sz="12" w:space="0"/>
                  </w:tcBorders>
                  <w:vAlign w:val="center"/>
                </w:tcPr>
                <w:p w14:paraId="0AE7301C">
                  <w:pPr>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+1500</w:t>
                  </w:r>
                </w:p>
              </w:tc>
              <w:tc>
                <w:tcPr>
                  <w:tcW w:w="550" w:type="pct"/>
                  <w:vMerge w:val="continue"/>
                  <w:tcBorders>
                    <w:bottom w:val="single" w:color="auto" w:sz="12" w:space="0"/>
                  </w:tcBorders>
                  <w:vAlign w:val="center"/>
                </w:tcPr>
                <w:p w14:paraId="5B3AF3EF">
                  <w:pPr>
                    <w:jc w:val="center"/>
                    <w:rPr>
                      <w:rFonts w:hint="default" w:ascii="Times New Roman" w:hAnsi="Times New Roman" w:eastAsia="宋体" w:cs="Times New Roman"/>
                      <w:b w:val="0"/>
                      <w:bCs w:val="0"/>
                      <w:color w:val="auto"/>
                      <w:sz w:val="21"/>
                      <w:szCs w:val="21"/>
                      <w:lang w:val="en-US" w:eastAsia="zh-CN"/>
                    </w:rPr>
                  </w:pPr>
                </w:p>
              </w:tc>
              <w:tc>
                <w:tcPr>
                  <w:tcW w:w="847" w:type="pct"/>
                  <w:vMerge w:val="continue"/>
                  <w:tcBorders>
                    <w:bottom w:val="single" w:color="auto" w:sz="12" w:space="0"/>
                  </w:tcBorders>
                  <w:vAlign w:val="center"/>
                </w:tcPr>
                <w:p w14:paraId="19045D82">
                  <w:pPr>
                    <w:jc w:val="center"/>
                    <w:rPr>
                      <w:rFonts w:hint="default" w:ascii="Times New Roman" w:hAnsi="Times New Roman" w:eastAsia="宋体" w:cs="Times New Roman"/>
                      <w:b w:val="0"/>
                      <w:bCs w:val="0"/>
                      <w:color w:val="auto"/>
                      <w:sz w:val="21"/>
                      <w:szCs w:val="21"/>
                      <w:lang w:val="en-US" w:eastAsia="zh-CN"/>
                    </w:rPr>
                  </w:pPr>
                </w:p>
              </w:tc>
            </w:tr>
          </w:tbl>
          <w:p w14:paraId="49A458AC">
            <w:pPr>
              <w:widowControl/>
              <w:adjustRightInd w:val="0"/>
              <w:snapToGrid w:val="0"/>
              <w:spacing w:before="120" w:beforeLines="50" w:line="360" w:lineRule="auto"/>
              <w:ind w:firstLine="361" w:firstLineChars="150"/>
              <w:jc w:val="left"/>
              <w:rPr>
                <w:b/>
                <w:color w:val="auto"/>
                <w:kern w:val="0"/>
                <w:sz w:val="24"/>
              </w:rPr>
            </w:pPr>
          </w:p>
          <w:p w14:paraId="24C1F7AD">
            <w:pPr>
              <w:widowControl/>
              <w:adjustRightInd w:val="0"/>
              <w:snapToGrid w:val="0"/>
              <w:spacing w:before="120" w:beforeLines="50" w:line="360" w:lineRule="auto"/>
              <w:ind w:firstLine="361" w:firstLineChars="150"/>
              <w:jc w:val="left"/>
              <w:rPr>
                <w:b/>
                <w:color w:val="auto"/>
                <w:kern w:val="0"/>
                <w:sz w:val="24"/>
              </w:rPr>
            </w:pPr>
            <w:r>
              <w:rPr>
                <w:b/>
                <w:color w:val="auto"/>
                <w:kern w:val="0"/>
                <w:sz w:val="24"/>
              </w:rPr>
              <w:t>3.主要原辅料消耗及理化性质</w:t>
            </w:r>
          </w:p>
          <w:p w14:paraId="59EA8202">
            <w:pPr>
              <w:pStyle w:val="40"/>
              <w:spacing w:line="360" w:lineRule="auto"/>
              <w:ind w:firstLine="482"/>
              <w:rPr>
                <w:rFonts w:ascii="Times New Roman" w:hAnsi="Times New Roman" w:eastAsia="宋体" w:cs="Times New Roman"/>
                <w:color w:val="auto"/>
              </w:rPr>
            </w:pPr>
            <w:r>
              <w:rPr>
                <w:rFonts w:ascii="Times New Roman" w:hAnsi="Times New Roman" w:eastAsia="宋体" w:cs="Times New Roman"/>
                <w:color w:val="auto"/>
              </w:rPr>
              <w:t>（1）主要原辅料消耗情况</w:t>
            </w:r>
          </w:p>
          <w:p w14:paraId="5A8BC7D6">
            <w:pPr>
              <w:pStyle w:val="40"/>
              <w:spacing w:line="360" w:lineRule="auto"/>
              <w:ind w:firstLine="482"/>
              <w:rPr>
                <w:rFonts w:ascii="Times New Roman" w:hAnsi="Times New Roman" w:eastAsia="宋体" w:cs="Times New Roman"/>
                <w:color w:val="auto"/>
              </w:rPr>
            </w:pPr>
            <w:r>
              <w:rPr>
                <w:rFonts w:ascii="Times New Roman" w:hAnsi="Times New Roman" w:eastAsia="宋体" w:cs="Times New Roman"/>
                <w:color w:val="auto"/>
              </w:rPr>
              <w:t>主要原辅材料消耗情况见表2-3。</w:t>
            </w:r>
          </w:p>
          <w:p w14:paraId="4A05F024">
            <w:pPr>
              <w:pStyle w:val="2"/>
              <w:keepNext w:val="0"/>
              <w:keepLines w:val="0"/>
              <w:pageBreakBefore w:val="0"/>
              <w:widowControl w:val="0"/>
              <w:kinsoku/>
              <w:wordWrap/>
              <w:overflowPunct/>
              <w:topLinePunct w:val="0"/>
              <w:autoSpaceDE/>
              <w:autoSpaceDN/>
              <w:bidi w:val="0"/>
              <w:adjustRightInd/>
              <w:snapToGrid/>
              <w:spacing w:after="0"/>
              <w:ind w:left="0" w:leftChars="0" w:firstLine="482"/>
              <w:jc w:val="center"/>
              <w:textAlignment w:val="auto"/>
              <w:rPr>
                <w:rFonts w:hint="eastAsia"/>
                <w:b/>
                <w:bCs/>
                <w:color w:val="auto"/>
                <w:sz w:val="24"/>
                <w:szCs w:val="24"/>
              </w:rPr>
            </w:pPr>
            <w:r>
              <w:rPr>
                <w:rFonts w:hint="eastAsia"/>
                <w:b/>
                <w:bCs/>
                <w:color w:val="auto"/>
                <w:sz w:val="24"/>
                <w:szCs w:val="24"/>
              </w:rPr>
              <w:t>表2</w:t>
            </w:r>
            <w:r>
              <w:rPr>
                <w:b/>
                <w:bCs/>
                <w:color w:val="auto"/>
                <w:sz w:val="24"/>
                <w:szCs w:val="24"/>
              </w:rPr>
              <w:t>-3</w:t>
            </w:r>
            <w:r>
              <w:rPr>
                <w:rFonts w:hint="eastAsia"/>
                <w:b/>
                <w:bCs/>
                <w:color w:val="auto"/>
                <w:sz w:val="24"/>
                <w:szCs w:val="24"/>
              </w:rPr>
              <w:t>主要原辅料消耗情况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6" w:type="dxa"/>
                <w:bottom w:w="0" w:type="dxa"/>
                <w:right w:w="6" w:type="dxa"/>
              </w:tblCellMar>
            </w:tblPr>
            <w:tblGrid>
              <w:gridCol w:w="240"/>
              <w:gridCol w:w="1120"/>
              <w:gridCol w:w="1094"/>
              <w:gridCol w:w="337"/>
              <w:gridCol w:w="703"/>
              <w:gridCol w:w="870"/>
              <w:gridCol w:w="796"/>
              <w:gridCol w:w="705"/>
              <w:gridCol w:w="1121"/>
              <w:gridCol w:w="966"/>
              <w:gridCol w:w="467"/>
            </w:tblGrid>
            <w:tr w14:paraId="5A27D3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817" w:hRule="atLeast"/>
                <w:tblHeader/>
                <w:jc w:val="center"/>
              </w:trPr>
              <w:tc>
                <w:tcPr>
                  <w:tcW w:w="142" w:type="pct"/>
                  <w:tcBorders>
                    <w:tl2br w:val="nil"/>
                    <w:tr2bl w:val="nil"/>
                  </w:tcBorders>
                  <w:noWrap w:val="0"/>
                  <w:vAlign w:val="center"/>
                </w:tcPr>
                <w:p w14:paraId="4030DE8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665" w:type="pct"/>
                  <w:tcBorders>
                    <w:tl2br w:val="nil"/>
                    <w:tr2bl w:val="nil"/>
                  </w:tcBorders>
                  <w:noWrap w:val="0"/>
                  <w:vAlign w:val="center"/>
                </w:tcPr>
                <w:p w14:paraId="35EA549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649" w:type="pct"/>
                  <w:tcBorders>
                    <w:tl2br w:val="nil"/>
                    <w:tr2bl w:val="nil"/>
                  </w:tcBorders>
                  <w:noWrap w:val="0"/>
                  <w:vAlign w:val="center"/>
                </w:tcPr>
                <w:p w14:paraId="73E8FC9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成分规格</w:t>
                  </w:r>
                </w:p>
              </w:tc>
              <w:tc>
                <w:tcPr>
                  <w:tcW w:w="200" w:type="pct"/>
                  <w:tcBorders>
                    <w:tl2br w:val="nil"/>
                    <w:tr2bl w:val="nil"/>
                  </w:tcBorders>
                  <w:noWrap w:val="0"/>
                  <w:vAlign w:val="center"/>
                </w:tcPr>
                <w:p w14:paraId="7AA32F2A">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物态</w:t>
                  </w:r>
                </w:p>
              </w:tc>
              <w:tc>
                <w:tcPr>
                  <w:tcW w:w="417" w:type="pct"/>
                  <w:tcBorders>
                    <w:tl2br w:val="nil"/>
                    <w:tr2bl w:val="nil"/>
                  </w:tcBorders>
                  <w:noWrap w:val="0"/>
                  <w:vAlign w:val="center"/>
                </w:tcPr>
                <w:p w14:paraId="5AA39495">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技改</w:t>
                  </w:r>
                  <w:r>
                    <w:rPr>
                      <w:rFonts w:hint="default" w:ascii="Times New Roman" w:hAnsi="Times New Roman" w:eastAsia="宋体" w:cs="Times New Roman"/>
                      <w:b/>
                      <w:bCs/>
                      <w:color w:val="auto"/>
                      <w:sz w:val="21"/>
                      <w:szCs w:val="21"/>
                      <w:lang w:eastAsia="zh-CN"/>
                    </w:rPr>
                    <w:t>前</w:t>
                  </w:r>
                  <w:r>
                    <w:rPr>
                      <w:rFonts w:hint="default" w:ascii="Times New Roman" w:hAnsi="Times New Roman" w:eastAsia="宋体" w:cs="Times New Roman"/>
                      <w:b/>
                      <w:bCs/>
                      <w:color w:val="auto"/>
                      <w:sz w:val="21"/>
                      <w:szCs w:val="21"/>
                    </w:rPr>
                    <w:t>年用量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吨</w:t>
                  </w:r>
                  <w:r>
                    <w:rPr>
                      <w:rFonts w:hint="default" w:ascii="Times New Roman" w:hAnsi="Times New Roman" w:eastAsia="宋体" w:cs="Times New Roman"/>
                      <w:b/>
                      <w:bCs/>
                      <w:color w:val="auto"/>
                      <w:sz w:val="21"/>
                      <w:szCs w:val="21"/>
                      <w:lang w:eastAsia="zh-CN"/>
                    </w:rPr>
                    <w:t>）</w:t>
                  </w:r>
                </w:p>
              </w:tc>
              <w:tc>
                <w:tcPr>
                  <w:tcW w:w="516" w:type="pct"/>
                  <w:tcBorders>
                    <w:tl2br w:val="nil"/>
                    <w:tr2bl w:val="nil"/>
                  </w:tcBorders>
                  <w:noWrap w:val="0"/>
                  <w:vAlign w:val="center"/>
                </w:tcPr>
                <w:p w14:paraId="2A1B4C91">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技改</w:t>
                  </w:r>
                  <w:r>
                    <w:rPr>
                      <w:rFonts w:hint="default" w:ascii="Times New Roman" w:hAnsi="Times New Roman" w:eastAsia="宋体" w:cs="Times New Roman"/>
                      <w:b/>
                      <w:bCs/>
                      <w:color w:val="auto"/>
                      <w:sz w:val="21"/>
                      <w:szCs w:val="21"/>
                      <w:lang w:eastAsia="zh-CN"/>
                    </w:rPr>
                    <w:t>后全厂年用量（</w:t>
                  </w:r>
                  <w:r>
                    <w:rPr>
                      <w:rFonts w:hint="default" w:ascii="Times New Roman" w:hAnsi="Times New Roman" w:eastAsia="宋体" w:cs="Times New Roman"/>
                      <w:b/>
                      <w:bCs/>
                      <w:color w:val="auto"/>
                      <w:sz w:val="21"/>
                      <w:szCs w:val="21"/>
                      <w:lang w:val="en-US" w:eastAsia="zh-CN"/>
                    </w:rPr>
                    <w:t>吨</w:t>
                  </w:r>
                  <w:r>
                    <w:rPr>
                      <w:rFonts w:hint="default" w:ascii="Times New Roman" w:hAnsi="Times New Roman" w:eastAsia="宋体" w:cs="Times New Roman"/>
                      <w:b/>
                      <w:bCs/>
                      <w:color w:val="auto"/>
                      <w:sz w:val="21"/>
                      <w:szCs w:val="21"/>
                      <w:lang w:eastAsia="zh-CN"/>
                    </w:rPr>
                    <w:t>）</w:t>
                  </w:r>
                </w:p>
              </w:tc>
              <w:tc>
                <w:tcPr>
                  <w:tcW w:w="472" w:type="pct"/>
                  <w:tcBorders>
                    <w:tl2br w:val="nil"/>
                    <w:tr2bl w:val="nil"/>
                  </w:tcBorders>
                  <w:shd w:val="clear" w:color="auto" w:fill="auto"/>
                  <w:noWrap w:val="0"/>
                  <w:vAlign w:val="center"/>
                </w:tcPr>
                <w:p w14:paraId="0B7DA7F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变化情况（</w:t>
                  </w:r>
                  <w:r>
                    <w:rPr>
                      <w:rFonts w:hint="default" w:ascii="Times New Roman" w:hAnsi="Times New Roman" w:eastAsia="宋体" w:cs="Times New Roman"/>
                      <w:b/>
                      <w:bCs/>
                      <w:color w:val="auto"/>
                      <w:sz w:val="21"/>
                      <w:szCs w:val="21"/>
                      <w:lang w:val="en-US" w:eastAsia="zh-CN"/>
                    </w:rPr>
                    <w:t>吨</w:t>
                  </w:r>
                  <w:r>
                    <w:rPr>
                      <w:rFonts w:hint="default" w:ascii="Times New Roman" w:hAnsi="Times New Roman" w:eastAsia="宋体" w:cs="Times New Roman"/>
                      <w:b/>
                      <w:bCs/>
                      <w:color w:val="auto"/>
                      <w:sz w:val="21"/>
                      <w:szCs w:val="21"/>
                      <w:lang w:eastAsia="zh-CN"/>
                    </w:rPr>
                    <w:t>）</w:t>
                  </w:r>
                </w:p>
              </w:tc>
              <w:tc>
                <w:tcPr>
                  <w:tcW w:w="418" w:type="pct"/>
                  <w:tcBorders>
                    <w:tl2br w:val="nil"/>
                    <w:tr2bl w:val="nil"/>
                  </w:tcBorders>
                  <w:noWrap w:val="0"/>
                  <w:vAlign w:val="center"/>
                </w:tcPr>
                <w:p w14:paraId="4C48DA3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w:t>
                  </w:r>
                </w:p>
                <w:p w14:paraId="1375B9A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储存量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吨</w:t>
                  </w:r>
                  <w:r>
                    <w:rPr>
                      <w:rFonts w:hint="default" w:ascii="Times New Roman" w:hAnsi="Times New Roman" w:eastAsia="宋体" w:cs="Times New Roman"/>
                      <w:b/>
                      <w:bCs/>
                      <w:color w:val="auto"/>
                      <w:sz w:val="21"/>
                      <w:szCs w:val="21"/>
                      <w:lang w:eastAsia="zh-CN"/>
                    </w:rPr>
                    <w:t>）</w:t>
                  </w:r>
                </w:p>
              </w:tc>
              <w:tc>
                <w:tcPr>
                  <w:tcW w:w="665" w:type="pct"/>
                  <w:tcBorders>
                    <w:tl2br w:val="nil"/>
                    <w:tr2bl w:val="nil"/>
                  </w:tcBorders>
                  <w:noWrap w:val="0"/>
                  <w:vAlign w:val="center"/>
                </w:tcPr>
                <w:p w14:paraId="0F362E07">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储存</w:t>
                  </w:r>
                </w:p>
                <w:p w14:paraId="7A2D3CA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位置</w:t>
                  </w:r>
                </w:p>
              </w:tc>
              <w:tc>
                <w:tcPr>
                  <w:tcW w:w="573" w:type="pct"/>
                  <w:tcBorders>
                    <w:tl2br w:val="nil"/>
                    <w:tr2bl w:val="nil"/>
                  </w:tcBorders>
                  <w:noWrap w:val="0"/>
                  <w:vAlign w:val="center"/>
                </w:tcPr>
                <w:p w14:paraId="3CBD0990">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备注</w:t>
                  </w:r>
                </w:p>
              </w:tc>
              <w:tc>
                <w:tcPr>
                  <w:tcW w:w="277" w:type="pct"/>
                  <w:tcBorders>
                    <w:tl2br w:val="nil"/>
                    <w:tr2bl w:val="nil"/>
                  </w:tcBorders>
                  <w:noWrap w:val="0"/>
                  <w:vAlign w:val="center"/>
                </w:tcPr>
                <w:p w14:paraId="5143FF00">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运输方式</w:t>
                  </w:r>
                </w:p>
              </w:tc>
            </w:tr>
            <w:tr w14:paraId="5D75DC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262" w:hRule="atLeast"/>
                <w:tblHeader/>
                <w:jc w:val="center"/>
              </w:trPr>
              <w:tc>
                <w:tcPr>
                  <w:tcW w:w="142" w:type="pct"/>
                  <w:tcBorders>
                    <w:tl2br w:val="nil"/>
                    <w:tr2bl w:val="nil"/>
                  </w:tcBorders>
                  <w:shd w:val="clear" w:color="auto" w:fill="auto"/>
                  <w:noWrap w:val="0"/>
                  <w:vAlign w:val="center"/>
                </w:tcPr>
                <w:p w14:paraId="78C09C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1</w:t>
                  </w:r>
                </w:p>
              </w:tc>
              <w:tc>
                <w:tcPr>
                  <w:tcW w:w="665" w:type="pct"/>
                  <w:tcBorders>
                    <w:tl2br w:val="nil"/>
                    <w:tr2bl w:val="nil"/>
                  </w:tcBorders>
                  <w:shd w:val="clear" w:color="auto" w:fill="auto"/>
                  <w:noWrap w:val="0"/>
                  <w:vAlign w:val="center"/>
                </w:tcPr>
                <w:p w14:paraId="6BEBE97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罗非鱼皮</w:t>
                  </w:r>
                </w:p>
              </w:tc>
              <w:tc>
                <w:tcPr>
                  <w:tcW w:w="649" w:type="pct"/>
                  <w:tcBorders>
                    <w:tl2br w:val="nil"/>
                    <w:tr2bl w:val="nil"/>
                  </w:tcBorders>
                  <w:noWrap w:val="0"/>
                  <w:vAlign w:val="center"/>
                </w:tcPr>
                <w:p w14:paraId="01A9AC6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鱼皮</w:t>
                  </w:r>
                </w:p>
              </w:tc>
              <w:tc>
                <w:tcPr>
                  <w:tcW w:w="200" w:type="pct"/>
                  <w:tcBorders>
                    <w:tl2br w:val="nil"/>
                    <w:tr2bl w:val="nil"/>
                  </w:tcBorders>
                  <w:noWrap w:val="0"/>
                  <w:vAlign w:val="center"/>
                </w:tcPr>
                <w:p w14:paraId="5616013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417" w:type="pct"/>
                  <w:tcBorders>
                    <w:tl2br w:val="nil"/>
                    <w:tr2bl w:val="nil"/>
                  </w:tcBorders>
                  <w:shd w:val="clear" w:color="auto" w:fill="auto"/>
                  <w:noWrap w:val="0"/>
                  <w:vAlign w:val="center"/>
                </w:tcPr>
                <w:p w14:paraId="2191F376">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16" w:type="pct"/>
                  <w:tcBorders>
                    <w:tl2br w:val="nil"/>
                    <w:tr2bl w:val="nil"/>
                  </w:tcBorders>
                  <w:shd w:val="clear" w:color="auto" w:fill="auto"/>
                  <w:noWrap w:val="0"/>
                  <w:vAlign w:val="center"/>
                </w:tcPr>
                <w:p w14:paraId="2350AD4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700</w:t>
                  </w:r>
                </w:p>
              </w:tc>
              <w:tc>
                <w:tcPr>
                  <w:tcW w:w="472" w:type="pct"/>
                  <w:tcBorders>
                    <w:tl2br w:val="nil"/>
                    <w:tr2bl w:val="nil"/>
                  </w:tcBorders>
                  <w:shd w:val="clear" w:color="auto" w:fill="auto"/>
                  <w:noWrap w:val="0"/>
                  <w:vAlign w:val="center"/>
                </w:tcPr>
                <w:p w14:paraId="7FEFB85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w:t>
                  </w:r>
                  <w:r>
                    <w:rPr>
                      <w:rFonts w:hint="eastAsia" w:eastAsia="仿宋" w:cs="Times New Roman"/>
                      <w:color w:val="auto"/>
                      <w:szCs w:val="21"/>
                      <w:lang w:val="en-US" w:eastAsia="zh-CN"/>
                    </w:rPr>
                    <w:t>700</w:t>
                  </w:r>
                </w:p>
              </w:tc>
              <w:tc>
                <w:tcPr>
                  <w:tcW w:w="418" w:type="pct"/>
                  <w:tcBorders>
                    <w:tl2br w:val="nil"/>
                    <w:tr2bl w:val="nil"/>
                  </w:tcBorders>
                  <w:noWrap w:val="0"/>
                  <w:vAlign w:val="center"/>
                </w:tcPr>
                <w:p w14:paraId="1AE863E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200</w:t>
                  </w:r>
                </w:p>
              </w:tc>
              <w:tc>
                <w:tcPr>
                  <w:tcW w:w="665" w:type="pct"/>
                  <w:tcBorders>
                    <w:tl2br w:val="nil"/>
                    <w:tr2bl w:val="nil"/>
                  </w:tcBorders>
                  <w:noWrap w:val="0"/>
                  <w:vAlign w:val="center"/>
                </w:tcPr>
                <w:p w14:paraId="74160BFF">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辅料库</w:t>
                  </w:r>
                </w:p>
              </w:tc>
              <w:tc>
                <w:tcPr>
                  <w:tcW w:w="573" w:type="pct"/>
                  <w:vMerge w:val="restart"/>
                  <w:tcBorders>
                    <w:tl2br w:val="nil"/>
                    <w:tr2bl w:val="nil"/>
                  </w:tcBorders>
                  <w:noWrap w:val="0"/>
                  <w:vAlign w:val="center"/>
                </w:tcPr>
                <w:p w14:paraId="4EAF0D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color w:val="auto"/>
                      <w:lang w:val="en-US" w:eastAsia="zh-CN"/>
                    </w:rPr>
                  </w:pPr>
                  <w:r>
                    <w:rPr>
                      <w:rFonts w:hint="eastAsia" w:cs="Times New Roman"/>
                      <w:color w:val="auto"/>
                      <w:sz w:val="21"/>
                      <w:szCs w:val="21"/>
                      <w:lang w:val="en-US" w:eastAsia="zh-CN"/>
                    </w:rPr>
                    <w:t>本次扩建项目</w:t>
                  </w:r>
                </w:p>
              </w:tc>
              <w:tc>
                <w:tcPr>
                  <w:tcW w:w="277" w:type="pct"/>
                  <w:vMerge w:val="restart"/>
                  <w:tcBorders>
                    <w:tl2br w:val="nil"/>
                    <w:tr2bl w:val="nil"/>
                  </w:tcBorders>
                  <w:noWrap w:val="0"/>
                  <w:vAlign w:val="center"/>
                </w:tcPr>
                <w:p w14:paraId="22007D09">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lang w:val="en-US" w:eastAsia="zh-CN"/>
                    </w:rPr>
                  </w:pPr>
                  <w:r>
                    <w:rPr>
                      <w:color w:val="auto"/>
                      <w:szCs w:val="21"/>
                    </w:rPr>
                    <w:t>外购，汽运</w:t>
                  </w:r>
                </w:p>
              </w:tc>
            </w:tr>
            <w:tr w14:paraId="4EF60B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232" w:hRule="atLeast"/>
                <w:tblHeader/>
                <w:jc w:val="center"/>
              </w:trPr>
              <w:tc>
                <w:tcPr>
                  <w:tcW w:w="142" w:type="pct"/>
                  <w:tcBorders>
                    <w:tl2br w:val="nil"/>
                    <w:tr2bl w:val="nil"/>
                  </w:tcBorders>
                  <w:shd w:val="clear" w:color="auto" w:fill="auto"/>
                  <w:noWrap w:val="0"/>
                  <w:vAlign w:val="center"/>
                </w:tcPr>
                <w:p w14:paraId="0B2861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2</w:t>
                  </w:r>
                </w:p>
              </w:tc>
              <w:tc>
                <w:tcPr>
                  <w:tcW w:w="665" w:type="pct"/>
                  <w:tcBorders>
                    <w:tl2br w:val="nil"/>
                    <w:tr2bl w:val="nil"/>
                  </w:tcBorders>
                  <w:shd w:val="clear" w:color="auto" w:fill="auto"/>
                  <w:noWrap w:val="0"/>
                  <w:vAlign w:val="center"/>
                </w:tcPr>
                <w:p w14:paraId="3E8CAE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藻类</w:t>
                  </w:r>
                </w:p>
              </w:tc>
              <w:tc>
                <w:tcPr>
                  <w:tcW w:w="649" w:type="pct"/>
                  <w:tcBorders>
                    <w:tl2br w:val="nil"/>
                    <w:tr2bl w:val="nil"/>
                  </w:tcBorders>
                  <w:noWrap w:val="0"/>
                  <w:vAlign w:val="center"/>
                </w:tcPr>
                <w:p w14:paraId="63FE52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盐渍裙带菜</w:t>
                  </w:r>
                </w:p>
              </w:tc>
              <w:tc>
                <w:tcPr>
                  <w:tcW w:w="200" w:type="pct"/>
                  <w:tcBorders>
                    <w:tl2br w:val="nil"/>
                    <w:tr2bl w:val="nil"/>
                  </w:tcBorders>
                  <w:noWrap w:val="0"/>
                  <w:vAlign w:val="center"/>
                </w:tcPr>
                <w:p w14:paraId="68F7D82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417" w:type="pct"/>
                  <w:tcBorders>
                    <w:tl2br w:val="nil"/>
                    <w:tr2bl w:val="nil"/>
                  </w:tcBorders>
                  <w:shd w:val="clear" w:color="auto" w:fill="auto"/>
                  <w:noWrap w:val="0"/>
                  <w:vAlign w:val="center"/>
                </w:tcPr>
                <w:p w14:paraId="12285379">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16" w:type="pct"/>
                  <w:tcBorders>
                    <w:tl2br w:val="nil"/>
                    <w:tr2bl w:val="nil"/>
                  </w:tcBorders>
                  <w:shd w:val="clear" w:color="auto" w:fill="auto"/>
                  <w:noWrap w:val="0"/>
                  <w:vAlign w:val="center"/>
                </w:tcPr>
                <w:p w14:paraId="0CBE33A4">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750</w:t>
                  </w:r>
                </w:p>
              </w:tc>
              <w:tc>
                <w:tcPr>
                  <w:tcW w:w="472" w:type="pct"/>
                  <w:tcBorders>
                    <w:tl2br w:val="nil"/>
                    <w:tr2bl w:val="nil"/>
                  </w:tcBorders>
                  <w:shd w:val="clear" w:color="auto" w:fill="auto"/>
                  <w:noWrap w:val="0"/>
                  <w:vAlign w:val="center"/>
                </w:tcPr>
                <w:p w14:paraId="15B8B45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+750</w:t>
                  </w:r>
                </w:p>
              </w:tc>
              <w:tc>
                <w:tcPr>
                  <w:tcW w:w="418" w:type="pct"/>
                  <w:tcBorders>
                    <w:tl2br w:val="nil"/>
                    <w:tr2bl w:val="nil"/>
                  </w:tcBorders>
                  <w:noWrap w:val="0"/>
                  <w:vAlign w:val="center"/>
                </w:tcPr>
                <w:p w14:paraId="5E36E4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250</w:t>
                  </w:r>
                </w:p>
              </w:tc>
              <w:tc>
                <w:tcPr>
                  <w:tcW w:w="665" w:type="pct"/>
                  <w:tcBorders>
                    <w:tl2br w:val="nil"/>
                    <w:tr2bl w:val="nil"/>
                  </w:tcBorders>
                  <w:noWrap w:val="0"/>
                  <w:vAlign w:val="center"/>
                </w:tcPr>
                <w:p w14:paraId="1E4E4ED5">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26D94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color w:val="auto"/>
                      <w:lang w:val="en-US" w:eastAsia="zh-CN"/>
                    </w:rPr>
                  </w:pPr>
                </w:p>
              </w:tc>
              <w:tc>
                <w:tcPr>
                  <w:tcW w:w="277" w:type="pct"/>
                  <w:vMerge w:val="continue"/>
                  <w:tcBorders>
                    <w:tl2br w:val="nil"/>
                    <w:tr2bl w:val="nil"/>
                  </w:tcBorders>
                  <w:noWrap w:val="0"/>
                  <w:vAlign w:val="center"/>
                </w:tcPr>
                <w:p w14:paraId="3FFDBDC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p>
              </w:tc>
            </w:tr>
            <w:tr w14:paraId="09FB04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262" w:hRule="atLeast"/>
                <w:tblHeader/>
                <w:jc w:val="center"/>
              </w:trPr>
              <w:tc>
                <w:tcPr>
                  <w:tcW w:w="142" w:type="pct"/>
                  <w:tcBorders>
                    <w:tl2br w:val="nil"/>
                    <w:tr2bl w:val="nil"/>
                  </w:tcBorders>
                  <w:shd w:val="clear" w:color="auto" w:fill="auto"/>
                  <w:noWrap w:val="0"/>
                  <w:vAlign w:val="center"/>
                </w:tcPr>
                <w:p w14:paraId="687AB8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3</w:t>
                  </w:r>
                </w:p>
              </w:tc>
              <w:tc>
                <w:tcPr>
                  <w:tcW w:w="665" w:type="pct"/>
                  <w:tcBorders>
                    <w:tl2br w:val="nil"/>
                    <w:tr2bl w:val="nil"/>
                  </w:tcBorders>
                  <w:shd w:val="clear" w:color="auto" w:fill="auto"/>
                  <w:noWrap w:val="0"/>
                  <w:vAlign w:val="center"/>
                </w:tcPr>
                <w:p w14:paraId="2BB33C3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白砂糖</w:t>
                  </w:r>
                </w:p>
              </w:tc>
              <w:tc>
                <w:tcPr>
                  <w:tcW w:w="649" w:type="pct"/>
                  <w:tcBorders>
                    <w:tl2br w:val="nil"/>
                    <w:tr2bl w:val="nil"/>
                  </w:tcBorders>
                  <w:noWrap w:val="0"/>
                  <w:vAlign w:val="center"/>
                </w:tcPr>
                <w:p w14:paraId="6167B69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糖</w:t>
                  </w:r>
                </w:p>
              </w:tc>
              <w:tc>
                <w:tcPr>
                  <w:tcW w:w="200" w:type="pct"/>
                  <w:tcBorders>
                    <w:tl2br w:val="nil"/>
                    <w:tr2bl w:val="nil"/>
                  </w:tcBorders>
                  <w:noWrap w:val="0"/>
                  <w:vAlign w:val="center"/>
                </w:tcPr>
                <w:p w14:paraId="6C4C444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417" w:type="pct"/>
                  <w:tcBorders>
                    <w:tl2br w:val="nil"/>
                    <w:tr2bl w:val="nil"/>
                  </w:tcBorders>
                  <w:shd w:val="clear" w:color="auto" w:fill="auto"/>
                  <w:noWrap w:val="0"/>
                  <w:vAlign w:val="center"/>
                </w:tcPr>
                <w:p w14:paraId="39F7E2AE">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16" w:type="pct"/>
                  <w:tcBorders>
                    <w:tl2br w:val="nil"/>
                    <w:tr2bl w:val="nil"/>
                  </w:tcBorders>
                  <w:shd w:val="clear" w:color="auto" w:fill="auto"/>
                  <w:noWrap w:val="0"/>
                  <w:vAlign w:val="center"/>
                </w:tcPr>
                <w:p w14:paraId="76292411">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145</w:t>
                  </w:r>
                </w:p>
              </w:tc>
              <w:tc>
                <w:tcPr>
                  <w:tcW w:w="472" w:type="pct"/>
                  <w:tcBorders>
                    <w:tl2br w:val="nil"/>
                    <w:tr2bl w:val="nil"/>
                  </w:tcBorders>
                  <w:shd w:val="clear" w:color="auto" w:fill="auto"/>
                  <w:noWrap w:val="0"/>
                  <w:vAlign w:val="center"/>
                </w:tcPr>
                <w:p w14:paraId="0AA2335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+145</w:t>
                  </w:r>
                </w:p>
              </w:tc>
              <w:tc>
                <w:tcPr>
                  <w:tcW w:w="418" w:type="pct"/>
                  <w:tcBorders>
                    <w:tl2br w:val="nil"/>
                    <w:tr2bl w:val="nil"/>
                  </w:tcBorders>
                  <w:noWrap w:val="0"/>
                  <w:vAlign w:val="center"/>
                </w:tcPr>
                <w:p w14:paraId="3754E7E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665" w:type="pct"/>
                  <w:tcBorders>
                    <w:tl2br w:val="nil"/>
                    <w:tr2bl w:val="nil"/>
                  </w:tcBorders>
                  <w:noWrap w:val="0"/>
                  <w:vAlign w:val="center"/>
                </w:tcPr>
                <w:p w14:paraId="4D5BE001">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466264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color w:val="auto"/>
                      <w:lang w:val="en-US" w:eastAsia="zh-CN"/>
                    </w:rPr>
                  </w:pPr>
                </w:p>
              </w:tc>
              <w:tc>
                <w:tcPr>
                  <w:tcW w:w="277" w:type="pct"/>
                  <w:vMerge w:val="continue"/>
                  <w:tcBorders>
                    <w:tl2br w:val="nil"/>
                    <w:tr2bl w:val="nil"/>
                  </w:tcBorders>
                  <w:noWrap w:val="0"/>
                  <w:vAlign w:val="center"/>
                </w:tcPr>
                <w:p w14:paraId="7D69BFC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p>
              </w:tc>
            </w:tr>
            <w:tr w14:paraId="6879DA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262" w:hRule="atLeast"/>
                <w:tblHeader/>
                <w:jc w:val="center"/>
              </w:trPr>
              <w:tc>
                <w:tcPr>
                  <w:tcW w:w="142" w:type="pct"/>
                  <w:tcBorders>
                    <w:tl2br w:val="nil"/>
                    <w:tr2bl w:val="nil"/>
                  </w:tcBorders>
                  <w:shd w:val="clear" w:color="auto" w:fill="auto"/>
                  <w:noWrap w:val="0"/>
                  <w:vAlign w:val="center"/>
                </w:tcPr>
                <w:p w14:paraId="42B673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w:t>
                  </w:r>
                </w:p>
              </w:tc>
              <w:tc>
                <w:tcPr>
                  <w:tcW w:w="665" w:type="pct"/>
                  <w:tcBorders>
                    <w:tl2br w:val="nil"/>
                    <w:tr2bl w:val="nil"/>
                  </w:tcBorders>
                  <w:shd w:val="clear" w:color="auto" w:fill="auto"/>
                  <w:noWrap w:val="0"/>
                  <w:vAlign w:val="center"/>
                </w:tcPr>
                <w:p w14:paraId="322F0A6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泡椒</w:t>
                  </w:r>
                </w:p>
              </w:tc>
              <w:tc>
                <w:tcPr>
                  <w:tcW w:w="649" w:type="pct"/>
                  <w:tcBorders>
                    <w:tl2br w:val="nil"/>
                    <w:tr2bl w:val="nil"/>
                  </w:tcBorders>
                  <w:noWrap w:val="0"/>
                  <w:vAlign w:val="center"/>
                </w:tcPr>
                <w:p w14:paraId="7411867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泡椒</w:t>
                  </w:r>
                </w:p>
              </w:tc>
              <w:tc>
                <w:tcPr>
                  <w:tcW w:w="200" w:type="pct"/>
                  <w:tcBorders>
                    <w:tl2br w:val="nil"/>
                    <w:tr2bl w:val="nil"/>
                  </w:tcBorders>
                  <w:noWrap w:val="0"/>
                  <w:vAlign w:val="center"/>
                </w:tcPr>
                <w:p w14:paraId="3B1E652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417" w:type="pct"/>
                  <w:tcBorders>
                    <w:tl2br w:val="nil"/>
                    <w:tr2bl w:val="nil"/>
                  </w:tcBorders>
                  <w:shd w:val="clear" w:color="auto" w:fill="auto"/>
                  <w:noWrap w:val="0"/>
                  <w:vAlign w:val="center"/>
                </w:tcPr>
                <w:p w14:paraId="309EDC53">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16" w:type="pct"/>
                  <w:tcBorders>
                    <w:tl2br w:val="nil"/>
                    <w:tr2bl w:val="nil"/>
                  </w:tcBorders>
                  <w:shd w:val="clear" w:color="auto" w:fill="auto"/>
                  <w:noWrap w:val="0"/>
                  <w:vAlign w:val="center"/>
                </w:tcPr>
                <w:p w14:paraId="49455D53">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160</w:t>
                  </w:r>
                </w:p>
              </w:tc>
              <w:tc>
                <w:tcPr>
                  <w:tcW w:w="472" w:type="pct"/>
                  <w:tcBorders>
                    <w:tl2br w:val="nil"/>
                    <w:tr2bl w:val="nil"/>
                  </w:tcBorders>
                  <w:shd w:val="clear" w:color="auto" w:fill="auto"/>
                  <w:noWrap w:val="0"/>
                  <w:vAlign w:val="center"/>
                </w:tcPr>
                <w:p w14:paraId="2356C82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+160</w:t>
                  </w:r>
                </w:p>
              </w:tc>
              <w:tc>
                <w:tcPr>
                  <w:tcW w:w="418" w:type="pct"/>
                  <w:tcBorders>
                    <w:tl2br w:val="nil"/>
                    <w:tr2bl w:val="nil"/>
                  </w:tcBorders>
                  <w:noWrap w:val="0"/>
                  <w:vAlign w:val="center"/>
                </w:tcPr>
                <w:p w14:paraId="3C5189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665" w:type="pct"/>
                  <w:tcBorders>
                    <w:tl2br w:val="nil"/>
                    <w:tr2bl w:val="nil"/>
                  </w:tcBorders>
                  <w:noWrap w:val="0"/>
                  <w:vAlign w:val="center"/>
                </w:tcPr>
                <w:p w14:paraId="52A9037E">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6BF1DDA6">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lang w:val="en-US" w:eastAsia="zh-CN"/>
                    </w:rPr>
                  </w:pPr>
                </w:p>
              </w:tc>
              <w:tc>
                <w:tcPr>
                  <w:tcW w:w="277" w:type="pct"/>
                  <w:vMerge w:val="continue"/>
                  <w:tcBorders>
                    <w:tl2br w:val="nil"/>
                    <w:tr2bl w:val="nil"/>
                  </w:tcBorders>
                  <w:noWrap w:val="0"/>
                  <w:vAlign w:val="center"/>
                </w:tcPr>
                <w:p w14:paraId="522FA23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p>
              </w:tc>
            </w:tr>
            <w:tr w14:paraId="31A483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292" w:hRule="atLeast"/>
                <w:tblHeader/>
                <w:jc w:val="center"/>
              </w:trPr>
              <w:tc>
                <w:tcPr>
                  <w:tcW w:w="142" w:type="pct"/>
                  <w:tcBorders>
                    <w:tl2br w:val="nil"/>
                    <w:tr2bl w:val="nil"/>
                  </w:tcBorders>
                  <w:shd w:val="clear" w:color="auto" w:fill="auto"/>
                  <w:noWrap w:val="0"/>
                  <w:vAlign w:val="center"/>
                </w:tcPr>
                <w:p w14:paraId="413970C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5</w:t>
                  </w:r>
                </w:p>
              </w:tc>
              <w:tc>
                <w:tcPr>
                  <w:tcW w:w="665" w:type="pct"/>
                  <w:tcBorders>
                    <w:tl2br w:val="nil"/>
                    <w:tr2bl w:val="nil"/>
                  </w:tcBorders>
                  <w:shd w:val="clear" w:color="auto" w:fill="auto"/>
                  <w:noWrap w:val="0"/>
                  <w:vAlign w:val="center"/>
                </w:tcPr>
                <w:p w14:paraId="2C350E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果葡糖浆</w:t>
                  </w:r>
                </w:p>
              </w:tc>
              <w:tc>
                <w:tcPr>
                  <w:tcW w:w="649" w:type="pct"/>
                  <w:tcBorders>
                    <w:tl2br w:val="nil"/>
                    <w:tr2bl w:val="nil"/>
                  </w:tcBorders>
                  <w:noWrap w:val="0"/>
                  <w:vAlign w:val="center"/>
                </w:tcPr>
                <w:p w14:paraId="174BEC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color w:val="auto"/>
                      <w:szCs w:val="21"/>
                    </w:rPr>
                    <w:t>果葡糖</w:t>
                  </w:r>
                </w:p>
              </w:tc>
              <w:tc>
                <w:tcPr>
                  <w:tcW w:w="200" w:type="pct"/>
                  <w:tcBorders>
                    <w:tl2br w:val="nil"/>
                    <w:tr2bl w:val="nil"/>
                  </w:tcBorders>
                  <w:noWrap w:val="0"/>
                  <w:vAlign w:val="center"/>
                </w:tcPr>
                <w:p w14:paraId="695A8B7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w:t>
                  </w:r>
                </w:p>
              </w:tc>
              <w:tc>
                <w:tcPr>
                  <w:tcW w:w="417" w:type="pct"/>
                  <w:tcBorders>
                    <w:tl2br w:val="nil"/>
                    <w:tr2bl w:val="nil"/>
                  </w:tcBorders>
                  <w:shd w:val="clear" w:color="auto" w:fill="auto"/>
                  <w:noWrap w:val="0"/>
                  <w:vAlign w:val="center"/>
                </w:tcPr>
                <w:p w14:paraId="5D1DF89C">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16" w:type="pct"/>
                  <w:tcBorders>
                    <w:tl2br w:val="nil"/>
                    <w:tr2bl w:val="nil"/>
                  </w:tcBorders>
                  <w:shd w:val="clear" w:color="auto" w:fill="auto"/>
                  <w:noWrap w:val="0"/>
                  <w:vAlign w:val="center"/>
                </w:tcPr>
                <w:p w14:paraId="4E4A87FA">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80</w:t>
                  </w:r>
                </w:p>
              </w:tc>
              <w:tc>
                <w:tcPr>
                  <w:tcW w:w="472" w:type="pct"/>
                  <w:tcBorders>
                    <w:tl2br w:val="nil"/>
                    <w:tr2bl w:val="nil"/>
                  </w:tcBorders>
                  <w:shd w:val="clear" w:color="auto" w:fill="auto"/>
                  <w:noWrap w:val="0"/>
                  <w:vAlign w:val="center"/>
                </w:tcPr>
                <w:p w14:paraId="1E4A07A1">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+80</w:t>
                  </w:r>
                </w:p>
              </w:tc>
              <w:tc>
                <w:tcPr>
                  <w:tcW w:w="418" w:type="pct"/>
                  <w:tcBorders>
                    <w:tl2br w:val="nil"/>
                    <w:tr2bl w:val="nil"/>
                  </w:tcBorders>
                  <w:noWrap w:val="0"/>
                  <w:vAlign w:val="center"/>
                </w:tcPr>
                <w:p w14:paraId="56FD87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w:t>
                  </w:r>
                </w:p>
              </w:tc>
              <w:tc>
                <w:tcPr>
                  <w:tcW w:w="665" w:type="pct"/>
                  <w:tcBorders>
                    <w:tl2br w:val="nil"/>
                    <w:tr2bl w:val="nil"/>
                  </w:tcBorders>
                  <w:noWrap w:val="0"/>
                  <w:vAlign w:val="center"/>
                </w:tcPr>
                <w:p w14:paraId="4870278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6283F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color w:val="auto"/>
                      <w:lang w:val="en-US" w:eastAsia="zh-CN"/>
                    </w:rPr>
                  </w:pPr>
                </w:p>
              </w:tc>
              <w:tc>
                <w:tcPr>
                  <w:tcW w:w="277" w:type="pct"/>
                  <w:vMerge w:val="continue"/>
                  <w:tcBorders>
                    <w:tl2br w:val="nil"/>
                    <w:tr2bl w:val="nil"/>
                  </w:tcBorders>
                  <w:noWrap w:val="0"/>
                  <w:vAlign w:val="center"/>
                </w:tcPr>
                <w:p w14:paraId="6799677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p>
              </w:tc>
            </w:tr>
            <w:tr w14:paraId="6C7CE1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262" w:hRule="atLeast"/>
                <w:tblHeader/>
                <w:jc w:val="center"/>
              </w:trPr>
              <w:tc>
                <w:tcPr>
                  <w:tcW w:w="142" w:type="pct"/>
                  <w:tcBorders>
                    <w:tl2br w:val="nil"/>
                    <w:tr2bl w:val="nil"/>
                  </w:tcBorders>
                  <w:shd w:val="clear" w:color="auto" w:fill="auto"/>
                  <w:noWrap w:val="0"/>
                  <w:vAlign w:val="center"/>
                </w:tcPr>
                <w:p w14:paraId="0063251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665" w:type="pct"/>
                  <w:tcBorders>
                    <w:tl2br w:val="nil"/>
                    <w:tr2bl w:val="nil"/>
                  </w:tcBorders>
                  <w:shd w:val="clear" w:color="auto" w:fill="auto"/>
                  <w:noWrap w:val="0"/>
                  <w:vAlign w:val="center"/>
                </w:tcPr>
                <w:p w14:paraId="6C49B0D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精盐</w:t>
                  </w:r>
                </w:p>
              </w:tc>
              <w:tc>
                <w:tcPr>
                  <w:tcW w:w="649" w:type="pct"/>
                  <w:tcBorders>
                    <w:tl2br w:val="nil"/>
                    <w:tr2bl w:val="nil"/>
                  </w:tcBorders>
                  <w:noWrap w:val="0"/>
                  <w:vAlign w:val="center"/>
                </w:tcPr>
                <w:p w14:paraId="1E455A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Na</w:t>
                  </w:r>
                  <w:r>
                    <w:rPr>
                      <w:rFonts w:hint="eastAsia" w:cs="Times New Roman"/>
                      <w:color w:val="auto"/>
                      <w:lang w:val="en-US" w:eastAsia="zh-CN"/>
                    </w:rPr>
                    <w:t>Cl</w:t>
                  </w:r>
                </w:p>
              </w:tc>
              <w:tc>
                <w:tcPr>
                  <w:tcW w:w="200" w:type="pct"/>
                  <w:tcBorders>
                    <w:tl2br w:val="nil"/>
                    <w:tr2bl w:val="nil"/>
                  </w:tcBorders>
                  <w:noWrap w:val="0"/>
                  <w:vAlign w:val="center"/>
                </w:tcPr>
                <w:p w14:paraId="486309E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417" w:type="pct"/>
                  <w:tcBorders>
                    <w:tl2br w:val="nil"/>
                    <w:tr2bl w:val="nil"/>
                  </w:tcBorders>
                  <w:shd w:val="clear" w:color="auto" w:fill="auto"/>
                  <w:noWrap w:val="0"/>
                  <w:vAlign w:val="center"/>
                </w:tcPr>
                <w:p w14:paraId="7E5D157D">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16" w:type="pct"/>
                  <w:tcBorders>
                    <w:tl2br w:val="nil"/>
                    <w:tr2bl w:val="nil"/>
                  </w:tcBorders>
                  <w:shd w:val="clear" w:color="auto" w:fill="auto"/>
                  <w:noWrap w:val="0"/>
                  <w:vAlign w:val="center"/>
                </w:tcPr>
                <w:p w14:paraId="6870A81E">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32</w:t>
                  </w:r>
                </w:p>
              </w:tc>
              <w:tc>
                <w:tcPr>
                  <w:tcW w:w="472" w:type="pct"/>
                  <w:tcBorders>
                    <w:tl2br w:val="nil"/>
                    <w:tr2bl w:val="nil"/>
                  </w:tcBorders>
                  <w:shd w:val="clear" w:color="auto" w:fill="auto"/>
                  <w:noWrap w:val="0"/>
                  <w:vAlign w:val="center"/>
                </w:tcPr>
                <w:p w14:paraId="440A5BAE">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+32</w:t>
                  </w:r>
                </w:p>
              </w:tc>
              <w:tc>
                <w:tcPr>
                  <w:tcW w:w="418" w:type="pct"/>
                  <w:tcBorders>
                    <w:tl2br w:val="nil"/>
                    <w:tr2bl w:val="nil"/>
                  </w:tcBorders>
                  <w:noWrap w:val="0"/>
                  <w:vAlign w:val="center"/>
                </w:tcPr>
                <w:p w14:paraId="6C30792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665" w:type="pct"/>
                  <w:tcBorders>
                    <w:tl2br w:val="nil"/>
                    <w:tr2bl w:val="nil"/>
                  </w:tcBorders>
                  <w:noWrap w:val="0"/>
                  <w:vAlign w:val="center"/>
                </w:tcPr>
                <w:p w14:paraId="15C522D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368A22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color w:val="auto"/>
                      <w:lang w:val="en-US" w:eastAsia="zh-CN"/>
                    </w:rPr>
                  </w:pPr>
                </w:p>
              </w:tc>
              <w:tc>
                <w:tcPr>
                  <w:tcW w:w="277" w:type="pct"/>
                  <w:vMerge w:val="continue"/>
                  <w:tcBorders>
                    <w:tl2br w:val="nil"/>
                    <w:tr2bl w:val="nil"/>
                  </w:tcBorders>
                  <w:noWrap w:val="0"/>
                  <w:vAlign w:val="center"/>
                </w:tcPr>
                <w:p w14:paraId="53A5C6D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p>
              </w:tc>
            </w:tr>
            <w:tr w14:paraId="60AA28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07" w:hRule="atLeast"/>
                <w:tblHeader/>
                <w:jc w:val="center"/>
              </w:trPr>
              <w:tc>
                <w:tcPr>
                  <w:tcW w:w="142" w:type="pct"/>
                  <w:tcBorders>
                    <w:tl2br w:val="nil"/>
                    <w:tr2bl w:val="nil"/>
                  </w:tcBorders>
                  <w:shd w:val="clear" w:color="auto" w:fill="auto"/>
                  <w:noWrap w:val="0"/>
                  <w:vAlign w:val="center"/>
                </w:tcPr>
                <w:p w14:paraId="49A97DF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665" w:type="pct"/>
                  <w:tcBorders>
                    <w:tl2br w:val="nil"/>
                    <w:tr2bl w:val="nil"/>
                  </w:tcBorders>
                  <w:shd w:val="clear" w:color="auto" w:fill="auto"/>
                  <w:noWrap w:val="0"/>
                  <w:vAlign w:val="center"/>
                </w:tcPr>
                <w:p w14:paraId="7379A1F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香油</w:t>
                  </w:r>
                </w:p>
              </w:tc>
              <w:tc>
                <w:tcPr>
                  <w:tcW w:w="649" w:type="pct"/>
                  <w:tcBorders>
                    <w:tl2br w:val="nil"/>
                    <w:tr2bl w:val="nil"/>
                  </w:tcBorders>
                  <w:noWrap w:val="0"/>
                  <w:vAlign w:val="center"/>
                </w:tcPr>
                <w:p w14:paraId="0E1CC7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color w:val="auto"/>
                      <w:szCs w:val="21"/>
                    </w:rPr>
                    <w:t>油</w:t>
                  </w:r>
                </w:p>
              </w:tc>
              <w:tc>
                <w:tcPr>
                  <w:tcW w:w="200" w:type="pct"/>
                  <w:tcBorders>
                    <w:tl2br w:val="nil"/>
                    <w:tr2bl w:val="nil"/>
                  </w:tcBorders>
                  <w:noWrap w:val="0"/>
                  <w:vAlign w:val="center"/>
                </w:tcPr>
                <w:p w14:paraId="64847F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w:t>
                  </w:r>
                </w:p>
              </w:tc>
              <w:tc>
                <w:tcPr>
                  <w:tcW w:w="417" w:type="pct"/>
                  <w:tcBorders>
                    <w:tl2br w:val="nil"/>
                    <w:tr2bl w:val="nil"/>
                  </w:tcBorders>
                  <w:shd w:val="clear" w:color="auto" w:fill="auto"/>
                  <w:noWrap w:val="0"/>
                  <w:vAlign w:val="center"/>
                </w:tcPr>
                <w:p w14:paraId="07E4C7D8">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16" w:type="pct"/>
                  <w:tcBorders>
                    <w:tl2br w:val="nil"/>
                    <w:tr2bl w:val="nil"/>
                  </w:tcBorders>
                  <w:shd w:val="clear" w:color="auto" w:fill="auto"/>
                  <w:noWrap w:val="0"/>
                  <w:vAlign w:val="center"/>
                </w:tcPr>
                <w:p w14:paraId="4F6043BC">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8</w:t>
                  </w:r>
                </w:p>
              </w:tc>
              <w:tc>
                <w:tcPr>
                  <w:tcW w:w="472" w:type="pct"/>
                  <w:tcBorders>
                    <w:tl2br w:val="nil"/>
                    <w:tr2bl w:val="nil"/>
                  </w:tcBorders>
                  <w:shd w:val="clear" w:color="auto" w:fill="auto"/>
                  <w:noWrap w:val="0"/>
                  <w:vAlign w:val="center"/>
                </w:tcPr>
                <w:p w14:paraId="202A2EE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+8</w:t>
                  </w:r>
                </w:p>
              </w:tc>
              <w:tc>
                <w:tcPr>
                  <w:tcW w:w="418" w:type="pct"/>
                  <w:tcBorders>
                    <w:tl2br w:val="nil"/>
                    <w:tr2bl w:val="nil"/>
                  </w:tcBorders>
                  <w:noWrap w:val="0"/>
                  <w:vAlign w:val="center"/>
                </w:tcPr>
                <w:p w14:paraId="3E1F50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665" w:type="pct"/>
                  <w:tcBorders>
                    <w:tl2br w:val="nil"/>
                    <w:tr2bl w:val="nil"/>
                  </w:tcBorders>
                  <w:noWrap w:val="0"/>
                  <w:vAlign w:val="center"/>
                </w:tcPr>
                <w:p w14:paraId="4D4EA49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0E5C7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color w:val="auto"/>
                      <w:lang w:val="en-US" w:eastAsia="zh-CN"/>
                    </w:rPr>
                  </w:pPr>
                </w:p>
              </w:tc>
              <w:tc>
                <w:tcPr>
                  <w:tcW w:w="277" w:type="pct"/>
                  <w:vMerge w:val="continue"/>
                  <w:tcBorders>
                    <w:tl2br w:val="nil"/>
                    <w:tr2bl w:val="nil"/>
                  </w:tcBorders>
                  <w:noWrap w:val="0"/>
                  <w:vAlign w:val="center"/>
                </w:tcPr>
                <w:p w14:paraId="0E3A80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p>
              </w:tc>
            </w:tr>
            <w:tr w14:paraId="37DEB2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52" w:hRule="atLeast"/>
                <w:tblHeader/>
                <w:jc w:val="center"/>
              </w:trPr>
              <w:tc>
                <w:tcPr>
                  <w:tcW w:w="142" w:type="pct"/>
                  <w:tcBorders>
                    <w:tl2br w:val="nil"/>
                    <w:tr2bl w:val="nil"/>
                  </w:tcBorders>
                  <w:shd w:val="clear" w:color="auto" w:fill="auto"/>
                  <w:noWrap w:val="0"/>
                  <w:vAlign w:val="center"/>
                </w:tcPr>
                <w:p w14:paraId="69992297">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665" w:type="pct"/>
                  <w:tcBorders>
                    <w:tl2br w:val="nil"/>
                    <w:tr2bl w:val="nil"/>
                  </w:tcBorders>
                  <w:shd w:val="clear" w:color="auto" w:fill="auto"/>
                  <w:noWrap w:val="0"/>
                  <w:vAlign w:val="center"/>
                </w:tcPr>
                <w:p w14:paraId="478E3CD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芝麻仁</w:t>
                  </w:r>
                </w:p>
              </w:tc>
              <w:tc>
                <w:tcPr>
                  <w:tcW w:w="649" w:type="pct"/>
                  <w:tcBorders>
                    <w:tl2br w:val="nil"/>
                    <w:tr2bl w:val="nil"/>
                  </w:tcBorders>
                  <w:noWrap w:val="0"/>
                  <w:vAlign w:val="center"/>
                </w:tcPr>
                <w:p w14:paraId="263473B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color w:val="auto"/>
                      <w:szCs w:val="21"/>
                    </w:rPr>
                    <w:t>油</w:t>
                  </w:r>
                </w:p>
              </w:tc>
              <w:tc>
                <w:tcPr>
                  <w:tcW w:w="200" w:type="pct"/>
                  <w:tcBorders>
                    <w:tl2br w:val="nil"/>
                    <w:tr2bl w:val="nil"/>
                  </w:tcBorders>
                  <w:noWrap w:val="0"/>
                  <w:vAlign w:val="center"/>
                </w:tcPr>
                <w:p w14:paraId="20D572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417" w:type="pct"/>
                  <w:tcBorders>
                    <w:tl2br w:val="nil"/>
                    <w:tr2bl w:val="nil"/>
                  </w:tcBorders>
                  <w:shd w:val="clear" w:color="auto" w:fill="auto"/>
                  <w:noWrap w:val="0"/>
                  <w:vAlign w:val="center"/>
                </w:tcPr>
                <w:p w14:paraId="77895F2C">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516" w:type="pct"/>
                  <w:tcBorders>
                    <w:tl2br w:val="nil"/>
                    <w:tr2bl w:val="nil"/>
                  </w:tcBorders>
                  <w:noWrap w:val="0"/>
                  <w:vAlign w:val="center"/>
                </w:tcPr>
                <w:p w14:paraId="3D05343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w:t>
                  </w:r>
                </w:p>
              </w:tc>
              <w:tc>
                <w:tcPr>
                  <w:tcW w:w="472" w:type="pct"/>
                  <w:tcBorders>
                    <w:tl2br w:val="nil"/>
                    <w:tr2bl w:val="nil"/>
                  </w:tcBorders>
                  <w:shd w:val="clear" w:color="auto" w:fill="auto"/>
                  <w:noWrap w:val="0"/>
                  <w:vAlign w:val="center"/>
                </w:tcPr>
                <w:p w14:paraId="1719642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+13</w:t>
                  </w:r>
                </w:p>
              </w:tc>
              <w:tc>
                <w:tcPr>
                  <w:tcW w:w="418" w:type="pct"/>
                  <w:tcBorders>
                    <w:tl2br w:val="nil"/>
                    <w:tr2bl w:val="nil"/>
                  </w:tcBorders>
                  <w:noWrap w:val="0"/>
                  <w:vAlign w:val="center"/>
                </w:tcPr>
                <w:p w14:paraId="12AF05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665" w:type="pct"/>
                  <w:tcBorders>
                    <w:tl2br w:val="nil"/>
                    <w:tr2bl w:val="nil"/>
                  </w:tcBorders>
                  <w:noWrap w:val="0"/>
                  <w:vAlign w:val="center"/>
                </w:tcPr>
                <w:p w14:paraId="3440D037">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43F893B0">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lang w:val="en-US" w:eastAsia="zh-CN"/>
                    </w:rPr>
                  </w:pPr>
                </w:p>
              </w:tc>
              <w:tc>
                <w:tcPr>
                  <w:tcW w:w="277" w:type="pct"/>
                  <w:vMerge w:val="continue"/>
                  <w:tcBorders>
                    <w:tl2br w:val="nil"/>
                    <w:tr2bl w:val="nil"/>
                  </w:tcBorders>
                  <w:noWrap w:val="0"/>
                  <w:vAlign w:val="center"/>
                </w:tcPr>
                <w:p w14:paraId="67D090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p>
              </w:tc>
            </w:tr>
            <w:tr w14:paraId="062195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352" w:hRule="atLeast"/>
                <w:tblHeader/>
                <w:jc w:val="center"/>
              </w:trPr>
              <w:tc>
                <w:tcPr>
                  <w:tcW w:w="142" w:type="pct"/>
                  <w:tcBorders>
                    <w:tl2br w:val="nil"/>
                    <w:tr2bl w:val="nil"/>
                  </w:tcBorders>
                  <w:shd w:val="clear" w:color="auto" w:fill="auto"/>
                  <w:noWrap w:val="0"/>
                  <w:vAlign w:val="center"/>
                </w:tcPr>
                <w:p w14:paraId="0D7A9727">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w:t>
                  </w:r>
                </w:p>
              </w:tc>
              <w:tc>
                <w:tcPr>
                  <w:tcW w:w="665" w:type="pct"/>
                  <w:tcBorders>
                    <w:tl2br w:val="nil"/>
                    <w:tr2bl w:val="nil"/>
                  </w:tcBorders>
                  <w:shd w:val="clear" w:color="auto" w:fill="auto"/>
                  <w:noWrap w:val="0"/>
                  <w:vAlign w:val="center"/>
                </w:tcPr>
                <w:p w14:paraId="45F2165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次氯酸钠</w:t>
                  </w:r>
                </w:p>
              </w:tc>
              <w:tc>
                <w:tcPr>
                  <w:tcW w:w="649" w:type="pct"/>
                  <w:tcBorders>
                    <w:tl2br w:val="nil"/>
                    <w:tr2bl w:val="nil"/>
                  </w:tcBorders>
                  <w:noWrap w:val="0"/>
                  <w:vAlign w:val="center"/>
                </w:tcPr>
                <w:p w14:paraId="34CB98A6">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Cs w:val="21"/>
                      <w:lang w:val="en-US" w:eastAsia="zh-CN"/>
                    </w:rPr>
                  </w:pPr>
                  <w:r>
                    <w:rPr>
                      <w:rFonts w:hint="eastAsia"/>
                      <w:color w:val="auto"/>
                      <w:szCs w:val="21"/>
                      <w:lang w:val="en-US" w:eastAsia="zh-CN"/>
                    </w:rPr>
                    <w:t>99%;25KG</w:t>
                  </w:r>
                </w:p>
              </w:tc>
              <w:tc>
                <w:tcPr>
                  <w:tcW w:w="200" w:type="pct"/>
                  <w:tcBorders>
                    <w:tl2br w:val="nil"/>
                    <w:tr2bl w:val="nil"/>
                  </w:tcBorders>
                  <w:noWrap w:val="0"/>
                  <w:vAlign w:val="center"/>
                </w:tcPr>
                <w:p w14:paraId="28F10BD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w:t>
                  </w:r>
                </w:p>
              </w:tc>
              <w:tc>
                <w:tcPr>
                  <w:tcW w:w="417" w:type="pct"/>
                  <w:tcBorders>
                    <w:tl2br w:val="nil"/>
                    <w:tr2bl w:val="nil"/>
                  </w:tcBorders>
                  <w:shd w:val="clear" w:color="auto" w:fill="auto"/>
                  <w:noWrap w:val="0"/>
                  <w:vAlign w:val="center"/>
                </w:tcPr>
                <w:p w14:paraId="1D8B2971">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16" w:type="pct"/>
                  <w:tcBorders>
                    <w:tl2br w:val="nil"/>
                    <w:tr2bl w:val="nil"/>
                  </w:tcBorders>
                  <w:noWrap w:val="0"/>
                  <w:vAlign w:val="center"/>
                </w:tcPr>
                <w:p w14:paraId="103682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0.6</w:t>
                  </w:r>
                </w:p>
              </w:tc>
              <w:tc>
                <w:tcPr>
                  <w:tcW w:w="472" w:type="pct"/>
                  <w:tcBorders>
                    <w:tl2br w:val="nil"/>
                    <w:tr2bl w:val="nil"/>
                  </w:tcBorders>
                  <w:shd w:val="clear" w:color="auto" w:fill="auto"/>
                  <w:noWrap w:val="0"/>
                  <w:vAlign w:val="center"/>
                </w:tcPr>
                <w:p w14:paraId="4CD4B28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eastAsia" w:cs="Times New Roman"/>
                      <w:color w:val="auto"/>
                      <w:lang w:val="en-US" w:eastAsia="zh-CN"/>
                    </w:rPr>
                    <w:t>0.6</w:t>
                  </w:r>
                </w:p>
              </w:tc>
              <w:tc>
                <w:tcPr>
                  <w:tcW w:w="418" w:type="pct"/>
                  <w:tcBorders>
                    <w:tl2br w:val="nil"/>
                    <w:tr2bl w:val="nil"/>
                  </w:tcBorders>
                  <w:noWrap w:val="0"/>
                  <w:vAlign w:val="center"/>
                </w:tcPr>
                <w:p w14:paraId="35FFB39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0.1</w:t>
                  </w:r>
                </w:p>
              </w:tc>
              <w:tc>
                <w:tcPr>
                  <w:tcW w:w="665" w:type="pct"/>
                  <w:tcBorders>
                    <w:tl2br w:val="nil"/>
                    <w:tr2bl w:val="nil"/>
                  </w:tcBorders>
                  <w:noWrap w:val="0"/>
                  <w:vAlign w:val="center"/>
                </w:tcPr>
                <w:p w14:paraId="46470D05">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化验室</w:t>
                  </w:r>
                </w:p>
              </w:tc>
              <w:tc>
                <w:tcPr>
                  <w:tcW w:w="573" w:type="pct"/>
                  <w:vMerge w:val="continue"/>
                  <w:tcBorders>
                    <w:tl2br w:val="nil"/>
                    <w:tr2bl w:val="nil"/>
                  </w:tcBorders>
                  <w:noWrap w:val="0"/>
                  <w:vAlign w:val="center"/>
                </w:tcPr>
                <w:p w14:paraId="1825643D">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color w:val="auto"/>
                      <w:lang w:val="en-US" w:eastAsia="zh-CN"/>
                    </w:rPr>
                  </w:pPr>
                </w:p>
              </w:tc>
              <w:tc>
                <w:tcPr>
                  <w:tcW w:w="277" w:type="pct"/>
                  <w:vMerge w:val="continue"/>
                  <w:tcBorders>
                    <w:tl2br w:val="nil"/>
                    <w:tr2bl w:val="nil"/>
                  </w:tcBorders>
                  <w:noWrap w:val="0"/>
                  <w:vAlign w:val="center"/>
                </w:tcPr>
                <w:p w14:paraId="0892D9F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p>
              </w:tc>
            </w:tr>
            <w:tr w14:paraId="0BDB21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73F2215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665" w:type="pct"/>
                  <w:tcBorders>
                    <w:tl2br w:val="nil"/>
                    <w:tr2bl w:val="nil"/>
                  </w:tcBorders>
                  <w:noWrap w:val="0"/>
                  <w:vAlign w:val="center"/>
                </w:tcPr>
                <w:p w14:paraId="02BC9D7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水产原料</w:t>
                  </w:r>
                </w:p>
              </w:tc>
              <w:tc>
                <w:tcPr>
                  <w:tcW w:w="649" w:type="pct"/>
                  <w:tcBorders>
                    <w:tl2br w:val="nil"/>
                    <w:tr2bl w:val="nil"/>
                  </w:tcBorders>
                  <w:noWrap w:val="0"/>
                  <w:vAlign w:val="center"/>
                </w:tcPr>
                <w:p w14:paraId="51A4860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冷冻鱿鱼</w:t>
                  </w:r>
                </w:p>
              </w:tc>
              <w:tc>
                <w:tcPr>
                  <w:tcW w:w="200" w:type="pct"/>
                  <w:tcBorders>
                    <w:tl2br w:val="nil"/>
                    <w:tr2bl w:val="nil"/>
                  </w:tcBorders>
                  <w:noWrap w:val="0"/>
                  <w:vAlign w:val="center"/>
                </w:tcPr>
                <w:p w14:paraId="232167C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417" w:type="pct"/>
                  <w:tcBorders>
                    <w:tl2br w:val="nil"/>
                    <w:tr2bl w:val="nil"/>
                  </w:tcBorders>
                  <w:noWrap w:val="0"/>
                  <w:vAlign w:val="center"/>
                </w:tcPr>
                <w:p w14:paraId="03C4D08B">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4500</w:t>
                  </w:r>
                </w:p>
              </w:tc>
              <w:tc>
                <w:tcPr>
                  <w:tcW w:w="516" w:type="pct"/>
                  <w:tcBorders>
                    <w:tl2br w:val="nil"/>
                    <w:tr2bl w:val="nil"/>
                  </w:tcBorders>
                  <w:noWrap w:val="0"/>
                  <w:vAlign w:val="center"/>
                </w:tcPr>
                <w:p w14:paraId="0F4BE0B2">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4500</w:t>
                  </w:r>
                </w:p>
              </w:tc>
              <w:tc>
                <w:tcPr>
                  <w:tcW w:w="472" w:type="pct"/>
                  <w:tcBorders>
                    <w:tl2br w:val="nil"/>
                    <w:tr2bl w:val="nil"/>
                  </w:tcBorders>
                  <w:shd w:val="clear" w:color="auto" w:fill="auto"/>
                  <w:noWrap w:val="0"/>
                  <w:vAlign w:val="center"/>
                </w:tcPr>
                <w:p w14:paraId="635FEAD1">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noWrap w:val="0"/>
                  <w:vAlign w:val="center"/>
                </w:tcPr>
                <w:p w14:paraId="33F278A9">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2000</w:t>
                  </w:r>
                </w:p>
              </w:tc>
              <w:tc>
                <w:tcPr>
                  <w:tcW w:w="665" w:type="pct"/>
                  <w:tcBorders>
                    <w:tl2br w:val="nil"/>
                    <w:tr2bl w:val="nil"/>
                  </w:tcBorders>
                  <w:noWrap w:val="0"/>
                  <w:vAlign w:val="center"/>
                </w:tcPr>
                <w:p w14:paraId="609CA3E0">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冷冻库</w:t>
                  </w:r>
                </w:p>
              </w:tc>
              <w:tc>
                <w:tcPr>
                  <w:tcW w:w="573" w:type="pct"/>
                  <w:vMerge w:val="restart"/>
                  <w:tcBorders>
                    <w:tl2br w:val="nil"/>
                    <w:tr2bl w:val="nil"/>
                  </w:tcBorders>
                  <w:noWrap w:val="0"/>
                  <w:vAlign w:val="center"/>
                </w:tcPr>
                <w:p w14:paraId="4FFFD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cs="Times New Roman"/>
                      <w:color w:val="auto"/>
                      <w:sz w:val="21"/>
                      <w:szCs w:val="21"/>
                      <w:lang w:val="en-US" w:eastAsia="zh-CN"/>
                    </w:rPr>
                    <w:t>二期未建设项目</w:t>
                  </w:r>
                </w:p>
              </w:tc>
              <w:tc>
                <w:tcPr>
                  <w:tcW w:w="277" w:type="pct"/>
                  <w:vMerge w:val="continue"/>
                  <w:tcBorders>
                    <w:tl2br w:val="nil"/>
                    <w:tr2bl w:val="nil"/>
                  </w:tcBorders>
                  <w:noWrap w:val="0"/>
                  <w:vAlign w:val="center"/>
                </w:tcPr>
                <w:p w14:paraId="2D2A27C0">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lang w:val="en-US" w:eastAsia="zh-CN"/>
                    </w:rPr>
                  </w:pPr>
                </w:p>
              </w:tc>
            </w:tr>
            <w:tr w14:paraId="632CA4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1F6C055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665" w:type="pct"/>
                  <w:tcBorders>
                    <w:tl2br w:val="nil"/>
                    <w:tr2bl w:val="nil"/>
                  </w:tcBorders>
                  <w:noWrap w:val="0"/>
                  <w:vAlign w:val="center"/>
                </w:tcPr>
                <w:p w14:paraId="0CC3D0A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盐</w:t>
                  </w:r>
                </w:p>
              </w:tc>
              <w:tc>
                <w:tcPr>
                  <w:tcW w:w="649" w:type="pct"/>
                  <w:tcBorders>
                    <w:tl2br w:val="nil"/>
                    <w:tr2bl w:val="nil"/>
                  </w:tcBorders>
                  <w:noWrap w:val="0"/>
                  <w:vAlign w:val="center"/>
                </w:tcPr>
                <w:p w14:paraId="73DC790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Na</w:t>
                  </w:r>
                  <w:r>
                    <w:rPr>
                      <w:rFonts w:hint="eastAsia" w:cs="Times New Roman"/>
                      <w:color w:val="auto"/>
                      <w:lang w:val="en-US" w:eastAsia="zh-CN"/>
                    </w:rPr>
                    <w:t>Cl</w:t>
                  </w:r>
                </w:p>
              </w:tc>
              <w:tc>
                <w:tcPr>
                  <w:tcW w:w="200" w:type="pct"/>
                  <w:tcBorders>
                    <w:tl2br w:val="nil"/>
                    <w:tr2bl w:val="nil"/>
                  </w:tcBorders>
                  <w:noWrap w:val="0"/>
                  <w:vAlign w:val="center"/>
                </w:tcPr>
                <w:p w14:paraId="0DE0D4F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w:t>
                  </w:r>
                </w:p>
              </w:tc>
              <w:tc>
                <w:tcPr>
                  <w:tcW w:w="417" w:type="pct"/>
                  <w:tcBorders>
                    <w:tl2br w:val="nil"/>
                    <w:tr2bl w:val="nil"/>
                  </w:tcBorders>
                  <w:noWrap w:val="0"/>
                  <w:vAlign w:val="center"/>
                </w:tcPr>
                <w:p w14:paraId="2995F7CC">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150</w:t>
                  </w:r>
                </w:p>
              </w:tc>
              <w:tc>
                <w:tcPr>
                  <w:tcW w:w="516" w:type="pct"/>
                  <w:tcBorders>
                    <w:tl2br w:val="nil"/>
                    <w:tr2bl w:val="nil"/>
                  </w:tcBorders>
                  <w:noWrap w:val="0"/>
                  <w:vAlign w:val="center"/>
                </w:tcPr>
                <w:p w14:paraId="00600A13">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150</w:t>
                  </w:r>
                </w:p>
              </w:tc>
              <w:tc>
                <w:tcPr>
                  <w:tcW w:w="472" w:type="pct"/>
                  <w:tcBorders>
                    <w:tl2br w:val="nil"/>
                    <w:tr2bl w:val="nil"/>
                  </w:tcBorders>
                  <w:shd w:val="clear" w:color="auto" w:fill="auto"/>
                  <w:noWrap w:val="0"/>
                  <w:vAlign w:val="center"/>
                </w:tcPr>
                <w:p w14:paraId="4887DA1F">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noWrap w:val="0"/>
                  <w:vAlign w:val="center"/>
                </w:tcPr>
                <w:p w14:paraId="3B130C0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665" w:type="pct"/>
                  <w:tcBorders>
                    <w:tl2br w:val="nil"/>
                    <w:tr2bl w:val="nil"/>
                  </w:tcBorders>
                  <w:noWrap w:val="0"/>
                  <w:vAlign w:val="center"/>
                </w:tcPr>
                <w:p w14:paraId="057A7290">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3B825F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p>
              </w:tc>
              <w:tc>
                <w:tcPr>
                  <w:tcW w:w="277" w:type="pct"/>
                  <w:vMerge w:val="continue"/>
                  <w:tcBorders>
                    <w:tl2br w:val="nil"/>
                    <w:tr2bl w:val="nil"/>
                  </w:tcBorders>
                  <w:noWrap w:val="0"/>
                  <w:vAlign w:val="center"/>
                </w:tcPr>
                <w:p w14:paraId="321C917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39D60D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6F30AFB9">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665" w:type="pct"/>
                  <w:tcBorders>
                    <w:tl2br w:val="nil"/>
                    <w:tr2bl w:val="nil"/>
                  </w:tcBorders>
                  <w:noWrap w:val="0"/>
                  <w:vAlign w:val="center"/>
                </w:tcPr>
                <w:p w14:paraId="2D1D535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碳酸氢钠</w:t>
                  </w:r>
                </w:p>
              </w:tc>
              <w:tc>
                <w:tcPr>
                  <w:tcW w:w="649" w:type="pct"/>
                  <w:tcBorders>
                    <w:tl2br w:val="nil"/>
                    <w:tr2bl w:val="nil"/>
                  </w:tcBorders>
                  <w:noWrap w:val="0"/>
                  <w:vAlign w:val="center"/>
                </w:tcPr>
                <w:p w14:paraId="632B1B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碳酸氢钠</w:t>
                  </w:r>
                </w:p>
              </w:tc>
              <w:tc>
                <w:tcPr>
                  <w:tcW w:w="200" w:type="pct"/>
                  <w:tcBorders>
                    <w:tl2br w:val="nil"/>
                    <w:tr2bl w:val="nil"/>
                  </w:tcBorders>
                  <w:noWrap w:val="0"/>
                  <w:vAlign w:val="center"/>
                </w:tcPr>
                <w:p w14:paraId="369C83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w:t>
                  </w:r>
                </w:p>
              </w:tc>
              <w:tc>
                <w:tcPr>
                  <w:tcW w:w="417" w:type="pct"/>
                  <w:tcBorders>
                    <w:tl2br w:val="nil"/>
                    <w:tr2bl w:val="nil"/>
                  </w:tcBorders>
                  <w:noWrap w:val="0"/>
                  <w:vAlign w:val="center"/>
                </w:tcPr>
                <w:p w14:paraId="16B7B859">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100</w:t>
                  </w:r>
                </w:p>
              </w:tc>
              <w:tc>
                <w:tcPr>
                  <w:tcW w:w="516" w:type="pct"/>
                  <w:tcBorders>
                    <w:tl2br w:val="nil"/>
                    <w:tr2bl w:val="nil"/>
                  </w:tcBorders>
                  <w:noWrap w:val="0"/>
                  <w:vAlign w:val="center"/>
                </w:tcPr>
                <w:p w14:paraId="5E251FCE">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100</w:t>
                  </w:r>
                </w:p>
              </w:tc>
              <w:tc>
                <w:tcPr>
                  <w:tcW w:w="472" w:type="pct"/>
                  <w:tcBorders>
                    <w:tl2br w:val="nil"/>
                    <w:tr2bl w:val="nil"/>
                  </w:tcBorders>
                  <w:shd w:val="clear" w:color="auto" w:fill="auto"/>
                  <w:noWrap w:val="0"/>
                  <w:vAlign w:val="center"/>
                </w:tcPr>
                <w:p w14:paraId="30C223C2">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noWrap w:val="0"/>
                  <w:vAlign w:val="center"/>
                </w:tcPr>
                <w:p w14:paraId="160E4D7F">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665" w:type="pct"/>
                  <w:tcBorders>
                    <w:tl2br w:val="nil"/>
                    <w:tr2bl w:val="nil"/>
                  </w:tcBorders>
                  <w:noWrap w:val="0"/>
                  <w:vAlign w:val="center"/>
                </w:tcPr>
                <w:p w14:paraId="36C9631C">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0125F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p>
              </w:tc>
              <w:tc>
                <w:tcPr>
                  <w:tcW w:w="277" w:type="pct"/>
                  <w:vMerge w:val="continue"/>
                  <w:tcBorders>
                    <w:tl2br w:val="nil"/>
                    <w:tr2bl w:val="nil"/>
                  </w:tcBorders>
                  <w:noWrap w:val="0"/>
                  <w:vAlign w:val="center"/>
                </w:tcPr>
                <w:p w14:paraId="11CD067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32866E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10768559">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665" w:type="pct"/>
                  <w:tcBorders>
                    <w:tl2br w:val="nil"/>
                    <w:tr2bl w:val="nil"/>
                  </w:tcBorders>
                  <w:noWrap w:val="0"/>
                  <w:vAlign w:val="center"/>
                </w:tcPr>
                <w:p w14:paraId="77338DA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色拉油</w:t>
                  </w:r>
                </w:p>
              </w:tc>
              <w:tc>
                <w:tcPr>
                  <w:tcW w:w="649" w:type="pct"/>
                  <w:tcBorders>
                    <w:tl2br w:val="nil"/>
                    <w:tr2bl w:val="nil"/>
                  </w:tcBorders>
                  <w:noWrap w:val="0"/>
                  <w:vAlign w:val="center"/>
                </w:tcPr>
                <w:p w14:paraId="20B8EC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色拉油</w:t>
                  </w:r>
                </w:p>
              </w:tc>
              <w:tc>
                <w:tcPr>
                  <w:tcW w:w="200" w:type="pct"/>
                  <w:tcBorders>
                    <w:tl2br w:val="nil"/>
                    <w:tr2bl w:val="nil"/>
                  </w:tcBorders>
                  <w:noWrap w:val="0"/>
                  <w:vAlign w:val="center"/>
                </w:tcPr>
                <w:p w14:paraId="3C4B6AE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417" w:type="pct"/>
                  <w:tcBorders>
                    <w:tl2br w:val="nil"/>
                    <w:tr2bl w:val="nil"/>
                  </w:tcBorders>
                  <w:noWrap w:val="0"/>
                  <w:vAlign w:val="center"/>
                </w:tcPr>
                <w:p w14:paraId="6EA93F70">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30</w:t>
                  </w:r>
                </w:p>
              </w:tc>
              <w:tc>
                <w:tcPr>
                  <w:tcW w:w="516" w:type="pct"/>
                  <w:tcBorders>
                    <w:tl2br w:val="nil"/>
                    <w:tr2bl w:val="nil"/>
                  </w:tcBorders>
                  <w:noWrap w:val="0"/>
                  <w:vAlign w:val="center"/>
                </w:tcPr>
                <w:p w14:paraId="4F525CFF">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472" w:type="pct"/>
                  <w:tcBorders>
                    <w:tl2br w:val="nil"/>
                    <w:tr2bl w:val="nil"/>
                  </w:tcBorders>
                  <w:shd w:val="clear" w:color="auto" w:fill="auto"/>
                  <w:noWrap w:val="0"/>
                  <w:vAlign w:val="center"/>
                </w:tcPr>
                <w:p w14:paraId="7224A705">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noWrap w:val="0"/>
                  <w:vAlign w:val="center"/>
                </w:tcPr>
                <w:p w14:paraId="0D9487E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665" w:type="pct"/>
                  <w:tcBorders>
                    <w:tl2br w:val="nil"/>
                    <w:tr2bl w:val="nil"/>
                  </w:tcBorders>
                  <w:noWrap w:val="0"/>
                  <w:vAlign w:val="center"/>
                </w:tcPr>
                <w:p w14:paraId="7306542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辅料库</w:t>
                  </w:r>
                </w:p>
              </w:tc>
              <w:tc>
                <w:tcPr>
                  <w:tcW w:w="573" w:type="pct"/>
                  <w:vMerge w:val="continue"/>
                  <w:tcBorders>
                    <w:tl2br w:val="nil"/>
                    <w:tr2bl w:val="nil"/>
                  </w:tcBorders>
                  <w:noWrap w:val="0"/>
                  <w:vAlign w:val="center"/>
                </w:tcPr>
                <w:p w14:paraId="0FA450E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p>
              </w:tc>
              <w:tc>
                <w:tcPr>
                  <w:tcW w:w="277" w:type="pct"/>
                  <w:vMerge w:val="continue"/>
                  <w:tcBorders>
                    <w:tl2br w:val="nil"/>
                    <w:tr2bl w:val="nil"/>
                  </w:tcBorders>
                  <w:noWrap w:val="0"/>
                  <w:vAlign w:val="center"/>
                </w:tcPr>
                <w:p w14:paraId="3721DC0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1D89E0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532" w:hRule="atLeast"/>
                <w:jc w:val="center"/>
              </w:trPr>
              <w:tc>
                <w:tcPr>
                  <w:tcW w:w="142" w:type="pct"/>
                  <w:tcBorders>
                    <w:tl2br w:val="nil"/>
                    <w:tr2bl w:val="nil"/>
                  </w:tcBorders>
                  <w:shd w:val="clear" w:color="auto" w:fill="auto"/>
                  <w:noWrap w:val="0"/>
                  <w:vAlign w:val="center"/>
                </w:tcPr>
                <w:p w14:paraId="78F8E55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665" w:type="pct"/>
                  <w:tcBorders>
                    <w:tl2br w:val="nil"/>
                    <w:tr2bl w:val="nil"/>
                  </w:tcBorders>
                  <w:noWrap w:val="0"/>
                  <w:vAlign w:val="center"/>
                </w:tcPr>
                <w:p w14:paraId="2495CB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藻类</w:t>
                  </w:r>
                  <w:r>
                    <w:rPr>
                      <w:rFonts w:hint="eastAsia" w:ascii="Times New Roman" w:hAnsi="Times New Roman" w:eastAsia="宋体" w:cs="Times New Roman"/>
                      <w:color w:val="auto"/>
                      <w:lang w:val="en-US" w:eastAsia="zh-CN"/>
                    </w:rPr>
                    <w:t>原料</w:t>
                  </w:r>
                </w:p>
              </w:tc>
              <w:tc>
                <w:tcPr>
                  <w:tcW w:w="649" w:type="pct"/>
                  <w:tcBorders>
                    <w:tl2br w:val="nil"/>
                    <w:tr2bl w:val="nil"/>
                  </w:tcBorders>
                  <w:noWrap w:val="0"/>
                  <w:vAlign w:val="center"/>
                </w:tcPr>
                <w:p w14:paraId="1CF702D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冷冻裙</w:t>
                  </w:r>
                </w:p>
                <w:p w14:paraId="1E17F32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带菜叶</w:t>
                  </w:r>
                </w:p>
              </w:tc>
              <w:tc>
                <w:tcPr>
                  <w:tcW w:w="200" w:type="pct"/>
                  <w:tcBorders>
                    <w:tl2br w:val="nil"/>
                    <w:tr2bl w:val="nil"/>
                  </w:tcBorders>
                  <w:noWrap w:val="0"/>
                  <w:vAlign w:val="center"/>
                </w:tcPr>
                <w:p w14:paraId="208E29C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固</w:t>
                  </w:r>
                </w:p>
              </w:tc>
              <w:tc>
                <w:tcPr>
                  <w:tcW w:w="417" w:type="pct"/>
                  <w:tcBorders>
                    <w:tl2br w:val="nil"/>
                    <w:tr2bl w:val="nil"/>
                  </w:tcBorders>
                  <w:noWrap w:val="0"/>
                  <w:vAlign w:val="center"/>
                </w:tcPr>
                <w:p w14:paraId="46224B4E">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5000</w:t>
                  </w:r>
                </w:p>
              </w:tc>
              <w:tc>
                <w:tcPr>
                  <w:tcW w:w="516" w:type="pct"/>
                  <w:tcBorders>
                    <w:tl2br w:val="nil"/>
                    <w:tr2bl w:val="nil"/>
                  </w:tcBorders>
                  <w:noWrap w:val="0"/>
                  <w:vAlign w:val="center"/>
                </w:tcPr>
                <w:p w14:paraId="43CA8AA3">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5000</w:t>
                  </w:r>
                </w:p>
              </w:tc>
              <w:tc>
                <w:tcPr>
                  <w:tcW w:w="472" w:type="pct"/>
                  <w:tcBorders>
                    <w:tl2br w:val="nil"/>
                    <w:tr2bl w:val="nil"/>
                  </w:tcBorders>
                  <w:shd w:val="clear" w:color="auto" w:fill="auto"/>
                  <w:noWrap w:val="0"/>
                  <w:vAlign w:val="center"/>
                </w:tcPr>
                <w:p w14:paraId="78F592B4">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noWrap w:val="0"/>
                  <w:vAlign w:val="center"/>
                </w:tcPr>
                <w:p w14:paraId="47E6BC4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1000</w:t>
                  </w:r>
                </w:p>
              </w:tc>
              <w:tc>
                <w:tcPr>
                  <w:tcW w:w="665" w:type="pct"/>
                  <w:tcBorders>
                    <w:tl2br w:val="nil"/>
                    <w:tr2bl w:val="nil"/>
                  </w:tcBorders>
                  <w:noWrap w:val="0"/>
                  <w:vAlign w:val="center"/>
                </w:tcPr>
                <w:p w14:paraId="3D06F5C5">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冷冻库</w:t>
                  </w:r>
                </w:p>
              </w:tc>
              <w:tc>
                <w:tcPr>
                  <w:tcW w:w="573" w:type="pct"/>
                  <w:vMerge w:val="continue"/>
                  <w:tcBorders>
                    <w:tl2br w:val="nil"/>
                    <w:tr2bl w:val="nil"/>
                  </w:tcBorders>
                  <w:noWrap w:val="0"/>
                  <w:vAlign w:val="center"/>
                </w:tcPr>
                <w:p w14:paraId="69AE8E1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lang w:val="en-US" w:eastAsia="zh-CN"/>
                    </w:rPr>
                  </w:pPr>
                </w:p>
              </w:tc>
              <w:tc>
                <w:tcPr>
                  <w:tcW w:w="277" w:type="pct"/>
                  <w:vMerge w:val="continue"/>
                  <w:tcBorders>
                    <w:tl2br w:val="nil"/>
                    <w:tr2bl w:val="nil"/>
                  </w:tcBorders>
                  <w:noWrap w:val="0"/>
                  <w:vAlign w:val="center"/>
                </w:tcPr>
                <w:p w14:paraId="5A8A62CE">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2CE2A4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4003578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665" w:type="pct"/>
                  <w:tcBorders>
                    <w:tl2br w:val="nil"/>
                    <w:tr2bl w:val="nil"/>
                  </w:tcBorders>
                  <w:noWrap w:val="0"/>
                  <w:vAlign w:val="center"/>
                </w:tcPr>
                <w:p w14:paraId="5B88910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冷冻牛肉</w:t>
                  </w:r>
                </w:p>
              </w:tc>
              <w:tc>
                <w:tcPr>
                  <w:tcW w:w="649" w:type="pct"/>
                  <w:tcBorders>
                    <w:tl2br w:val="nil"/>
                    <w:tr2bl w:val="nil"/>
                  </w:tcBorders>
                  <w:noWrap w:val="0"/>
                  <w:vAlign w:val="center"/>
                </w:tcPr>
                <w:p w14:paraId="3BD78FF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冷冻牛肉</w:t>
                  </w:r>
                </w:p>
              </w:tc>
              <w:tc>
                <w:tcPr>
                  <w:tcW w:w="200" w:type="pct"/>
                  <w:tcBorders>
                    <w:tl2br w:val="nil"/>
                    <w:tr2bl w:val="nil"/>
                  </w:tcBorders>
                  <w:noWrap w:val="0"/>
                  <w:vAlign w:val="center"/>
                </w:tcPr>
                <w:p w14:paraId="75688A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417" w:type="pct"/>
                  <w:tcBorders>
                    <w:tl2br w:val="nil"/>
                    <w:tr2bl w:val="nil"/>
                  </w:tcBorders>
                  <w:noWrap w:val="0"/>
                  <w:vAlign w:val="center"/>
                </w:tcPr>
                <w:p w14:paraId="0A445CAE">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4000</w:t>
                  </w:r>
                </w:p>
              </w:tc>
              <w:tc>
                <w:tcPr>
                  <w:tcW w:w="516" w:type="pct"/>
                  <w:tcBorders>
                    <w:tl2br w:val="nil"/>
                    <w:tr2bl w:val="nil"/>
                  </w:tcBorders>
                  <w:shd w:val="clear" w:color="auto" w:fill="auto"/>
                  <w:noWrap w:val="0"/>
                  <w:vAlign w:val="center"/>
                </w:tcPr>
                <w:p w14:paraId="6DF062FF">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4000</w:t>
                  </w:r>
                </w:p>
              </w:tc>
              <w:tc>
                <w:tcPr>
                  <w:tcW w:w="472" w:type="pct"/>
                  <w:tcBorders>
                    <w:tl2br w:val="nil"/>
                    <w:tr2bl w:val="nil"/>
                  </w:tcBorders>
                  <w:shd w:val="clear" w:color="auto" w:fill="auto"/>
                  <w:noWrap w:val="0"/>
                  <w:vAlign w:val="center"/>
                </w:tcPr>
                <w:p w14:paraId="44BAE94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noWrap w:val="0"/>
                  <w:vAlign w:val="center"/>
                </w:tcPr>
                <w:p w14:paraId="4E588DF5">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1000</w:t>
                  </w:r>
                </w:p>
              </w:tc>
              <w:tc>
                <w:tcPr>
                  <w:tcW w:w="665" w:type="pct"/>
                  <w:tcBorders>
                    <w:tl2br w:val="nil"/>
                    <w:tr2bl w:val="nil"/>
                  </w:tcBorders>
                  <w:noWrap w:val="0"/>
                  <w:vAlign w:val="center"/>
                </w:tcPr>
                <w:p w14:paraId="12CCC2E2">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冷冻库</w:t>
                  </w:r>
                </w:p>
              </w:tc>
              <w:tc>
                <w:tcPr>
                  <w:tcW w:w="573" w:type="pct"/>
                  <w:vMerge w:val="continue"/>
                  <w:tcBorders>
                    <w:tl2br w:val="nil"/>
                    <w:tr2bl w:val="nil"/>
                  </w:tcBorders>
                  <w:noWrap w:val="0"/>
                  <w:vAlign w:val="center"/>
                </w:tcPr>
                <w:p w14:paraId="58E2343F">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277" w:type="pct"/>
                  <w:vMerge w:val="continue"/>
                  <w:tcBorders>
                    <w:tl2br w:val="nil"/>
                    <w:tr2bl w:val="nil"/>
                  </w:tcBorders>
                  <w:noWrap w:val="0"/>
                  <w:vAlign w:val="center"/>
                </w:tcPr>
                <w:p w14:paraId="3ED59EF0">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324EEB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39403EB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665" w:type="pct"/>
                  <w:tcBorders>
                    <w:tl2br w:val="nil"/>
                    <w:tr2bl w:val="nil"/>
                  </w:tcBorders>
                  <w:shd w:val="clear" w:color="auto" w:fill="auto"/>
                  <w:noWrap w:val="0"/>
                  <w:vAlign w:val="center"/>
                </w:tcPr>
                <w:p w14:paraId="6A6F8ED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杏鲍菇</w:t>
                  </w:r>
                </w:p>
              </w:tc>
              <w:tc>
                <w:tcPr>
                  <w:tcW w:w="649" w:type="pct"/>
                  <w:tcBorders>
                    <w:tl2br w:val="nil"/>
                    <w:tr2bl w:val="nil"/>
                  </w:tcBorders>
                  <w:shd w:val="clear" w:color="auto" w:fill="auto"/>
                  <w:noWrap w:val="0"/>
                  <w:vAlign w:val="center"/>
                </w:tcPr>
                <w:p w14:paraId="3C378D6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杏鲍菇</w:t>
                  </w:r>
                </w:p>
              </w:tc>
              <w:tc>
                <w:tcPr>
                  <w:tcW w:w="200" w:type="pct"/>
                  <w:tcBorders>
                    <w:tl2br w:val="nil"/>
                    <w:tr2bl w:val="nil"/>
                  </w:tcBorders>
                  <w:shd w:val="clear" w:color="auto" w:fill="auto"/>
                  <w:noWrap w:val="0"/>
                  <w:vAlign w:val="center"/>
                </w:tcPr>
                <w:p w14:paraId="24DD4D5C">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tcBorders>
                    <w:tl2br w:val="nil"/>
                    <w:tr2bl w:val="nil"/>
                  </w:tcBorders>
                  <w:shd w:val="clear" w:color="auto" w:fill="auto"/>
                  <w:noWrap w:val="0"/>
                  <w:vAlign w:val="center"/>
                </w:tcPr>
                <w:p w14:paraId="2241D79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7</w:t>
                  </w:r>
                  <w:r>
                    <w:rPr>
                      <w:color w:val="auto"/>
                      <w:szCs w:val="21"/>
                    </w:rPr>
                    <w:t>224</w:t>
                  </w:r>
                </w:p>
              </w:tc>
              <w:tc>
                <w:tcPr>
                  <w:tcW w:w="516" w:type="pct"/>
                  <w:tcBorders>
                    <w:tl2br w:val="nil"/>
                    <w:tr2bl w:val="nil"/>
                  </w:tcBorders>
                  <w:shd w:val="clear" w:color="auto" w:fill="auto"/>
                  <w:noWrap w:val="0"/>
                  <w:vAlign w:val="center"/>
                </w:tcPr>
                <w:p w14:paraId="29AE391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7</w:t>
                  </w:r>
                  <w:r>
                    <w:rPr>
                      <w:color w:val="auto"/>
                      <w:szCs w:val="21"/>
                    </w:rPr>
                    <w:t>224</w:t>
                  </w:r>
                </w:p>
              </w:tc>
              <w:tc>
                <w:tcPr>
                  <w:tcW w:w="472" w:type="pct"/>
                  <w:tcBorders>
                    <w:tl2br w:val="nil"/>
                    <w:tr2bl w:val="nil"/>
                  </w:tcBorders>
                  <w:shd w:val="clear" w:color="auto" w:fill="auto"/>
                  <w:noWrap w:val="0"/>
                  <w:vAlign w:val="center"/>
                </w:tcPr>
                <w:p w14:paraId="17820AD9">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7203B618">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50</w:t>
                  </w:r>
                </w:p>
              </w:tc>
              <w:tc>
                <w:tcPr>
                  <w:tcW w:w="665" w:type="pct"/>
                  <w:tcBorders>
                    <w:tl2br w:val="nil"/>
                    <w:tr2bl w:val="nil"/>
                  </w:tcBorders>
                  <w:shd w:val="clear" w:color="auto" w:fill="auto"/>
                  <w:noWrap w:val="0"/>
                  <w:vAlign w:val="center"/>
                </w:tcPr>
                <w:p w14:paraId="692BA7A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vMerge w:val="restart"/>
                  <w:tcBorders>
                    <w:tl2br w:val="nil"/>
                    <w:tr2bl w:val="nil"/>
                  </w:tcBorders>
                  <w:noWrap w:val="0"/>
                  <w:vAlign w:val="center"/>
                </w:tcPr>
                <w:p w14:paraId="378E5265">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一期现有项目</w:t>
                  </w:r>
                </w:p>
              </w:tc>
              <w:tc>
                <w:tcPr>
                  <w:tcW w:w="277" w:type="pct"/>
                  <w:vMerge w:val="continue"/>
                  <w:tcBorders>
                    <w:tl2br w:val="nil"/>
                    <w:tr2bl w:val="nil"/>
                  </w:tcBorders>
                  <w:noWrap w:val="0"/>
                  <w:vAlign w:val="center"/>
                </w:tcPr>
                <w:p w14:paraId="620703F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6F3199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3E65792E">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w:t>
                  </w:r>
                </w:p>
              </w:tc>
              <w:tc>
                <w:tcPr>
                  <w:tcW w:w="665" w:type="pct"/>
                  <w:tcBorders>
                    <w:tl2br w:val="nil"/>
                    <w:tr2bl w:val="nil"/>
                  </w:tcBorders>
                  <w:shd w:val="clear" w:color="auto" w:fill="auto"/>
                  <w:noWrap w:val="0"/>
                  <w:vAlign w:val="center"/>
                </w:tcPr>
                <w:p w14:paraId="53A2A3C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黄豆</w:t>
                  </w:r>
                </w:p>
              </w:tc>
              <w:tc>
                <w:tcPr>
                  <w:tcW w:w="649" w:type="pct"/>
                  <w:tcBorders>
                    <w:tl2br w:val="nil"/>
                    <w:tr2bl w:val="nil"/>
                  </w:tcBorders>
                  <w:shd w:val="clear" w:color="auto" w:fill="auto"/>
                  <w:noWrap w:val="0"/>
                  <w:vAlign w:val="center"/>
                </w:tcPr>
                <w:p w14:paraId="71E6FE6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黄豆</w:t>
                  </w:r>
                </w:p>
              </w:tc>
              <w:tc>
                <w:tcPr>
                  <w:tcW w:w="200" w:type="pct"/>
                  <w:tcBorders>
                    <w:tl2br w:val="nil"/>
                    <w:tr2bl w:val="nil"/>
                  </w:tcBorders>
                  <w:shd w:val="clear" w:color="auto" w:fill="auto"/>
                  <w:noWrap w:val="0"/>
                  <w:vAlign w:val="center"/>
                </w:tcPr>
                <w:p w14:paraId="3F01F285">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tcBorders>
                    <w:tl2br w:val="nil"/>
                    <w:tr2bl w:val="nil"/>
                  </w:tcBorders>
                  <w:shd w:val="clear" w:color="auto" w:fill="auto"/>
                  <w:noWrap w:val="0"/>
                  <w:vAlign w:val="center"/>
                </w:tcPr>
                <w:p w14:paraId="1D52DAF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3750</w:t>
                  </w:r>
                </w:p>
              </w:tc>
              <w:tc>
                <w:tcPr>
                  <w:tcW w:w="516" w:type="pct"/>
                  <w:tcBorders>
                    <w:tl2br w:val="nil"/>
                    <w:tr2bl w:val="nil"/>
                  </w:tcBorders>
                  <w:shd w:val="clear" w:color="auto" w:fill="auto"/>
                  <w:noWrap w:val="0"/>
                  <w:vAlign w:val="center"/>
                </w:tcPr>
                <w:p w14:paraId="17DCD46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3750</w:t>
                  </w:r>
                </w:p>
              </w:tc>
              <w:tc>
                <w:tcPr>
                  <w:tcW w:w="472" w:type="pct"/>
                  <w:tcBorders>
                    <w:tl2br w:val="nil"/>
                    <w:tr2bl w:val="nil"/>
                  </w:tcBorders>
                  <w:shd w:val="clear" w:color="auto" w:fill="auto"/>
                  <w:noWrap w:val="0"/>
                  <w:vAlign w:val="center"/>
                </w:tcPr>
                <w:p w14:paraId="7F008EFA">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6C27725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15</w:t>
                  </w:r>
                </w:p>
              </w:tc>
              <w:tc>
                <w:tcPr>
                  <w:tcW w:w="665" w:type="pct"/>
                  <w:tcBorders>
                    <w:tl2br w:val="nil"/>
                    <w:tr2bl w:val="nil"/>
                  </w:tcBorders>
                  <w:shd w:val="clear" w:color="auto" w:fill="auto"/>
                  <w:noWrap w:val="0"/>
                  <w:vAlign w:val="center"/>
                </w:tcPr>
                <w:p w14:paraId="071BDFD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vMerge w:val="continue"/>
                  <w:tcBorders>
                    <w:tl2br w:val="nil"/>
                    <w:tr2bl w:val="nil"/>
                  </w:tcBorders>
                  <w:noWrap w:val="0"/>
                  <w:vAlign w:val="center"/>
                </w:tcPr>
                <w:p w14:paraId="2243266B">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39B119A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0C7A47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7DFD583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665" w:type="pct"/>
                  <w:tcBorders>
                    <w:tl2br w:val="nil"/>
                    <w:tr2bl w:val="nil"/>
                  </w:tcBorders>
                  <w:shd w:val="clear" w:color="auto" w:fill="auto"/>
                  <w:noWrap w:val="0"/>
                  <w:vAlign w:val="center"/>
                </w:tcPr>
                <w:p w14:paraId="3208D72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芥兰</w:t>
                  </w:r>
                </w:p>
              </w:tc>
              <w:tc>
                <w:tcPr>
                  <w:tcW w:w="649" w:type="pct"/>
                  <w:tcBorders>
                    <w:tl2br w:val="nil"/>
                    <w:tr2bl w:val="nil"/>
                  </w:tcBorders>
                  <w:shd w:val="clear" w:color="auto" w:fill="auto"/>
                  <w:noWrap w:val="0"/>
                  <w:vAlign w:val="center"/>
                </w:tcPr>
                <w:p w14:paraId="39E714A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芥兰</w:t>
                  </w:r>
                </w:p>
              </w:tc>
              <w:tc>
                <w:tcPr>
                  <w:tcW w:w="200" w:type="pct"/>
                  <w:tcBorders>
                    <w:tl2br w:val="nil"/>
                    <w:tr2bl w:val="nil"/>
                  </w:tcBorders>
                  <w:shd w:val="clear" w:color="auto" w:fill="auto"/>
                  <w:noWrap w:val="0"/>
                  <w:vAlign w:val="center"/>
                </w:tcPr>
                <w:p w14:paraId="0657E17E">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tcBorders>
                    <w:tl2br w:val="nil"/>
                    <w:tr2bl w:val="nil"/>
                  </w:tcBorders>
                  <w:shd w:val="clear" w:color="auto" w:fill="auto"/>
                  <w:noWrap w:val="0"/>
                  <w:vAlign w:val="center"/>
                </w:tcPr>
                <w:p w14:paraId="4263536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625</w:t>
                  </w:r>
                </w:p>
              </w:tc>
              <w:tc>
                <w:tcPr>
                  <w:tcW w:w="516" w:type="pct"/>
                  <w:tcBorders>
                    <w:tl2br w:val="nil"/>
                    <w:tr2bl w:val="nil"/>
                  </w:tcBorders>
                  <w:shd w:val="clear" w:color="auto" w:fill="auto"/>
                  <w:noWrap w:val="0"/>
                  <w:vAlign w:val="center"/>
                </w:tcPr>
                <w:p w14:paraId="31054C7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625</w:t>
                  </w:r>
                </w:p>
              </w:tc>
              <w:tc>
                <w:tcPr>
                  <w:tcW w:w="472" w:type="pct"/>
                  <w:tcBorders>
                    <w:tl2br w:val="nil"/>
                    <w:tr2bl w:val="nil"/>
                  </w:tcBorders>
                  <w:shd w:val="clear" w:color="auto" w:fill="auto"/>
                  <w:noWrap w:val="0"/>
                  <w:vAlign w:val="center"/>
                </w:tcPr>
                <w:p w14:paraId="4E89DADD">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073B471F">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w:t>
                  </w:r>
                </w:p>
              </w:tc>
              <w:tc>
                <w:tcPr>
                  <w:tcW w:w="665" w:type="pct"/>
                  <w:tcBorders>
                    <w:tl2br w:val="nil"/>
                    <w:tr2bl w:val="nil"/>
                  </w:tcBorders>
                  <w:shd w:val="clear" w:color="auto" w:fill="auto"/>
                  <w:noWrap w:val="0"/>
                  <w:vAlign w:val="center"/>
                </w:tcPr>
                <w:p w14:paraId="77F5123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vMerge w:val="continue"/>
                  <w:tcBorders>
                    <w:tl2br w:val="nil"/>
                    <w:tr2bl w:val="nil"/>
                  </w:tcBorders>
                  <w:noWrap w:val="0"/>
                  <w:vAlign w:val="center"/>
                </w:tcPr>
                <w:p w14:paraId="3BF30FCF">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6EA6A569">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4D4678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78DC8680">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665" w:type="pct"/>
                  <w:tcBorders>
                    <w:tl2br w:val="nil"/>
                    <w:tr2bl w:val="nil"/>
                  </w:tcBorders>
                  <w:shd w:val="clear" w:color="auto" w:fill="auto"/>
                  <w:noWrap w:val="0"/>
                  <w:vAlign w:val="center"/>
                </w:tcPr>
                <w:p w14:paraId="3170B0DF">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莲藕</w:t>
                  </w:r>
                </w:p>
              </w:tc>
              <w:tc>
                <w:tcPr>
                  <w:tcW w:w="649" w:type="pct"/>
                  <w:tcBorders>
                    <w:tl2br w:val="nil"/>
                    <w:tr2bl w:val="nil"/>
                  </w:tcBorders>
                  <w:shd w:val="clear" w:color="auto" w:fill="auto"/>
                  <w:noWrap w:val="0"/>
                  <w:vAlign w:val="center"/>
                </w:tcPr>
                <w:p w14:paraId="24136EC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莲藕</w:t>
                  </w:r>
                </w:p>
              </w:tc>
              <w:tc>
                <w:tcPr>
                  <w:tcW w:w="200" w:type="pct"/>
                  <w:tcBorders>
                    <w:tl2br w:val="nil"/>
                    <w:tr2bl w:val="nil"/>
                  </w:tcBorders>
                  <w:shd w:val="clear" w:color="auto" w:fill="auto"/>
                  <w:noWrap w:val="0"/>
                  <w:vAlign w:val="center"/>
                </w:tcPr>
                <w:p w14:paraId="7E40C01A">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tcBorders>
                    <w:tl2br w:val="nil"/>
                    <w:tr2bl w:val="nil"/>
                  </w:tcBorders>
                  <w:shd w:val="clear" w:color="auto" w:fill="auto"/>
                  <w:noWrap w:val="0"/>
                  <w:vAlign w:val="center"/>
                </w:tcPr>
                <w:p w14:paraId="16B2E76D">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4375</w:t>
                  </w:r>
                </w:p>
              </w:tc>
              <w:tc>
                <w:tcPr>
                  <w:tcW w:w="516" w:type="pct"/>
                  <w:tcBorders>
                    <w:tl2br w:val="nil"/>
                    <w:tr2bl w:val="nil"/>
                  </w:tcBorders>
                  <w:shd w:val="clear" w:color="auto" w:fill="auto"/>
                  <w:noWrap w:val="0"/>
                  <w:vAlign w:val="center"/>
                </w:tcPr>
                <w:p w14:paraId="2B282ACA">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4375</w:t>
                  </w:r>
                </w:p>
              </w:tc>
              <w:tc>
                <w:tcPr>
                  <w:tcW w:w="472" w:type="pct"/>
                  <w:tcBorders>
                    <w:tl2br w:val="nil"/>
                    <w:tr2bl w:val="nil"/>
                  </w:tcBorders>
                  <w:shd w:val="clear" w:color="auto" w:fill="auto"/>
                  <w:noWrap w:val="0"/>
                  <w:vAlign w:val="center"/>
                </w:tcPr>
                <w:p w14:paraId="44F5DD0B">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472C7F8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20</w:t>
                  </w:r>
                </w:p>
              </w:tc>
              <w:tc>
                <w:tcPr>
                  <w:tcW w:w="665" w:type="pct"/>
                  <w:tcBorders>
                    <w:tl2br w:val="nil"/>
                    <w:tr2bl w:val="nil"/>
                  </w:tcBorders>
                  <w:shd w:val="clear" w:color="auto" w:fill="auto"/>
                  <w:noWrap w:val="0"/>
                  <w:vAlign w:val="center"/>
                </w:tcPr>
                <w:p w14:paraId="2128B34F">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vMerge w:val="continue"/>
                  <w:tcBorders>
                    <w:tl2br w:val="nil"/>
                    <w:tr2bl w:val="nil"/>
                  </w:tcBorders>
                  <w:noWrap w:val="0"/>
                  <w:vAlign w:val="center"/>
                </w:tcPr>
                <w:p w14:paraId="40BF88FA">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171D7627">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1092B4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1D7B361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665" w:type="pct"/>
                  <w:tcBorders>
                    <w:tl2br w:val="nil"/>
                    <w:tr2bl w:val="nil"/>
                  </w:tcBorders>
                  <w:shd w:val="clear" w:color="auto" w:fill="auto"/>
                  <w:noWrap w:val="0"/>
                  <w:vAlign w:val="center"/>
                </w:tcPr>
                <w:p w14:paraId="5AF6F87B">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金针菇</w:t>
                  </w:r>
                </w:p>
              </w:tc>
              <w:tc>
                <w:tcPr>
                  <w:tcW w:w="649" w:type="pct"/>
                  <w:tcBorders>
                    <w:tl2br w:val="nil"/>
                    <w:tr2bl w:val="nil"/>
                  </w:tcBorders>
                  <w:shd w:val="clear" w:color="auto" w:fill="auto"/>
                  <w:noWrap w:val="0"/>
                  <w:vAlign w:val="center"/>
                </w:tcPr>
                <w:p w14:paraId="7264331B">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金针菇</w:t>
                  </w:r>
                </w:p>
              </w:tc>
              <w:tc>
                <w:tcPr>
                  <w:tcW w:w="200" w:type="pct"/>
                  <w:tcBorders>
                    <w:tl2br w:val="nil"/>
                    <w:tr2bl w:val="nil"/>
                  </w:tcBorders>
                  <w:shd w:val="clear" w:color="auto" w:fill="auto"/>
                  <w:noWrap w:val="0"/>
                  <w:vAlign w:val="center"/>
                </w:tcPr>
                <w:p w14:paraId="3CDEFDEA">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tcBorders>
                    <w:tl2br w:val="nil"/>
                    <w:tr2bl w:val="nil"/>
                  </w:tcBorders>
                  <w:shd w:val="clear" w:color="auto" w:fill="auto"/>
                  <w:noWrap w:val="0"/>
                  <w:vAlign w:val="center"/>
                </w:tcPr>
                <w:p w14:paraId="720D6DD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4</w:t>
                  </w:r>
                  <w:r>
                    <w:rPr>
                      <w:color w:val="auto"/>
                      <w:szCs w:val="21"/>
                    </w:rPr>
                    <w:t>20</w:t>
                  </w:r>
                </w:p>
              </w:tc>
              <w:tc>
                <w:tcPr>
                  <w:tcW w:w="516" w:type="pct"/>
                  <w:tcBorders>
                    <w:tl2br w:val="nil"/>
                    <w:tr2bl w:val="nil"/>
                  </w:tcBorders>
                  <w:shd w:val="clear" w:color="auto" w:fill="auto"/>
                  <w:noWrap w:val="0"/>
                  <w:vAlign w:val="center"/>
                </w:tcPr>
                <w:p w14:paraId="6B2FD88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4</w:t>
                  </w:r>
                  <w:r>
                    <w:rPr>
                      <w:color w:val="auto"/>
                      <w:szCs w:val="21"/>
                    </w:rPr>
                    <w:t>20</w:t>
                  </w:r>
                </w:p>
              </w:tc>
              <w:tc>
                <w:tcPr>
                  <w:tcW w:w="472" w:type="pct"/>
                  <w:tcBorders>
                    <w:tl2br w:val="nil"/>
                    <w:tr2bl w:val="nil"/>
                  </w:tcBorders>
                  <w:shd w:val="clear" w:color="auto" w:fill="auto"/>
                  <w:noWrap w:val="0"/>
                  <w:vAlign w:val="center"/>
                </w:tcPr>
                <w:p w14:paraId="5F22CE9F">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50D25E8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15</w:t>
                  </w:r>
                </w:p>
              </w:tc>
              <w:tc>
                <w:tcPr>
                  <w:tcW w:w="665" w:type="pct"/>
                  <w:tcBorders>
                    <w:tl2br w:val="nil"/>
                    <w:tr2bl w:val="nil"/>
                  </w:tcBorders>
                  <w:shd w:val="clear" w:color="auto" w:fill="auto"/>
                  <w:noWrap w:val="0"/>
                  <w:vAlign w:val="center"/>
                </w:tcPr>
                <w:p w14:paraId="18B8083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vMerge w:val="continue"/>
                  <w:tcBorders>
                    <w:tl2br w:val="nil"/>
                    <w:tr2bl w:val="nil"/>
                  </w:tcBorders>
                  <w:noWrap w:val="0"/>
                  <w:vAlign w:val="center"/>
                </w:tcPr>
                <w:p w14:paraId="03F16F53">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1F6C84F5">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129EAB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3F0390D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665" w:type="pct"/>
                  <w:tcBorders>
                    <w:tl2br w:val="nil"/>
                    <w:tr2bl w:val="nil"/>
                  </w:tcBorders>
                  <w:shd w:val="clear" w:color="auto" w:fill="auto"/>
                  <w:noWrap w:val="0"/>
                  <w:vAlign w:val="center"/>
                </w:tcPr>
                <w:p w14:paraId="72C8B89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双孢菇</w:t>
                  </w:r>
                </w:p>
              </w:tc>
              <w:tc>
                <w:tcPr>
                  <w:tcW w:w="649" w:type="pct"/>
                  <w:tcBorders>
                    <w:tl2br w:val="nil"/>
                    <w:tr2bl w:val="nil"/>
                  </w:tcBorders>
                  <w:shd w:val="clear" w:color="auto" w:fill="auto"/>
                  <w:noWrap w:val="0"/>
                  <w:vAlign w:val="center"/>
                </w:tcPr>
                <w:p w14:paraId="1E4D8A4B">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双孢菇</w:t>
                  </w:r>
                </w:p>
              </w:tc>
              <w:tc>
                <w:tcPr>
                  <w:tcW w:w="200" w:type="pct"/>
                  <w:tcBorders>
                    <w:tl2br w:val="nil"/>
                    <w:tr2bl w:val="nil"/>
                  </w:tcBorders>
                  <w:shd w:val="clear" w:color="auto" w:fill="auto"/>
                  <w:noWrap w:val="0"/>
                  <w:vAlign w:val="center"/>
                </w:tcPr>
                <w:p w14:paraId="047DD436">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tcBorders>
                    <w:tl2br w:val="nil"/>
                    <w:tr2bl w:val="nil"/>
                  </w:tcBorders>
                  <w:shd w:val="clear" w:color="auto" w:fill="auto"/>
                  <w:noWrap w:val="0"/>
                  <w:vAlign w:val="center"/>
                </w:tcPr>
                <w:p w14:paraId="065BE13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4</w:t>
                  </w:r>
                  <w:r>
                    <w:rPr>
                      <w:color w:val="auto"/>
                      <w:szCs w:val="21"/>
                    </w:rPr>
                    <w:t>20</w:t>
                  </w:r>
                </w:p>
              </w:tc>
              <w:tc>
                <w:tcPr>
                  <w:tcW w:w="516" w:type="pct"/>
                  <w:tcBorders>
                    <w:tl2br w:val="nil"/>
                    <w:tr2bl w:val="nil"/>
                  </w:tcBorders>
                  <w:shd w:val="clear" w:color="auto" w:fill="auto"/>
                  <w:noWrap w:val="0"/>
                  <w:vAlign w:val="center"/>
                </w:tcPr>
                <w:p w14:paraId="1FAA134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4</w:t>
                  </w:r>
                  <w:r>
                    <w:rPr>
                      <w:color w:val="auto"/>
                      <w:szCs w:val="21"/>
                    </w:rPr>
                    <w:t>20</w:t>
                  </w:r>
                </w:p>
              </w:tc>
              <w:tc>
                <w:tcPr>
                  <w:tcW w:w="472" w:type="pct"/>
                  <w:tcBorders>
                    <w:tl2br w:val="nil"/>
                    <w:tr2bl w:val="nil"/>
                  </w:tcBorders>
                  <w:shd w:val="clear" w:color="auto" w:fill="auto"/>
                  <w:noWrap w:val="0"/>
                  <w:vAlign w:val="center"/>
                </w:tcPr>
                <w:p w14:paraId="2BC38E94">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6DFE588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w:t>
                  </w:r>
                </w:p>
              </w:tc>
              <w:tc>
                <w:tcPr>
                  <w:tcW w:w="665" w:type="pct"/>
                  <w:tcBorders>
                    <w:tl2br w:val="nil"/>
                    <w:tr2bl w:val="nil"/>
                  </w:tcBorders>
                  <w:shd w:val="clear" w:color="auto" w:fill="auto"/>
                  <w:noWrap w:val="0"/>
                  <w:vAlign w:val="center"/>
                </w:tcPr>
                <w:p w14:paraId="3916EF0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vMerge w:val="continue"/>
                  <w:tcBorders>
                    <w:tl2br w:val="nil"/>
                    <w:tr2bl w:val="nil"/>
                  </w:tcBorders>
                  <w:noWrap w:val="0"/>
                  <w:vAlign w:val="center"/>
                </w:tcPr>
                <w:p w14:paraId="5D769D95">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1406E63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59A775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3ACAD289">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w:t>
                  </w:r>
                </w:p>
              </w:tc>
              <w:tc>
                <w:tcPr>
                  <w:tcW w:w="665" w:type="pct"/>
                  <w:tcBorders>
                    <w:tl2br w:val="nil"/>
                    <w:tr2bl w:val="nil"/>
                  </w:tcBorders>
                  <w:shd w:val="clear" w:color="auto" w:fill="auto"/>
                  <w:noWrap w:val="0"/>
                  <w:vAlign w:val="center"/>
                </w:tcPr>
                <w:p w14:paraId="399A0E6B">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蟹味菇</w:t>
                  </w:r>
                </w:p>
              </w:tc>
              <w:tc>
                <w:tcPr>
                  <w:tcW w:w="649" w:type="pct"/>
                  <w:tcBorders>
                    <w:tl2br w:val="nil"/>
                    <w:tr2bl w:val="nil"/>
                  </w:tcBorders>
                  <w:shd w:val="clear" w:color="auto" w:fill="auto"/>
                  <w:noWrap w:val="0"/>
                  <w:vAlign w:val="center"/>
                </w:tcPr>
                <w:p w14:paraId="1EB02AA9">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蟹味菇</w:t>
                  </w:r>
                </w:p>
              </w:tc>
              <w:tc>
                <w:tcPr>
                  <w:tcW w:w="200" w:type="pct"/>
                  <w:tcBorders>
                    <w:tl2br w:val="nil"/>
                    <w:tr2bl w:val="nil"/>
                  </w:tcBorders>
                  <w:shd w:val="clear" w:color="auto" w:fill="auto"/>
                  <w:noWrap w:val="0"/>
                  <w:vAlign w:val="center"/>
                </w:tcPr>
                <w:p w14:paraId="4B275401">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tcBorders>
                    <w:tl2br w:val="nil"/>
                    <w:tr2bl w:val="nil"/>
                  </w:tcBorders>
                  <w:shd w:val="clear" w:color="auto" w:fill="auto"/>
                  <w:noWrap w:val="0"/>
                  <w:vAlign w:val="center"/>
                </w:tcPr>
                <w:p w14:paraId="0ACE962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w:t>
                  </w:r>
                  <w:r>
                    <w:rPr>
                      <w:color w:val="auto"/>
                      <w:szCs w:val="21"/>
                    </w:rPr>
                    <w:t>10</w:t>
                  </w:r>
                </w:p>
              </w:tc>
              <w:tc>
                <w:tcPr>
                  <w:tcW w:w="516" w:type="pct"/>
                  <w:tcBorders>
                    <w:tl2br w:val="nil"/>
                    <w:tr2bl w:val="nil"/>
                  </w:tcBorders>
                  <w:shd w:val="clear" w:color="auto" w:fill="auto"/>
                  <w:noWrap w:val="0"/>
                  <w:vAlign w:val="center"/>
                </w:tcPr>
                <w:p w14:paraId="70AC91F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w:t>
                  </w:r>
                  <w:r>
                    <w:rPr>
                      <w:color w:val="auto"/>
                      <w:szCs w:val="21"/>
                    </w:rPr>
                    <w:t>10</w:t>
                  </w:r>
                </w:p>
              </w:tc>
              <w:tc>
                <w:tcPr>
                  <w:tcW w:w="472" w:type="pct"/>
                  <w:tcBorders>
                    <w:tl2br w:val="nil"/>
                    <w:tr2bl w:val="nil"/>
                  </w:tcBorders>
                  <w:shd w:val="clear" w:color="auto" w:fill="auto"/>
                  <w:noWrap w:val="0"/>
                  <w:vAlign w:val="center"/>
                </w:tcPr>
                <w:p w14:paraId="3204926C">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07B4E62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30</w:t>
                  </w:r>
                </w:p>
              </w:tc>
              <w:tc>
                <w:tcPr>
                  <w:tcW w:w="665" w:type="pct"/>
                  <w:tcBorders>
                    <w:tl2br w:val="nil"/>
                    <w:tr2bl w:val="nil"/>
                  </w:tcBorders>
                  <w:shd w:val="clear" w:color="auto" w:fill="auto"/>
                  <w:noWrap w:val="0"/>
                  <w:vAlign w:val="center"/>
                </w:tcPr>
                <w:p w14:paraId="62683DD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vMerge w:val="continue"/>
                  <w:tcBorders>
                    <w:tl2br w:val="nil"/>
                    <w:tr2bl w:val="nil"/>
                  </w:tcBorders>
                  <w:noWrap w:val="0"/>
                  <w:vAlign w:val="center"/>
                </w:tcPr>
                <w:p w14:paraId="31B5E78D">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16E6E067">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5C206B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79580F2B">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w:t>
                  </w:r>
                </w:p>
              </w:tc>
              <w:tc>
                <w:tcPr>
                  <w:tcW w:w="665" w:type="pct"/>
                  <w:tcBorders>
                    <w:tl2br w:val="nil"/>
                    <w:tr2bl w:val="nil"/>
                  </w:tcBorders>
                  <w:shd w:val="clear" w:color="auto" w:fill="auto"/>
                  <w:noWrap w:val="0"/>
                  <w:vAlign w:val="center"/>
                </w:tcPr>
                <w:p w14:paraId="292C9989">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辣椒酱</w:t>
                  </w:r>
                </w:p>
              </w:tc>
              <w:tc>
                <w:tcPr>
                  <w:tcW w:w="649" w:type="pct"/>
                  <w:tcBorders>
                    <w:tl2br w:val="nil"/>
                    <w:tr2bl w:val="nil"/>
                  </w:tcBorders>
                  <w:shd w:val="clear" w:color="auto" w:fill="auto"/>
                  <w:noWrap w:val="0"/>
                  <w:vAlign w:val="center"/>
                </w:tcPr>
                <w:p w14:paraId="4AC64BA8">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辣椒酱</w:t>
                  </w:r>
                </w:p>
              </w:tc>
              <w:tc>
                <w:tcPr>
                  <w:tcW w:w="200" w:type="pct"/>
                  <w:tcBorders>
                    <w:tl2br w:val="nil"/>
                    <w:tr2bl w:val="nil"/>
                  </w:tcBorders>
                  <w:shd w:val="clear" w:color="auto" w:fill="auto"/>
                  <w:noWrap w:val="0"/>
                  <w:vAlign w:val="center"/>
                </w:tcPr>
                <w:p w14:paraId="71C7E8A1">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tcBorders>
                    <w:tl2br w:val="nil"/>
                    <w:tr2bl w:val="nil"/>
                  </w:tcBorders>
                  <w:shd w:val="clear" w:color="auto" w:fill="auto"/>
                  <w:noWrap w:val="0"/>
                  <w:vAlign w:val="center"/>
                </w:tcPr>
                <w:p w14:paraId="41BA2478">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50</w:t>
                  </w:r>
                </w:p>
              </w:tc>
              <w:tc>
                <w:tcPr>
                  <w:tcW w:w="516" w:type="pct"/>
                  <w:tcBorders>
                    <w:tl2br w:val="nil"/>
                    <w:tr2bl w:val="nil"/>
                  </w:tcBorders>
                  <w:shd w:val="clear" w:color="auto" w:fill="auto"/>
                  <w:noWrap w:val="0"/>
                  <w:vAlign w:val="center"/>
                </w:tcPr>
                <w:p w14:paraId="7DF7FEB5">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50</w:t>
                  </w:r>
                </w:p>
              </w:tc>
              <w:tc>
                <w:tcPr>
                  <w:tcW w:w="472" w:type="pct"/>
                  <w:tcBorders>
                    <w:tl2br w:val="nil"/>
                    <w:tr2bl w:val="nil"/>
                  </w:tcBorders>
                  <w:shd w:val="clear" w:color="auto" w:fill="auto"/>
                  <w:noWrap w:val="0"/>
                  <w:vAlign w:val="center"/>
                </w:tcPr>
                <w:p w14:paraId="57E28491">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6CD4201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20</w:t>
                  </w:r>
                </w:p>
              </w:tc>
              <w:tc>
                <w:tcPr>
                  <w:tcW w:w="665" w:type="pct"/>
                  <w:tcBorders>
                    <w:tl2br w:val="nil"/>
                    <w:tr2bl w:val="nil"/>
                  </w:tcBorders>
                  <w:shd w:val="clear" w:color="auto" w:fill="auto"/>
                  <w:noWrap w:val="0"/>
                  <w:vAlign w:val="center"/>
                </w:tcPr>
                <w:p w14:paraId="52651AA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Borders>
                    <w:tl2br w:val="nil"/>
                    <w:tr2bl w:val="nil"/>
                  </w:tcBorders>
                  <w:noWrap w:val="0"/>
                  <w:vAlign w:val="center"/>
                </w:tcPr>
                <w:p w14:paraId="1255F85C">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141AAFB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35C63B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7D16787B">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w:t>
                  </w:r>
                </w:p>
              </w:tc>
              <w:tc>
                <w:tcPr>
                  <w:tcW w:w="665" w:type="pct"/>
                  <w:tcBorders>
                    <w:tl2br w:val="nil"/>
                    <w:tr2bl w:val="nil"/>
                  </w:tcBorders>
                  <w:shd w:val="clear" w:color="auto" w:fill="auto"/>
                  <w:noWrap w:val="0"/>
                  <w:vAlign w:val="center"/>
                </w:tcPr>
                <w:p w14:paraId="627FBA6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辣椒粉</w:t>
                  </w:r>
                </w:p>
              </w:tc>
              <w:tc>
                <w:tcPr>
                  <w:tcW w:w="649" w:type="pct"/>
                  <w:tcBorders>
                    <w:tl2br w:val="nil"/>
                    <w:tr2bl w:val="nil"/>
                  </w:tcBorders>
                  <w:shd w:val="clear" w:color="auto" w:fill="auto"/>
                  <w:noWrap w:val="0"/>
                  <w:vAlign w:val="center"/>
                </w:tcPr>
                <w:p w14:paraId="492D4D6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辣椒粉</w:t>
                  </w:r>
                </w:p>
              </w:tc>
              <w:tc>
                <w:tcPr>
                  <w:tcW w:w="200" w:type="pct"/>
                  <w:tcBorders>
                    <w:tl2br w:val="nil"/>
                    <w:tr2bl w:val="nil"/>
                  </w:tcBorders>
                  <w:shd w:val="clear" w:color="auto" w:fill="auto"/>
                  <w:noWrap w:val="0"/>
                  <w:vAlign w:val="center"/>
                </w:tcPr>
                <w:p w14:paraId="18BA331B">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tcBorders>
                    <w:tl2br w:val="nil"/>
                    <w:tr2bl w:val="nil"/>
                  </w:tcBorders>
                  <w:shd w:val="clear" w:color="auto" w:fill="auto"/>
                  <w:noWrap w:val="0"/>
                  <w:vAlign w:val="center"/>
                </w:tcPr>
                <w:p w14:paraId="54E78D5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10</w:t>
                  </w:r>
                </w:p>
              </w:tc>
              <w:tc>
                <w:tcPr>
                  <w:tcW w:w="516" w:type="pct"/>
                  <w:tcBorders>
                    <w:tl2br w:val="nil"/>
                    <w:tr2bl w:val="nil"/>
                  </w:tcBorders>
                  <w:shd w:val="clear" w:color="auto" w:fill="auto"/>
                  <w:noWrap w:val="0"/>
                  <w:vAlign w:val="center"/>
                </w:tcPr>
                <w:p w14:paraId="2EEDA305">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10</w:t>
                  </w:r>
                </w:p>
              </w:tc>
              <w:tc>
                <w:tcPr>
                  <w:tcW w:w="472" w:type="pct"/>
                  <w:tcBorders>
                    <w:tl2br w:val="nil"/>
                    <w:tr2bl w:val="nil"/>
                  </w:tcBorders>
                  <w:shd w:val="clear" w:color="auto" w:fill="auto"/>
                  <w:noWrap w:val="0"/>
                  <w:vAlign w:val="center"/>
                </w:tcPr>
                <w:p w14:paraId="2DF3D0D9">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794A3F1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w:t>
                  </w:r>
                </w:p>
              </w:tc>
              <w:tc>
                <w:tcPr>
                  <w:tcW w:w="665" w:type="pct"/>
                  <w:tcBorders>
                    <w:tl2br w:val="nil"/>
                    <w:tr2bl w:val="nil"/>
                  </w:tcBorders>
                  <w:shd w:val="clear" w:color="auto" w:fill="auto"/>
                  <w:noWrap w:val="0"/>
                  <w:vAlign w:val="center"/>
                </w:tcPr>
                <w:p w14:paraId="5FD6FC0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Borders>
                    <w:tl2br w:val="nil"/>
                    <w:tr2bl w:val="nil"/>
                  </w:tcBorders>
                  <w:noWrap w:val="0"/>
                  <w:vAlign w:val="center"/>
                </w:tcPr>
                <w:p w14:paraId="140F6B54">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0620236F">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59B23B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504D5A67">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665" w:type="pct"/>
                  <w:tcBorders>
                    <w:tl2br w:val="nil"/>
                    <w:tr2bl w:val="nil"/>
                  </w:tcBorders>
                  <w:shd w:val="clear" w:color="auto" w:fill="auto"/>
                  <w:noWrap w:val="0"/>
                  <w:vAlign w:val="center"/>
                </w:tcPr>
                <w:p w14:paraId="6DB39DA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麦芽糖浆</w:t>
                  </w:r>
                </w:p>
              </w:tc>
              <w:tc>
                <w:tcPr>
                  <w:tcW w:w="649" w:type="pct"/>
                  <w:tcBorders>
                    <w:tl2br w:val="nil"/>
                    <w:tr2bl w:val="nil"/>
                  </w:tcBorders>
                  <w:noWrap w:val="0"/>
                  <w:vAlign w:val="center"/>
                </w:tcPr>
                <w:p w14:paraId="7246BC6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color w:val="auto"/>
                      <w:szCs w:val="21"/>
                    </w:rPr>
                    <w:t>麦芽糖</w:t>
                  </w:r>
                </w:p>
              </w:tc>
              <w:tc>
                <w:tcPr>
                  <w:tcW w:w="200" w:type="pct"/>
                  <w:tcBorders>
                    <w:tl2br w:val="nil"/>
                    <w:tr2bl w:val="nil"/>
                  </w:tcBorders>
                  <w:shd w:val="clear" w:color="auto" w:fill="auto"/>
                  <w:noWrap w:val="0"/>
                  <w:vAlign w:val="center"/>
                </w:tcPr>
                <w:p w14:paraId="11B9A8FD">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液</w:t>
                  </w:r>
                </w:p>
              </w:tc>
              <w:tc>
                <w:tcPr>
                  <w:tcW w:w="417" w:type="pct"/>
                  <w:tcBorders>
                    <w:tl2br w:val="nil"/>
                    <w:tr2bl w:val="nil"/>
                  </w:tcBorders>
                  <w:shd w:val="clear" w:color="auto" w:fill="auto"/>
                  <w:noWrap w:val="0"/>
                  <w:vAlign w:val="center"/>
                </w:tcPr>
                <w:p w14:paraId="3F33F6D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p>
              </w:tc>
              <w:tc>
                <w:tcPr>
                  <w:tcW w:w="516" w:type="pct"/>
                  <w:tcBorders>
                    <w:tl2br w:val="nil"/>
                    <w:tr2bl w:val="nil"/>
                  </w:tcBorders>
                  <w:shd w:val="clear" w:color="auto" w:fill="auto"/>
                  <w:noWrap w:val="0"/>
                  <w:vAlign w:val="center"/>
                </w:tcPr>
                <w:p w14:paraId="02370AF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p>
              </w:tc>
              <w:tc>
                <w:tcPr>
                  <w:tcW w:w="472" w:type="pct"/>
                  <w:tcBorders>
                    <w:tl2br w:val="nil"/>
                    <w:tr2bl w:val="nil"/>
                  </w:tcBorders>
                  <w:shd w:val="clear" w:color="auto" w:fill="auto"/>
                  <w:noWrap w:val="0"/>
                  <w:vAlign w:val="center"/>
                </w:tcPr>
                <w:p w14:paraId="298BC29D">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4D2D5FD8">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10</w:t>
                  </w:r>
                </w:p>
              </w:tc>
              <w:tc>
                <w:tcPr>
                  <w:tcW w:w="665" w:type="pct"/>
                  <w:tcBorders>
                    <w:tl2br w:val="nil"/>
                    <w:tr2bl w:val="nil"/>
                  </w:tcBorders>
                  <w:shd w:val="clear" w:color="auto" w:fill="auto"/>
                  <w:noWrap w:val="0"/>
                  <w:vAlign w:val="center"/>
                </w:tcPr>
                <w:p w14:paraId="5D37782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Borders>
                    <w:tl2br w:val="nil"/>
                    <w:tr2bl w:val="nil"/>
                  </w:tcBorders>
                  <w:noWrap w:val="0"/>
                  <w:vAlign w:val="center"/>
                </w:tcPr>
                <w:p w14:paraId="19FCBE59">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28645320">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29140E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shd w:val="clear" w:color="auto" w:fill="auto"/>
                  <w:noWrap w:val="0"/>
                  <w:vAlign w:val="center"/>
                </w:tcPr>
                <w:p w14:paraId="327F080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26</w:t>
                  </w:r>
                </w:p>
              </w:tc>
              <w:tc>
                <w:tcPr>
                  <w:tcW w:w="665" w:type="pct"/>
                  <w:tcBorders>
                    <w:tl2br w:val="nil"/>
                    <w:tr2bl w:val="nil"/>
                  </w:tcBorders>
                  <w:shd w:val="clear" w:color="auto" w:fill="auto"/>
                  <w:noWrap w:val="0"/>
                  <w:vAlign w:val="center"/>
                </w:tcPr>
                <w:p w14:paraId="283368A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果葡糖浆</w:t>
                  </w:r>
                </w:p>
              </w:tc>
              <w:tc>
                <w:tcPr>
                  <w:tcW w:w="649" w:type="pct"/>
                  <w:tcBorders>
                    <w:tl2br w:val="nil"/>
                    <w:tr2bl w:val="nil"/>
                  </w:tcBorders>
                  <w:noWrap w:val="0"/>
                  <w:vAlign w:val="center"/>
                </w:tcPr>
                <w:p w14:paraId="384B5EA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color w:val="auto"/>
                      <w:szCs w:val="21"/>
                    </w:rPr>
                    <w:t>果葡糖</w:t>
                  </w:r>
                </w:p>
              </w:tc>
              <w:tc>
                <w:tcPr>
                  <w:tcW w:w="200" w:type="pct"/>
                  <w:tcBorders>
                    <w:tl2br w:val="nil"/>
                    <w:tr2bl w:val="nil"/>
                  </w:tcBorders>
                  <w:shd w:val="clear" w:color="auto" w:fill="auto"/>
                  <w:noWrap w:val="0"/>
                  <w:vAlign w:val="center"/>
                </w:tcPr>
                <w:p w14:paraId="4BEBF816">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液</w:t>
                  </w:r>
                </w:p>
              </w:tc>
              <w:tc>
                <w:tcPr>
                  <w:tcW w:w="417" w:type="pct"/>
                  <w:tcBorders>
                    <w:tl2br w:val="nil"/>
                    <w:tr2bl w:val="nil"/>
                  </w:tcBorders>
                  <w:shd w:val="clear" w:color="auto" w:fill="auto"/>
                  <w:noWrap w:val="0"/>
                  <w:vAlign w:val="center"/>
                </w:tcPr>
                <w:p w14:paraId="3B12953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516" w:type="pct"/>
                  <w:tcBorders>
                    <w:tl2br w:val="nil"/>
                    <w:tr2bl w:val="nil"/>
                  </w:tcBorders>
                  <w:shd w:val="clear" w:color="auto" w:fill="auto"/>
                  <w:noWrap w:val="0"/>
                  <w:vAlign w:val="center"/>
                </w:tcPr>
                <w:p w14:paraId="65F5DD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472" w:type="pct"/>
                  <w:tcBorders>
                    <w:tl2br w:val="nil"/>
                    <w:tr2bl w:val="nil"/>
                  </w:tcBorders>
                  <w:shd w:val="clear" w:color="auto" w:fill="auto"/>
                  <w:noWrap w:val="0"/>
                  <w:vAlign w:val="center"/>
                </w:tcPr>
                <w:p w14:paraId="2523B000">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69CBC86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w:t>
                  </w:r>
                </w:p>
              </w:tc>
              <w:tc>
                <w:tcPr>
                  <w:tcW w:w="665" w:type="pct"/>
                  <w:tcBorders>
                    <w:tl2br w:val="nil"/>
                    <w:tr2bl w:val="nil"/>
                  </w:tcBorders>
                  <w:shd w:val="clear" w:color="auto" w:fill="auto"/>
                  <w:noWrap w:val="0"/>
                  <w:vAlign w:val="center"/>
                </w:tcPr>
                <w:p w14:paraId="412C77F7">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Borders>
                    <w:tl2br w:val="nil"/>
                    <w:tr2bl w:val="nil"/>
                  </w:tcBorders>
                  <w:noWrap w:val="0"/>
                  <w:vAlign w:val="center"/>
                </w:tcPr>
                <w:p w14:paraId="6D2A0EA6">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Borders>
                    <w:tl2br w:val="nil"/>
                    <w:tr2bl w:val="nil"/>
                  </w:tcBorders>
                  <w:noWrap w:val="0"/>
                  <w:vAlign w:val="center"/>
                </w:tcPr>
                <w:p w14:paraId="36A8931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4A6E05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shd w:val="clear" w:color="auto" w:fill="auto"/>
                  <w:vAlign w:val="center"/>
                </w:tcPr>
                <w:p w14:paraId="1009694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27</w:t>
                  </w:r>
                </w:p>
              </w:tc>
              <w:tc>
                <w:tcPr>
                  <w:tcW w:w="665" w:type="pct"/>
                  <w:shd w:val="clear" w:color="auto" w:fill="auto"/>
                  <w:vAlign w:val="center"/>
                </w:tcPr>
                <w:p w14:paraId="4FE1BF08">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食用油</w:t>
                  </w:r>
                </w:p>
              </w:tc>
              <w:tc>
                <w:tcPr>
                  <w:tcW w:w="649" w:type="pct"/>
                </w:tcPr>
                <w:p w14:paraId="1B1D611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color w:val="auto"/>
                      <w:szCs w:val="21"/>
                    </w:rPr>
                    <w:t>油</w:t>
                  </w:r>
                </w:p>
              </w:tc>
              <w:tc>
                <w:tcPr>
                  <w:tcW w:w="200" w:type="pct"/>
                  <w:shd w:val="clear" w:color="auto" w:fill="auto"/>
                  <w:vAlign w:val="center"/>
                </w:tcPr>
                <w:p w14:paraId="0E0413B2">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液</w:t>
                  </w:r>
                </w:p>
              </w:tc>
              <w:tc>
                <w:tcPr>
                  <w:tcW w:w="417" w:type="pct"/>
                  <w:shd w:val="clear" w:color="auto" w:fill="auto"/>
                  <w:vAlign w:val="center"/>
                </w:tcPr>
                <w:p w14:paraId="0607CE9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40</w:t>
                  </w:r>
                </w:p>
              </w:tc>
              <w:tc>
                <w:tcPr>
                  <w:tcW w:w="516" w:type="pct"/>
                  <w:shd w:val="clear" w:color="auto" w:fill="auto"/>
                  <w:vAlign w:val="center"/>
                </w:tcPr>
                <w:p w14:paraId="7170282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40</w:t>
                  </w:r>
                </w:p>
              </w:tc>
              <w:tc>
                <w:tcPr>
                  <w:tcW w:w="472" w:type="pct"/>
                </w:tcPr>
                <w:p w14:paraId="3D2E4C6E">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675114F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w:t>
                  </w:r>
                </w:p>
              </w:tc>
              <w:tc>
                <w:tcPr>
                  <w:tcW w:w="665" w:type="pct"/>
                  <w:shd w:val="clear" w:color="auto" w:fill="auto"/>
                  <w:vAlign w:val="center"/>
                </w:tcPr>
                <w:p w14:paraId="06EF60D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Pr>
                <w:p w14:paraId="71B1C300">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Pr>
                <w:p w14:paraId="5464292E">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39EC4B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shd w:val="clear" w:color="auto" w:fill="auto"/>
                  <w:vAlign w:val="center"/>
                </w:tcPr>
                <w:p w14:paraId="74867E70">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w:t>
                  </w:r>
                </w:p>
              </w:tc>
              <w:tc>
                <w:tcPr>
                  <w:tcW w:w="665" w:type="pct"/>
                  <w:shd w:val="clear" w:color="auto" w:fill="auto"/>
                  <w:vAlign w:val="center"/>
                </w:tcPr>
                <w:p w14:paraId="5082385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其他</w:t>
                  </w:r>
                  <w:r>
                    <w:rPr>
                      <w:color w:val="auto"/>
                      <w:szCs w:val="21"/>
                    </w:rPr>
                    <w:t>材料</w:t>
                  </w:r>
                </w:p>
              </w:tc>
              <w:tc>
                <w:tcPr>
                  <w:tcW w:w="649" w:type="pct"/>
                </w:tcPr>
                <w:p w14:paraId="0243678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200" w:type="pct"/>
                  <w:shd w:val="clear" w:color="auto" w:fill="auto"/>
                  <w:vAlign w:val="center"/>
                </w:tcPr>
                <w:p w14:paraId="2AD0F8D7">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417" w:type="pct"/>
                  <w:shd w:val="clear" w:color="auto" w:fill="auto"/>
                  <w:vAlign w:val="center"/>
                </w:tcPr>
                <w:p w14:paraId="5D61A1CD">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225</w:t>
                  </w:r>
                </w:p>
              </w:tc>
              <w:tc>
                <w:tcPr>
                  <w:tcW w:w="516" w:type="pct"/>
                  <w:shd w:val="clear" w:color="auto" w:fill="auto"/>
                  <w:vAlign w:val="center"/>
                </w:tcPr>
                <w:p w14:paraId="7CC272DB">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225</w:t>
                  </w:r>
                </w:p>
              </w:tc>
              <w:tc>
                <w:tcPr>
                  <w:tcW w:w="472" w:type="pct"/>
                </w:tcPr>
                <w:p w14:paraId="3D2892E0">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5F0E238D">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20</w:t>
                  </w:r>
                </w:p>
              </w:tc>
              <w:tc>
                <w:tcPr>
                  <w:tcW w:w="665" w:type="pct"/>
                  <w:shd w:val="clear" w:color="auto" w:fill="auto"/>
                  <w:vAlign w:val="center"/>
                </w:tcPr>
                <w:p w14:paraId="1D0A78A7">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Pr>
                <w:p w14:paraId="2940F403">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Pr>
                <w:p w14:paraId="66402EC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75C22F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shd w:val="clear" w:color="auto" w:fill="auto"/>
                  <w:vAlign w:val="center"/>
                </w:tcPr>
                <w:p w14:paraId="6ED1E4C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w:t>
                  </w:r>
                </w:p>
              </w:tc>
              <w:tc>
                <w:tcPr>
                  <w:tcW w:w="665" w:type="pct"/>
                  <w:shd w:val="clear" w:color="auto" w:fill="auto"/>
                  <w:vAlign w:val="center"/>
                </w:tcPr>
                <w:p w14:paraId="4F1837C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塑料包装袋</w:t>
                  </w:r>
                </w:p>
              </w:tc>
              <w:tc>
                <w:tcPr>
                  <w:tcW w:w="649" w:type="pct"/>
                </w:tcPr>
                <w:p w14:paraId="6C92405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200" w:type="pct"/>
                  <w:shd w:val="clear" w:color="auto" w:fill="auto"/>
                  <w:vAlign w:val="center"/>
                </w:tcPr>
                <w:p w14:paraId="10E9EED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固</w:t>
                  </w:r>
                </w:p>
              </w:tc>
              <w:tc>
                <w:tcPr>
                  <w:tcW w:w="417" w:type="pct"/>
                  <w:shd w:val="clear" w:color="auto" w:fill="auto"/>
                  <w:vAlign w:val="center"/>
                </w:tcPr>
                <w:p w14:paraId="4788C68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400</w:t>
                  </w:r>
                </w:p>
              </w:tc>
              <w:tc>
                <w:tcPr>
                  <w:tcW w:w="516" w:type="pct"/>
                  <w:shd w:val="clear" w:color="auto" w:fill="auto"/>
                  <w:vAlign w:val="center"/>
                </w:tcPr>
                <w:p w14:paraId="722E890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400</w:t>
                  </w:r>
                </w:p>
              </w:tc>
              <w:tc>
                <w:tcPr>
                  <w:tcW w:w="472" w:type="pct"/>
                </w:tcPr>
                <w:p w14:paraId="44343ACE">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53677E8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20</w:t>
                  </w:r>
                </w:p>
              </w:tc>
              <w:tc>
                <w:tcPr>
                  <w:tcW w:w="665" w:type="pct"/>
                  <w:shd w:val="clear" w:color="auto" w:fill="auto"/>
                  <w:vAlign w:val="center"/>
                </w:tcPr>
                <w:p w14:paraId="7E285FE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Pr>
                <w:p w14:paraId="6EB1F0C3">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p>
              </w:tc>
              <w:tc>
                <w:tcPr>
                  <w:tcW w:w="277" w:type="pct"/>
                  <w:vMerge w:val="continue"/>
                </w:tcPr>
                <w:p w14:paraId="477FB6D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621B9D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shd w:val="clear" w:color="auto" w:fill="auto"/>
                  <w:vAlign w:val="center"/>
                </w:tcPr>
                <w:p w14:paraId="3C43E8BE">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665" w:type="pct"/>
                  <w:shd w:val="clear" w:color="auto" w:fill="auto"/>
                  <w:vAlign w:val="center"/>
                </w:tcPr>
                <w:p w14:paraId="7F98D31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纸箱</w:t>
                  </w:r>
                </w:p>
              </w:tc>
              <w:tc>
                <w:tcPr>
                  <w:tcW w:w="649" w:type="pct"/>
                </w:tcPr>
                <w:p w14:paraId="7C26E8D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p>
              </w:tc>
              <w:tc>
                <w:tcPr>
                  <w:tcW w:w="200" w:type="pct"/>
                  <w:shd w:val="clear" w:color="auto" w:fill="auto"/>
                  <w:vAlign w:val="center"/>
                </w:tcPr>
                <w:p w14:paraId="428BF7E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固</w:t>
                  </w:r>
                </w:p>
              </w:tc>
              <w:tc>
                <w:tcPr>
                  <w:tcW w:w="417" w:type="pct"/>
                  <w:shd w:val="clear" w:color="auto" w:fill="auto"/>
                  <w:vAlign w:val="center"/>
                </w:tcPr>
                <w:p w14:paraId="2E9E1FD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r>
                    <w:rPr>
                      <w:rFonts w:hint="eastAsia"/>
                      <w:color w:val="auto"/>
                      <w:szCs w:val="21"/>
                      <w:lang w:val="en-US" w:eastAsia="zh-CN"/>
                    </w:rPr>
                    <w:t>1</w:t>
                  </w:r>
                  <w:r>
                    <w:rPr>
                      <w:color w:val="auto"/>
                      <w:szCs w:val="21"/>
                    </w:rPr>
                    <w:t>00</w:t>
                  </w:r>
                </w:p>
              </w:tc>
              <w:tc>
                <w:tcPr>
                  <w:tcW w:w="516" w:type="pct"/>
                  <w:shd w:val="clear" w:color="auto" w:fill="auto"/>
                  <w:vAlign w:val="center"/>
                </w:tcPr>
                <w:p w14:paraId="3B15CA9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r>
                    <w:rPr>
                      <w:rFonts w:hint="eastAsia"/>
                      <w:color w:val="auto"/>
                      <w:szCs w:val="21"/>
                      <w:lang w:val="en-US" w:eastAsia="zh-CN"/>
                    </w:rPr>
                    <w:t>1</w:t>
                  </w:r>
                  <w:r>
                    <w:rPr>
                      <w:color w:val="auto"/>
                      <w:szCs w:val="21"/>
                    </w:rPr>
                    <w:t>00</w:t>
                  </w:r>
                </w:p>
              </w:tc>
              <w:tc>
                <w:tcPr>
                  <w:tcW w:w="472" w:type="pct"/>
                </w:tcPr>
                <w:p w14:paraId="600B633E">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79DACFD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w:t>
                  </w:r>
                  <w:r>
                    <w:rPr>
                      <w:color w:val="auto"/>
                      <w:szCs w:val="21"/>
                    </w:rPr>
                    <w:t>0</w:t>
                  </w:r>
                </w:p>
              </w:tc>
              <w:tc>
                <w:tcPr>
                  <w:tcW w:w="665" w:type="pct"/>
                  <w:shd w:val="clear" w:color="auto" w:fill="auto"/>
                  <w:vAlign w:val="center"/>
                </w:tcPr>
                <w:p w14:paraId="6B24169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Pr>
                <w:p w14:paraId="55A01B4E">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p>
              </w:tc>
              <w:tc>
                <w:tcPr>
                  <w:tcW w:w="277" w:type="pct"/>
                  <w:vMerge w:val="continue"/>
                </w:tcPr>
                <w:p w14:paraId="5035AE3A">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4BCCC8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shd w:val="clear" w:color="auto" w:fill="auto"/>
                  <w:vAlign w:val="center"/>
                </w:tcPr>
                <w:p w14:paraId="1886614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w:t>
                  </w:r>
                </w:p>
              </w:tc>
              <w:tc>
                <w:tcPr>
                  <w:tcW w:w="665" w:type="pct"/>
                  <w:shd w:val="clear" w:color="auto" w:fill="auto"/>
                  <w:vAlign w:val="center"/>
                </w:tcPr>
                <w:p w14:paraId="2D4F37D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洗涤剂</w:t>
                  </w:r>
                </w:p>
              </w:tc>
              <w:tc>
                <w:tcPr>
                  <w:tcW w:w="649" w:type="pct"/>
                </w:tcPr>
                <w:p w14:paraId="4857146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"https://baike.baidu.com/item/%E7%83%B7%E5%9F%BA%E7%A3%BA%E9%85%B8%E9%92%A0/4415178" \t "_blank" </w:instrText>
                  </w:r>
                  <w:r>
                    <w:rPr>
                      <w:color w:val="auto"/>
                    </w:rPr>
                    <w:fldChar w:fldCharType="separate"/>
                  </w:r>
                  <w:r>
                    <w:rPr>
                      <w:bCs/>
                      <w:color w:val="auto"/>
                    </w:rPr>
                    <w:t>烷基磺酸钠</w:t>
                  </w:r>
                  <w:r>
                    <w:rPr>
                      <w:bCs/>
                      <w:color w:val="auto"/>
                    </w:rPr>
                    <w:fldChar w:fldCharType="end"/>
                  </w:r>
                </w:p>
              </w:tc>
              <w:tc>
                <w:tcPr>
                  <w:tcW w:w="200" w:type="pct"/>
                  <w:shd w:val="clear" w:color="auto" w:fill="auto"/>
                  <w:vAlign w:val="center"/>
                </w:tcPr>
                <w:p w14:paraId="5BC3DF0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液</w:t>
                  </w:r>
                </w:p>
              </w:tc>
              <w:tc>
                <w:tcPr>
                  <w:tcW w:w="417" w:type="pct"/>
                  <w:shd w:val="clear" w:color="auto" w:fill="auto"/>
                  <w:vAlign w:val="center"/>
                </w:tcPr>
                <w:p w14:paraId="55E8281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516" w:type="pct"/>
                  <w:shd w:val="clear" w:color="auto" w:fill="auto"/>
                  <w:vAlign w:val="center"/>
                </w:tcPr>
                <w:p w14:paraId="000F23C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472" w:type="pct"/>
                </w:tcPr>
                <w:p w14:paraId="2A5535BA">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12F15A9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w:t>
                  </w:r>
                  <w:r>
                    <w:rPr>
                      <w:color w:val="auto"/>
                      <w:szCs w:val="21"/>
                    </w:rPr>
                    <w:t>.01</w:t>
                  </w:r>
                </w:p>
              </w:tc>
              <w:tc>
                <w:tcPr>
                  <w:tcW w:w="665" w:type="pct"/>
                  <w:shd w:val="clear" w:color="auto" w:fill="auto"/>
                  <w:vAlign w:val="center"/>
                </w:tcPr>
                <w:p w14:paraId="1362117D">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Pr>
                <w:p w14:paraId="15E13654">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p>
              </w:tc>
              <w:tc>
                <w:tcPr>
                  <w:tcW w:w="277" w:type="pct"/>
                  <w:vMerge w:val="continue"/>
                </w:tcPr>
                <w:p w14:paraId="772A35A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2C5F80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shd w:val="clear" w:color="auto" w:fill="auto"/>
                  <w:vAlign w:val="center"/>
                </w:tcPr>
                <w:p w14:paraId="27C1C42B">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w:t>
                  </w:r>
                </w:p>
              </w:tc>
              <w:tc>
                <w:tcPr>
                  <w:tcW w:w="665" w:type="pct"/>
                  <w:shd w:val="clear" w:color="auto" w:fill="auto"/>
                  <w:vAlign w:val="center"/>
                </w:tcPr>
                <w:p w14:paraId="4A0E482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3</w:t>
                  </w:r>
                  <w:r>
                    <w:rPr>
                      <w:color w:val="auto"/>
                      <w:szCs w:val="21"/>
                    </w:rPr>
                    <w:t>M</w:t>
                  </w:r>
                  <w:r>
                    <w:rPr>
                      <w:rFonts w:hint="eastAsia"/>
                      <w:color w:val="auto"/>
                      <w:szCs w:val="21"/>
                    </w:rPr>
                    <w:t>检测试片</w:t>
                  </w:r>
                </w:p>
              </w:tc>
              <w:tc>
                <w:tcPr>
                  <w:tcW w:w="649" w:type="pct"/>
                  <w:vAlign w:val="center"/>
                </w:tcPr>
                <w:p w14:paraId="5B881D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200" w:type="pct"/>
                  <w:shd w:val="clear" w:color="auto" w:fill="auto"/>
                  <w:vAlign w:val="center"/>
                </w:tcPr>
                <w:p w14:paraId="1F31FA6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固</w:t>
                  </w:r>
                </w:p>
              </w:tc>
              <w:tc>
                <w:tcPr>
                  <w:tcW w:w="417" w:type="pct"/>
                  <w:shd w:val="clear" w:color="auto" w:fill="auto"/>
                  <w:vAlign w:val="center"/>
                </w:tcPr>
                <w:p w14:paraId="6A607FF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5000</w:t>
                  </w:r>
                  <w:r>
                    <w:rPr>
                      <w:rFonts w:hint="eastAsia"/>
                      <w:color w:val="auto"/>
                      <w:szCs w:val="21"/>
                    </w:rPr>
                    <w:t>片</w:t>
                  </w:r>
                </w:p>
              </w:tc>
              <w:tc>
                <w:tcPr>
                  <w:tcW w:w="516" w:type="pct"/>
                  <w:shd w:val="clear" w:color="auto" w:fill="auto"/>
                  <w:vAlign w:val="center"/>
                </w:tcPr>
                <w:p w14:paraId="482FEFE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5000</w:t>
                  </w:r>
                  <w:r>
                    <w:rPr>
                      <w:rFonts w:hint="eastAsia"/>
                      <w:color w:val="auto"/>
                      <w:szCs w:val="21"/>
                    </w:rPr>
                    <w:t>片</w:t>
                  </w:r>
                </w:p>
              </w:tc>
              <w:tc>
                <w:tcPr>
                  <w:tcW w:w="472" w:type="pct"/>
                  <w:vAlign w:val="center"/>
                </w:tcPr>
                <w:p w14:paraId="51834411">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39A0EF17">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1200</w:t>
                  </w:r>
                  <w:r>
                    <w:rPr>
                      <w:rFonts w:hint="eastAsia"/>
                      <w:color w:val="auto"/>
                      <w:szCs w:val="21"/>
                    </w:rPr>
                    <w:t>片</w:t>
                  </w:r>
                </w:p>
              </w:tc>
              <w:tc>
                <w:tcPr>
                  <w:tcW w:w="665" w:type="pct"/>
                  <w:shd w:val="clear" w:color="auto" w:fill="auto"/>
                  <w:vAlign w:val="center"/>
                </w:tcPr>
                <w:p w14:paraId="3760B56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化验室</w:t>
                  </w:r>
                </w:p>
              </w:tc>
              <w:tc>
                <w:tcPr>
                  <w:tcW w:w="573" w:type="pct"/>
                  <w:vMerge w:val="continue"/>
                  <w:vAlign w:val="center"/>
                </w:tcPr>
                <w:p w14:paraId="7C31643E">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p>
              </w:tc>
              <w:tc>
                <w:tcPr>
                  <w:tcW w:w="277" w:type="pct"/>
                  <w:vMerge w:val="continue"/>
                </w:tcPr>
                <w:p w14:paraId="02F2C57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1A2E62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shd w:val="clear" w:color="auto" w:fill="auto"/>
                  <w:vAlign w:val="center"/>
                </w:tcPr>
                <w:p w14:paraId="7182CB0A">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665" w:type="pct"/>
                  <w:shd w:val="clear" w:color="auto" w:fill="auto"/>
                  <w:vAlign w:val="center"/>
                </w:tcPr>
                <w:p w14:paraId="10D6D28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酒精（7</w:t>
                  </w:r>
                  <w:r>
                    <w:rPr>
                      <w:color w:val="auto"/>
                      <w:szCs w:val="21"/>
                    </w:rPr>
                    <w:t>5%</w:t>
                  </w:r>
                  <w:r>
                    <w:rPr>
                      <w:rFonts w:hint="eastAsia"/>
                      <w:color w:val="auto"/>
                      <w:szCs w:val="21"/>
                    </w:rPr>
                    <w:t>）</w:t>
                  </w:r>
                </w:p>
              </w:tc>
              <w:tc>
                <w:tcPr>
                  <w:tcW w:w="649" w:type="pct"/>
                </w:tcPr>
                <w:p w14:paraId="3A7611B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color w:val="auto"/>
                      <w:szCs w:val="21"/>
                    </w:rPr>
                    <w:t>7</w:t>
                  </w:r>
                  <w:r>
                    <w:rPr>
                      <w:color w:val="auto"/>
                      <w:szCs w:val="21"/>
                    </w:rPr>
                    <w:t>5%</w:t>
                  </w:r>
                  <w:r>
                    <w:rPr>
                      <w:rFonts w:hint="eastAsia"/>
                      <w:color w:val="auto"/>
                      <w:szCs w:val="21"/>
                      <w:lang w:eastAsia="zh-CN"/>
                    </w:rPr>
                    <w:t>乙醇</w:t>
                  </w:r>
                </w:p>
              </w:tc>
              <w:tc>
                <w:tcPr>
                  <w:tcW w:w="200" w:type="pct"/>
                  <w:shd w:val="clear" w:color="auto" w:fill="auto"/>
                  <w:vAlign w:val="center"/>
                </w:tcPr>
                <w:p w14:paraId="5FF7A14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液</w:t>
                  </w:r>
                </w:p>
              </w:tc>
              <w:tc>
                <w:tcPr>
                  <w:tcW w:w="417" w:type="pct"/>
                  <w:shd w:val="clear" w:color="auto" w:fill="auto"/>
                  <w:vAlign w:val="center"/>
                </w:tcPr>
                <w:p w14:paraId="1A39CF2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w:t>
                  </w:r>
                </w:p>
              </w:tc>
              <w:tc>
                <w:tcPr>
                  <w:tcW w:w="516" w:type="pct"/>
                  <w:shd w:val="clear" w:color="auto" w:fill="auto"/>
                  <w:vAlign w:val="center"/>
                </w:tcPr>
                <w:p w14:paraId="4307006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w:t>
                  </w:r>
                </w:p>
              </w:tc>
              <w:tc>
                <w:tcPr>
                  <w:tcW w:w="472" w:type="pct"/>
                </w:tcPr>
                <w:p w14:paraId="565D2242">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2EAA148F">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0.05</w:t>
                  </w:r>
                </w:p>
              </w:tc>
              <w:tc>
                <w:tcPr>
                  <w:tcW w:w="665" w:type="pct"/>
                  <w:shd w:val="clear" w:color="auto" w:fill="auto"/>
                  <w:vAlign w:val="center"/>
                </w:tcPr>
                <w:p w14:paraId="26FBEA0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危险品库</w:t>
                  </w:r>
                </w:p>
              </w:tc>
              <w:tc>
                <w:tcPr>
                  <w:tcW w:w="573" w:type="pct"/>
                  <w:vMerge w:val="continue"/>
                </w:tcPr>
                <w:p w14:paraId="513222A9">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p>
              </w:tc>
              <w:tc>
                <w:tcPr>
                  <w:tcW w:w="277" w:type="pct"/>
                  <w:vMerge w:val="continue"/>
                </w:tcPr>
                <w:p w14:paraId="64DD92FB">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41712A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vAlign w:val="center"/>
                </w:tcPr>
                <w:p w14:paraId="2D61CD8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34</w:t>
                  </w:r>
                </w:p>
              </w:tc>
              <w:tc>
                <w:tcPr>
                  <w:tcW w:w="665" w:type="pct"/>
                  <w:shd w:val="clear" w:color="auto" w:fill="auto"/>
                  <w:vAlign w:val="center"/>
                </w:tcPr>
                <w:p w14:paraId="027DAC45">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制冷剂</w:t>
                  </w:r>
                </w:p>
              </w:tc>
              <w:tc>
                <w:tcPr>
                  <w:tcW w:w="649" w:type="pct"/>
                </w:tcPr>
                <w:p w14:paraId="164806B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p>
              </w:tc>
              <w:tc>
                <w:tcPr>
                  <w:tcW w:w="200" w:type="pct"/>
                  <w:shd w:val="clear" w:color="auto" w:fill="auto"/>
                  <w:vAlign w:val="center"/>
                </w:tcPr>
                <w:p w14:paraId="0175CA84">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液</w:t>
                  </w:r>
                </w:p>
              </w:tc>
              <w:tc>
                <w:tcPr>
                  <w:tcW w:w="417" w:type="pct"/>
                  <w:shd w:val="clear" w:color="auto" w:fill="auto"/>
                  <w:vAlign w:val="center"/>
                </w:tcPr>
                <w:p w14:paraId="55AB5D8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516" w:type="pct"/>
                  <w:shd w:val="clear" w:color="auto" w:fill="auto"/>
                  <w:vAlign w:val="center"/>
                </w:tcPr>
                <w:p w14:paraId="1A878FC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472" w:type="pct"/>
                </w:tcPr>
                <w:p w14:paraId="5A395077">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6EE18D9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1.6</w:t>
                  </w:r>
                </w:p>
              </w:tc>
              <w:tc>
                <w:tcPr>
                  <w:tcW w:w="665" w:type="pct"/>
                  <w:shd w:val="clear" w:color="auto" w:fill="auto"/>
                  <w:vAlign w:val="center"/>
                </w:tcPr>
                <w:p w14:paraId="576BBBC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vMerge w:val="continue"/>
                </w:tcPr>
                <w:p w14:paraId="2620DFC7">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p>
              </w:tc>
              <w:tc>
                <w:tcPr>
                  <w:tcW w:w="277" w:type="pct"/>
                  <w:vMerge w:val="continue"/>
                </w:tcPr>
                <w:p w14:paraId="0040157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bl>
          <w:p w14:paraId="3AC07254">
            <w:pPr>
              <w:pStyle w:val="40"/>
              <w:spacing w:line="360" w:lineRule="auto"/>
              <w:ind w:firstLine="482"/>
              <w:rPr>
                <w:b/>
                <w:color w:val="auto"/>
                <w:sz w:val="24"/>
              </w:rPr>
            </w:pPr>
            <w:r>
              <w:rPr>
                <w:rFonts w:ascii="Times New Roman" w:hAnsi="Times New Roman" w:eastAsia="宋体" w:cs="Times New Roman"/>
                <w:color w:val="auto"/>
              </w:rPr>
              <w:t>（2）主要原辅材料理化性质、毒性毒理</w:t>
            </w:r>
          </w:p>
          <w:p w14:paraId="26AA392F">
            <w:pPr>
              <w:keepNext/>
              <w:adjustRightInd w:val="0"/>
              <w:snapToGrid w:val="0"/>
              <w:jc w:val="center"/>
              <w:rPr>
                <w:color w:val="auto"/>
                <w:sz w:val="24"/>
              </w:rPr>
            </w:pPr>
            <w:r>
              <w:rPr>
                <w:b/>
                <w:color w:val="auto"/>
                <w:sz w:val="24"/>
              </w:rPr>
              <w:t>表2-4</w:t>
            </w:r>
            <w:r>
              <w:rPr>
                <w:rFonts w:hint="eastAsia"/>
                <w:b/>
                <w:color w:val="auto"/>
                <w:sz w:val="24"/>
                <w:lang w:eastAsia="zh-CN"/>
              </w:rPr>
              <w:t>本次技改项目涉及</w:t>
            </w:r>
            <w:r>
              <w:rPr>
                <w:b/>
                <w:color w:val="auto"/>
                <w:sz w:val="24"/>
              </w:rPr>
              <w:t>原辅材料理化性质、毒性毒理</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870"/>
              <w:gridCol w:w="990"/>
              <w:gridCol w:w="2610"/>
              <w:gridCol w:w="1394"/>
              <w:gridCol w:w="1778"/>
            </w:tblGrid>
            <w:tr w14:paraId="13221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dxa"/>
                  <w:tcBorders>
                    <w:top w:val="single" w:color="auto" w:sz="12" w:space="0"/>
                    <w:bottom w:val="single" w:color="auto" w:sz="12" w:space="0"/>
                  </w:tcBorders>
                  <w:vAlign w:val="center"/>
                </w:tcPr>
                <w:p w14:paraId="33376EFE">
                  <w:pPr>
                    <w:adjustRightInd w:val="0"/>
                    <w:jc w:val="center"/>
                    <w:rPr>
                      <w:b/>
                      <w:color w:val="auto"/>
                      <w:szCs w:val="21"/>
                    </w:rPr>
                  </w:pPr>
                  <w:r>
                    <w:rPr>
                      <w:b/>
                      <w:color w:val="auto"/>
                      <w:szCs w:val="21"/>
                    </w:rPr>
                    <w:t>物质名称</w:t>
                  </w:r>
                </w:p>
              </w:tc>
              <w:tc>
                <w:tcPr>
                  <w:tcW w:w="870" w:type="dxa"/>
                  <w:tcBorders>
                    <w:top w:val="single" w:color="auto" w:sz="12" w:space="0"/>
                    <w:bottom w:val="single" w:color="auto" w:sz="12" w:space="0"/>
                  </w:tcBorders>
                  <w:vAlign w:val="center"/>
                </w:tcPr>
                <w:p w14:paraId="43D2536B">
                  <w:pPr>
                    <w:adjustRightInd w:val="0"/>
                    <w:jc w:val="center"/>
                    <w:rPr>
                      <w:b/>
                      <w:color w:val="auto"/>
                      <w:szCs w:val="21"/>
                    </w:rPr>
                  </w:pPr>
                  <w:r>
                    <w:rPr>
                      <w:b/>
                      <w:color w:val="auto"/>
                      <w:szCs w:val="21"/>
                    </w:rPr>
                    <w:t>分子式</w:t>
                  </w:r>
                </w:p>
              </w:tc>
              <w:tc>
                <w:tcPr>
                  <w:tcW w:w="990" w:type="dxa"/>
                  <w:tcBorders>
                    <w:top w:val="single" w:color="auto" w:sz="12" w:space="0"/>
                    <w:bottom w:val="single" w:color="auto" w:sz="12" w:space="0"/>
                  </w:tcBorders>
                  <w:vAlign w:val="center"/>
                </w:tcPr>
                <w:p w14:paraId="76B215D4">
                  <w:pPr>
                    <w:adjustRightInd w:val="0"/>
                    <w:jc w:val="center"/>
                    <w:rPr>
                      <w:b/>
                      <w:color w:val="auto"/>
                      <w:szCs w:val="21"/>
                    </w:rPr>
                  </w:pPr>
                  <w:r>
                    <w:rPr>
                      <w:b/>
                      <w:color w:val="auto"/>
                      <w:szCs w:val="21"/>
                    </w:rPr>
                    <w:t>CAS号</w:t>
                  </w:r>
                </w:p>
              </w:tc>
              <w:tc>
                <w:tcPr>
                  <w:tcW w:w="2610" w:type="dxa"/>
                  <w:tcBorders>
                    <w:top w:val="single" w:color="auto" w:sz="12" w:space="0"/>
                    <w:bottom w:val="single" w:color="auto" w:sz="12" w:space="0"/>
                  </w:tcBorders>
                  <w:vAlign w:val="center"/>
                </w:tcPr>
                <w:p w14:paraId="02B9493D">
                  <w:pPr>
                    <w:adjustRightInd w:val="0"/>
                    <w:jc w:val="center"/>
                    <w:rPr>
                      <w:b/>
                      <w:color w:val="auto"/>
                      <w:szCs w:val="21"/>
                    </w:rPr>
                  </w:pPr>
                  <w:r>
                    <w:rPr>
                      <w:b/>
                      <w:color w:val="auto"/>
                      <w:szCs w:val="21"/>
                    </w:rPr>
                    <w:t>理化特性</w:t>
                  </w:r>
                </w:p>
              </w:tc>
              <w:tc>
                <w:tcPr>
                  <w:tcW w:w="1394" w:type="dxa"/>
                  <w:tcBorders>
                    <w:top w:val="single" w:color="auto" w:sz="12" w:space="0"/>
                    <w:bottom w:val="single" w:color="auto" w:sz="12" w:space="0"/>
                  </w:tcBorders>
                  <w:tcMar>
                    <w:top w:w="0" w:type="dxa"/>
                    <w:left w:w="0" w:type="dxa"/>
                    <w:bottom w:w="0" w:type="dxa"/>
                    <w:right w:w="0" w:type="dxa"/>
                  </w:tcMar>
                  <w:vAlign w:val="center"/>
                </w:tcPr>
                <w:p w14:paraId="37207AD4">
                  <w:pPr>
                    <w:adjustRightInd w:val="0"/>
                    <w:jc w:val="center"/>
                    <w:rPr>
                      <w:b/>
                      <w:color w:val="auto"/>
                      <w:szCs w:val="21"/>
                    </w:rPr>
                  </w:pPr>
                  <w:r>
                    <w:rPr>
                      <w:b/>
                      <w:color w:val="auto"/>
                      <w:szCs w:val="21"/>
                    </w:rPr>
                    <w:t>燃烧爆炸性</w:t>
                  </w:r>
                </w:p>
              </w:tc>
              <w:tc>
                <w:tcPr>
                  <w:tcW w:w="1778" w:type="dxa"/>
                  <w:tcBorders>
                    <w:top w:val="single" w:color="auto" w:sz="12" w:space="0"/>
                    <w:bottom w:val="single" w:color="auto" w:sz="12" w:space="0"/>
                  </w:tcBorders>
                  <w:tcMar>
                    <w:top w:w="0" w:type="dxa"/>
                    <w:left w:w="0" w:type="dxa"/>
                    <w:bottom w:w="0" w:type="dxa"/>
                    <w:right w:w="0" w:type="dxa"/>
                  </w:tcMar>
                  <w:vAlign w:val="center"/>
                </w:tcPr>
                <w:p w14:paraId="414B9D37">
                  <w:pPr>
                    <w:adjustRightInd w:val="0"/>
                    <w:jc w:val="center"/>
                    <w:rPr>
                      <w:b/>
                      <w:color w:val="auto"/>
                      <w:szCs w:val="21"/>
                    </w:rPr>
                  </w:pPr>
                  <w:r>
                    <w:rPr>
                      <w:b/>
                      <w:color w:val="auto"/>
                      <w:szCs w:val="21"/>
                    </w:rPr>
                    <w:t>毒性毒理</w:t>
                  </w:r>
                </w:p>
              </w:tc>
            </w:tr>
            <w:tr w14:paraId="645C4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dxa"/>
                  <w:tcBorders>
                    <w:top w:val="single" w:color="auto" w:sz="12" w:space="0"/>
                  </w:tcBorders>
                  <w:tcMar>
                    <w:top w:w="0" w:type="dxa"/>
                    <w:left w:w="0" w:type="dxa"/>
                    <w:bottom w:w="0" w:type="dxa"/>
                    <w:right w:w="0" w:type="dxa"/>
                  </w:tcMar>
                  <w:vAlign w:val="center"/>
                </w:tcPr>
                <w:p w14:paraId="53DDD99D">
                  <w:pPr>
                    <w:jc w:val="center"/>
                    <w:rPr>
                      <w:rFonts w:hint="eastAsia"/>
                      <w:color w:val="auto"/>
                      <w:lang w:eastAsia="zh-CN"/>
                    </w:rPr>
                  </w:pPr>
                  <w:r>
                    <w:rPr>
                      <w:rFonts w:hint="eastAsia"/>
                      <w:color w:val="auto"/>
                      <w:lang w:eastAsia="zh-CN"/>
                    </w:rPr>
                    <w:t>次氯酸钠</w:t>
                  </w:r>
                </w:p>
              </w:tc>
              <w:tc>
                <w:tcPr>
                  <w:tcW w:w="870" w:type="dxa"/>
                  <w:tcBorders>
                    <w:top w:val="single" w:color="auto" w:sz="12" w:space="0"/>
                  </w:tcBorders>
                  <w:vAlign w:val="center"/>
                </w:tcPr>
                <w:p w14:paraId="0820495B">
                  <w:pPr>
                    <w:jc w:val="center"/>
                    <w:rPr>
                      <w:rFonts w:hint="default" w:eastAsia="宋体"/>
                      <w:color w:val="auto"/>
                      <w:lang w:val="en-US" w:eastAsia="zh-CN"/>
                    </w:rPr>
                  </w:pPr>
                  <w:r>
                    <w:rPr>
                      <w:rFonts w:hint="eastAsia"/>
                      <w:color w:val="auto"/>
                    </w:rPr>
                    <w:t>NaC</w:t>
                  </w:r>
                  <w:r>
                    <w:rPr>
                      <w:rFonts w:hint="eastAsia"/>
                      <w:color w:val="auto"/>
                      <w:lang w:val="en-US" w:eastAsia="zh-CN"/>
                    </w:rPr>
                    <w:t>lO</w:t>
                  </w:r>
                </w:p>
              </w:tc>
              <w:tc>
                <w:tcPr>
                  <w:tcW w:w="990" w:type="dxa"/>
                  <w:tcBorders>
                    <w:top w:val="single" w:color="auto" w:sz="12" w:space="0"/>
                  </w:tcBorders>
                  <w:tcMar>
                    <w:top w:w="0" w:type="dxa"/>
                    <w:left w:w="0" w:type="dxa"/>
                    <w:bottom w:w="0" w:type="dxa"/>
                    <w:right w:w="0" w:type="dxa"/>
                  </w:tcMar>
                  <w:vAlign w:val="center"/>
                </w:tcPr>
                <w:p w14:paraId="7CF3D8FD">
                  <w:pPr>
                    <w:adjustRightInd w:val="0"/>
                    <w:jc w:val="center"/>
                    <w:rPr>
                      <w:color w:val="auto"/>
                      <w:szCs w:val="21"/>
                    </w:rPr>
                  </w:pPr>
                  <w:r>
                    <w:rPr>
                      <w:rFonts w:hint="eastAsia"/>
                      <w:color w:val="auto"/>
                      <w:szCs w:val="21"/>
                    </w:rPr>
                    <w:t>76811-52</w:t>
                  </w:r>
                </w:p>
              </w:tc>
              <w:tc>
                <w:tcPr>
                  <w:tcW w:w="2610" w:type="dxa"/>
                  <w:tcBorders>
                    <w:top w:val="single" w:color="auto" w:sz="12" w:space="0"/>
                  </w:tcBorders>
                  <w:tcMar>
                    <w:top w:w="0" w:type="dxa"/>
                    <w:left w:w="0" w:type="dxa"/>
                    <w:bottom w:w="0" w:type="dxa"/>
                    <w:right w:w="0" w:type="dxa"/>
                  </w:tcMar>
                  <w:vAlign w:val="center"/>
                </w:tcPr>
                <w:p w14:paraId="0015337E">
                  <w:pPr>
                    <w:rPr>
                      <w:bCs/>
                      <w:color w:val="auto"/>
                      <w:szCs w:val="21"/>
                    </w:rPr>
                  </w:pPr>
                  <w:r>
                    <w:rPr>
                      <w:rFonts w:hint="eastAsia"/>
                      <w:bCs/>
                      <w:color w:val="auto"/>
                      <w:szCs w:val="21"/>
                    </w:rPr>
                    <w:t>别名</w:t>
                  </w:r>
                  <w:r>
                    <w:rPr>
                      <w:rFonts w:hint="eastAsia"/>
                      <w:bCs/>
                      <w:color w:val="auto"/>
                      <w:szCs w:val="21"/>
                      <w:lang w:eastAsia="zh-CN"/>
                    </w:rPr>
                    <w:t>：</w:t>
                  </w:r>
                  <w:r>
                    <w:rPr>
                      <w:rFonts w:hint="eastAsia"/>
                      <w:bCs/>
                      <w:color w:val="auto"/>
                      <w:szCs w:val="21"/>
                    </w:rPr>
                    <w:t>漂白水分子量</w:t>
                  </w:r>
                  <w:r>
                    <w:rPr>
                      <w:rFonts w:hint="eastAsia"/>
                      <w:bCs/>
                      <w:color w:val="auto"/>
                      <w:szCs w:val="21"/>
                      <w:lang w:eastAsia="zh-CN"/>
                    </w:rPr>
                    <w:t>：</w:t>
                  </w:r>
                  <w:r>
                    <w:rPr>
                      <w:rFonts w:hint="eastAsia"/>
                      <w:bCs/>
                      <w:color w:val="auto"/>
                      <w:szCs w:val="21"/>
                    </w:rPr>
                    <w:t>分子式</w:t>
                  </w:r>
                  <w:r>
                    <w:rPr>
                      <w:rFonts w:hint="eastAsia"/>
                      <w:bCs/>
                      <w:color w:val="auto"/>
                      <w:szCs w:val="21"/>
                      <w:lang w:eastAsia="zh-CN"/>
                    </w:rPr>
                    <w:t>：</w:t>
                  </w:r>
                  <w:r>
                    <w:rPr>
                      <w:rFonts w:hint="eastAsia"/>
                      <w:bCs/>
                      <w:color w:val="auto"/>
                      <w:szCs w:val="21"/>
                    </w:rPr>
                    <w:t>NaC10:NaOCl密度</w:t>
                  </w:r>
                  <w:r>
                    <w:rPr>
                      <w:rFonts w:hint="eastAsia"/>
                      <w:bCs/>
                      <w:color w:val="auto"/>
                      <w:szCs w:val="21"/>
                      <w:lang w:eastAsia="zh-CN"/>
                    </w:rPr>
                    <w:t>（</w:t>
                  </w:r>
                  <w:r>
                    <w:rPr>
                      <w:rFonts w:hint="eastAsia"/>
                      <w:bCs/>
                      <w:color w:val="auto"/>
                      <w:szCs w:val="21"/>
                    </w:rPr>
                    <w:t>水=1)1.10蒸汽压</w:t>
                  </w:r>
                  <w:r>
                    <w:rPr>
                      <w:rFonts w:hint="eastAsia"/>
                      <w:bCs/>
                      <w:color w:val="auto"/>
                      <w:szCs w:val="21"/>
                      <w:lang w:eastAsia="zh-CN"/>
                    </w:rPr>
                    <w:t>：</w:t>
                  </w:r>
                  <w:r>
                    <w:rPr>
                      <w:rFonts w:hint="eastAsia"/>
                      <w:bCs/>
                      <w:color w:val="auto"/>
                      <w:szCs w:val="21"/>
                    </w:rPr>
                    <w:t>102.2°C溶解性</w:t>
                  </w:r>
                  <w:r>
                    <w:rPr>
                      <w:rFonts w:hint="eastAsia"/>
                      <w:bCs/>
                      <w:color w:val="auto"/>
                      <w:szCs w:val="21"/>
                      <w:lang w:eastAsia="zh-CN"/>
                    </w:rPr>
                    <w:t>：</w:t>
                  </w:r>
                  <w:r>
                    <w:rPr>
                      <w:rFonts w:hint="eastAsia"/>
                      <w:bCs/>
                      <w:color w:val="auto"/>
                      <w:szCs w:val="21"/>
                    </w:rPr>
                    <w:t>溶于水危险标记</w:t>
                  </w:r>
                  <w:r>
                    <w:rPr>
                      <w:rFonts w:hint="eastAsia"/>
                      <w:bCs/>
                      <w:color w:val="auto"/>
                      <w:szCs w:val="21"/>
                      <w:lang w:eastAsia="zh-CN"/>
                    </w:rPr>
                    <w:t>：</w:t>
                  </w:r>
                  <w:r>
                    <w:rPr>
                      <w:rFonts w:hint="eastAsia"/>
                      <w:bCs/>
                      <w:color w:val="auto"/>
                      <w:szCs w:val="21"/>
                    </w:rPr>
                    <w:t>20</w:t>
                  </w:r>
                  <w:r>
                    <w:rPr>
                      <w:rFonts w:hint="eastAsia"/>
                      <w:bCs/>
                      <w:color w:val="auto"/>
                      <w:szCs w:val="21"/>
                      <w:lang w:eastAsia="zh-CN"/>
                    </w:rPr>
                    <w:t>（</w:t>
                  </w:r>
                  <w:r>
                    <w:rPr>
                      <w:rFonts w:hint="eastAsia"/>
                      <w:bCs/>
                      <w:color w:val="auto"/>
                      <w:szCs w:val="21"/>
                    </w:rPr>
                    <w:t>腐蚀品</w:t>
                  </w:r>
                  <w:r>
                    <w:rPr>
                      <w:rFonts w:hint="eastAsia"/>
                      <w:bCs/>
                      <w:color w:val="auto"/>
                      <w:szCs w:val="21"/>
                      <w:lang w:eastAsia="zh-CN"/>
                    </w:rPr>
                    <w:t>）</w:t>
                  </w:r>
                  <w:r>
                    <w:rPr>
                      <w:rFonts w:hint="eastAsia"/>
                      <w:bCs/>
                      <w:color w:val="auto"/>
                      <w:szCs w:val="21"/>
                    </w:rPr>
                    <w:t>观与性状</w:t>
                  </w:r>
                  <w:r>
                    <w:rPr>
                      <w:rFonts w:hint="eastAsia"/>
                      <w:bCs/>
                      <w:color w:val="auto"/>
                      <w:szCs w:val="21"/>
                      <w:lang w:eastAsia="zh-CN"/>
                    </w:rPr>
                    <w:t>：</w:t>
                  </w:r>
                  <w:r>
                    <w:rPr>
                      <w:rFonts w:hint="eastAsia"/>
                      <w:bCs/>
                      <w:color w:val="auto"/>
                      <w:szCs w:val="21"/>
                    </w:rPr>
                    <w:t>微黄色溶液，有似氯气的气味以及作消毒剂、纸浆漂白等，熔点</w:t>
                  </w:r>
                  <w:r>
                    <w:rPr>
                      <w:rFonts w:hint="eastAsia"/>
                      <w:bCs/>
                      <w:color w:val="auto"/>
                      <w:szCs w:val="21"/>
                      <w:lang w:eastAsia="zh-CN"/>
                    </w:rPr>
                    <w:t>：</w:t>
                  </w:r>
                  <w:r>
                    <w:rPr>
                      <w:rFonts w:hint="eastAsia"/>
                      <w:bCs/>
                      <w:color w:val="auto"/>
                      <w:szCs w:val="21"/>
                    </w:rPr>
                    <w:t>-6°C密度</w:t>
                  </w:r>
                  <w:r>
                    <w:rPr>
                      <w:rFonts w:hint="eastAsia"/>
                      <w:bCs/>
                      <w:color w:val="auto"/>
                      <w:szCs w:val="21"/>
                      <w:lang w:eastAsia="zh-CN"/>
                    </w:rPr>
                    <w:t>：</w:t>
                  </w:r>
                  <w:r>
                    <w:rPr>
                      <w:rFonts w:hint="eastAsia"/>
                      <w:bCs/>
                      <w:color w:val="auto"/>
                      <w:szCs w:val="21"/>
                    </w:rPr>
                    <w:t>相对为用途</w:t>
                  </w:r>
                  <w:r>
                    <w:rPr>
                      <w:rFonts w:hint="eastAsia"/>
                      <w:bCs/>
                      <w:color w:val="auto"/>
                      <w:szCs w:val="21"/>
                      <w:lang w:eastAsia="zh-CN"/>
                    </w:rPr>
                    <w:t>：</w:t>
                  </w:r>
                  <w:r>
                    <w:rPr>
                      <w:rFonts w:hint="eastAsia"/>
                      <w:bCs/>
                      <w:color w:val="auto"/>
                      <w:szCs w:val="21"/>
                    </w:rPr>
                    <w:t>用于水的净化，稳定性</w:t>
                  </w:r>
                  <w:r>
                    <w:rPr>
                      <w:rFonts w:hint="eastAsia"/>
                      <w:bCs/>
                      <w:color w:val="auto"/>
                      <w:szCs w:val="21"/>
                      <w:lang w:eastAsia="zh-CN"/>
                    </w:rPr>
                    <w:t>：</w:t>
                  </w:r>
                  <w:r>
                    <w:rPr>
                      <w:rFonts w:hint="eastAsia"/>
                      <w:bCs/>
                      <w:color w:val="auto"/>
                      <w:szCs w:val="21"/>
                    </w:rPr>
                    <w:t>不稳定</w:t>
                  </w:r>
                </w:p>
              </w:tc>
              <w:tc>
                <w:tcPr>
                  <w:tcW w:w="1394" w:type="dxa"/>
                  <w:tcBorders>
                    <w:top w:val="single" w:color="auto" w:sz="12" w:space="0"/>
                  </w:tcBorders>
                  <w:tcMar>
                    <w:top w:w="0" w:type="dxa"/>
                    <w:left w:w="0" w:type="dxa"/>
                    <w:bottom w:w="0" w:type="dxa"/>
                    <w:right w:w="0" w:type="dxa"/>
                  </w:tcMar>
                  <w:vAlign w:val="center"/>
                </w:tcPr>
                <w:p w14:paraId="77A20F30">
                  <w:pPr>
                    <w:adjustRightInd w:val="0"/>
                    <w:jc w:val="center"/>
                    <w:rPr>
                      <w:color w:val="auto"/>
                      <w:szCs w:val="21"/>
                    </w:rPr>
                  </w:pPr>
                  <w:r>
                    <w:rPr>
                      <w:rFonts w:hint="eastAsia"/>
                      <w:color w:val="auto"/>
                      <w:szCs w:val="21"/>
                    </w:rPr>
                    <w:t>受高热分</w:t>
                  </w:r>
                  <w:r>
                    <w:rPr>
                      <w:rFonts w:hint="eastAsia"/>
                      <w:color w:val="auto"/>
                      <w:szCs w:val="21"/>
                      <w:lang w:eastAsia="zh-CN"/>
                    </w:rPr>
                    <w:t>解产</w:t>
                  </w:r>
                  <w:r>
                    <w:rPr>
                      <w:rFonts w:hint="eastAsia"/>
                      <w:color w:val="auto"/>
                      <w:szCs w:val="21"/>
                    </w:rPr>
                    <w:t>生有毒的腐蚀性气体</w:t>
                  </w:r>
                </w:p>
              </w:tc>
              <w:tc>
                <w:tcPr>
                  <w:tcW w:w="1778" w:type="dxa"/>
                  <w:tcBorders>
                    <w:top w:val="single" w:color="auto" w:sz="12" w:space="0"/>
                  </w:tcBorders>
                  <w:tcMar>
                    <w:top w:w="0" w:type="dxa"/>
                    <w:left w:w="0" w:type="dxa"/>
                    <w:bottom w:w="0" w:type="dxa"/>
                    <w:right w:w="0" w:type="dxa"/>
                  </w:tcMar>
                  <w:vAlign w:val="center"/>
                </w:tcPr>
                <w:p w14:paraId="07D5FF26">
                  <w:pPr>
                    <w:adjustRightInd w:val="0"/>
                    <w:jc w:val="center"/>
                    <w:rPr>
                      <w:color w:val="auto"/>
                      <w:szCs w:val="21"/>
                    </w:rPr>
                  </w:pPr>
                  <w:r>
                    <w:rPr>
                      <w:rFonts w:hint="eastAsia"/>
                      <w:color w:val="auto"/>
                      <w:szCs w:val="21"/>
                    </w:rPr>
                    <w:t>LDso5800mg/kg</w:t>
                  </w:r>
                  <w:r>
                    <w:rPr>
                      <w:rFonts w:hint="eastAsia"/>
                      <w:color w:val="auto"/>
                      <w:szCs w:val="21"/>
                      <w:lang w:eastAsia="zh-CN"/>
                    </w:rPr>
                    <w:t>（</w:t>
                  </w:r>
                  <w:r>
                    <w:rPr>
                      <w:rFonts w:hint="eastAsia"/>
                      <w:color w:val="auto"/>
                      <w:szCs w:val="21"/>
                    </w:rPr>
                    <w:t>小鼠经口</w:t>
                  </w:r>
                  <w:r>
                    <w:rPr>
                      <w:rFonts w:hint="eastAsia"/>
                      <w:color w:val="auto"/>
                      <w:szCs w:val="21"/>
                      <w:lang w:eastAsia="zh-CN"/>
                    </w:rPr>
                    <w:t>）</w:t>
                  </w:r>
                </w:p>
              </w:tc>
            </w:tr>
          </w:tbl>
          <w:p w14:paraId="22C1A4FC">
            <w:pPr>
              <w:pStyle w:val="2"/>
              <w:ind w:left="0" w:leftChars="0" w:firstLine="361" w:firstLineChars="150"/>
              <w:rPr>
                <w:b/>
                <w:bCs/>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rPr>
              <w:t>设备使用情况</w:t>
            </w:r>
          </w:p>
          <w:p w14:paraId="6657553F">
            <w:pPr>
              <w:keepNext/>
              <w:adjustRightInd w:val="0"/>
              <w:snapToGrid w:val="0"/>
              <w:jc w:val="center"/>
              <w:rPr>
                <w:rFonts w:hint="eastAsia" w:eastAsia="宋体"/>
                <w:color w:val="auto"/>
                <w:sz w:val="24"/>
                <w:lang w:eastAsia="zh-CN"/>
              </w:rPr>
            </w:pPr>
            <w:r>
              <w:rPr>
                <w:b/>
                <w:color w:val="auto"/>
                <w:sz w:val="24"/>
              </w:rPr>
              <w:t>表2-</w:t>
            </w:r>
            <w:r>
              <w:rPr>
                <w:rFonts w:hint="eastAsia"/>
                <w:b/>
                <w:color w:val="auto"/>
                <w:sz w:val="24"/>
                <w:lang w:val="en-US" w:eastAsia="zh-CN"/>
              </w:rPr>
              <w:t>5</w:t>
            </w:r>
            <w:r>
              <w:rPr>
                <w:b/>
                <w:color w:val="auto"/>
                <w:sz w:val="24"/>
              </w:rPr>
              <w:t>主要</w:t>
            </w:r>
            <w:r>
              <w:rPr>
                <w:rFonts w:hint="eastAsia"/>
                <w:b/>
                <w:color w:val="auto"/>
                <w:sz w:val="24"/>
              </w:rPr>
              <w:t>生产设备使用情况</w:t>
            </w:r>
          </w:p>
          <w:tbl>
            <w:tblPr>
              <w:tblStyle w:val="32"/>
              <w:tblW w:w="48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2242"/>
              <w:gridCol w:w="1011"/>
              <w:gridCol w:w="680"/>
              <w:gridCol w:w="686"/>
              <w:gridCol w:w="927"/>
              <w:gridCol w:w="1575"/>
              <w:gridCol w:w="399"/>
            </w:tblGrid>
            <w:tr w14:paraId="52B1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79" w:type="pct"/>
                  <w:vMerge w:val="restart"/>
                  <w:tcBorders>
                    <w:top w:val="single" w:color="auto" w:sz="12" w:space="0"/>
                    <w:left w:val="nil"/>
                    <w:bottom w:val="single" w:color="auto" w:sz="4" w:space="0"/>
                    <w:right w:val="single" w:color="auto" w:sz="4" w:space="0"/>
                  </w:tcBorders>
                  <w:noWrap w:val="0"/>
                  <w:vAlign w:val="center"/>
                </w:tcPr>
                <w:p w14:paraId="1EE7584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序号</w:t>
                  </w:r>
                </w:p>
              </w:tc>
              <w:tc>
                <w:tcPr>
                  <w:tcW w:w="1377" w:type="pct"/>
                  <w:vMerge w:val="restart"/>
                  <w:tcBorders>
                    <w:top w:val="single" w:color="auto" w:sz="12" w:space="0"/>
                    <w:left w:val="single" w:color="auto" w:sz="4" w:space="0"/>
                    <w:bottom w:val="single" w:color="auto" w:sz="4" w:space="0"/>
                    <w:right w:val="single" w:color="auto" w:sz="4" w:space="0"/>
                  </w:tcBorders>
                  <w:noWrap w:val="0"/>
                  <w:vAlign w:val="center"/>
                </w:tcPr>
                <w:p w14:paraId="2526AB3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设备名称</w:t>
                  </w:r>
                </w:p>
              </w:tc>
              <w:tc>
                <w:tcPr>
                  <w:tcW w:w="621" w:type="pct"/>
                  <w:vMerge w:val="restart"/>
                  <w:tcBorders>
                    <w:top w:val="single" w:color="auto" w:sz="12" w:space="0"/>
                    <w:left w:val="single" w:color="auto" w:sz="4" w:space="0"/>
                    <w:right w:val="single" w:color="auto" w:sz="4" w:space="0"/>
                  </w:tcBorders>
                  <w:noWrap w:val="0"/>
                  <w:vAlign w:val="center"/>
                </w:tcPr>
                <w:p w14:paraId="74BB73E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规格型号</w:t>
                  </w:r>
                </w:p>
              </w:tc>
              <w:tc>
                <w:tcPr>
                  <w:tcW w:w="417" w:type="pct"/>
                  <w:vMerge w:val="restart"/>
                  <w:tcBorders>
                    <w:top w:val="single" w:color="auto" w:sz="12" w:space="0"/>
                    <w:left w:val="single" w:color="auto" w:sz="4" w:space="0"/>
                    <w:right w:val="single" w:color="auto" w:sz="4" w:space="0"/>
                  </w:tcBorders>
                  <w:noWrap w:val="0"/>
                  <w:vAlign w:val="center"/>
                </w:tcPr>
                <w:p w14:paraId="1917F27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lang w:eastAsia="zh-CN"/>
                    </w:rPr>
                    <w:t>技改前</w:t>
                  </w:r>
                  <w:r>
                    <w:rPr>
                      <w:rFonts w:hint="default" w:ascii="Times New Roman" w:hAnsi="Times New Roman" w:eastAsia="宋体" w:cs="Times New Roman"/>
                      <w:b/>
                      <w:color w:val="auto"/>
                      <w:sz w:val="18"/>
                      <w:szCs w:val="18"/>
                    </w:rPr>
                    <w:t>数量（台/套）</w:t>
                  </w:r>
                </w:p>
              </w:tc>
              <w:tc>
                <w:tcPr>
                  <w:tcW w:w="421" w:type="pct"/>
                  <w:vMerge w:val="restart"/>
                  <w:tcBorders>
                    <w:top w:val="single" w:color="auto" w:sz="12" w:space="0"/>
                    <w:left w:val="single" w:color="auto" w:sz="4" w:space="0"/>
                    <w:right w:val="nil"/>
                  </w:tcBorders>
                  <w:noWrap w:val="0"/>
                  <w:vAlign w:val="center"/>
                </w:tcPr>
                <w:p w14:paraId="1EFE2877">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lang w:val="en-US" w:eastAsia="zh-CN"/>
                    </w:rPr>
                  </w:pPr>
                  <w:r>
                    <w:rPr>
                      <w:rFonts w:hint="eastAsia" w:cs="Times New Roman"/>
                      <w:b/>
                      <w:color w:val="auto"/>
                      <w:sz w:val="18"/>
                      <w:szCs w:val="18"/>
                      <w:lang w:val="en-US" w:eastAsia="zh-CN"/>
                    </w:rPr>
                    <w:t>本次技改新增</w:t>
                  </w:r>
                  <w:r>
                    <w:rPr>
                      <w:rFonts w:hint="default" w:ascii="Times New Roman" w:hAnsi="Times New Roman" w:eastAsia="宋体" w:cs="Times New Roman"/>
                      <w:b/>
                      <w:color w:val="auto"/>
                      <w:sz w:val="18"/>
                      <w:szCs w:val="18"/>
                    </w:rPr>
                    <w:t>数量（台/套）</w:t>
                  </w:r>
                </w:p>
              </w:tc>
              <w:tc>
                <w:tcPr>
                  <w:tcW w:w="569" w:type="pct"/>
                  <w:tcBorders>
                    <w:top w:val="single" w:color="auto" w:sz="12" w:space="0"/>
                    <w:left w:val="single" w:color="auto" w:sz="4" w:space="0"/>
                    <w:bottom w:val="single" w:color="auto" w:sz="4" w:space="0"/>
                    <w:right w:val="nil"/>
                  </w:tcBorders>
                  <w:noWrap w:val="0"/>
                  <w:vAlign w:val="center"/>
                </w:tcPr>
                <w:p w14:paraId="7B8D29F2">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lang w:val="en-US" w:eastAsia="zh-CN"/>
                    </w:rPr>
                  </w:pPr>
                  <w:r>
                    <w:rPr>
                      <w:rFonts w:hint="eastAsia" w:cs="Times New Roman"/>
                      <w:b/>
                      <w:color w:val="auto"/>
                      <w:sz w:val="18"/>
                      <w:szCs w:val="18"/>
                      <w:lang w:val="en-US" w:eastAsia="zh-CN"/>
                    </w:rPr>
                    <w:t>变动后实际建设情况</w:t>
                  </w:r>
                </w:p>
              </w:tc>
              <w:tc>
                <w:tcPr>
                  <w:tcW w:w="967" w:type="pct"/>
                  <w:vMerge w:val="restart"/>
                  <w:tcBorders>
                    <w:top w:val="single" w:color="auto" w:sz="12" w:space="0"/>
                    <w:left w:val="single" w:color="auto" w:sz="4" w:space="0"/>
                    <w:right w:val="nil"/>
                  </w:tcBorders>
                  <w:noWrap w:val="0"/>
                  <w:vAlign w:val="center"/>
                </w:tcPr>
                <w:p w14:paraId="0452FB29">
                  <w:pPr>
                    <w:keepNext w:val="0"/>
                    <w:keepLines w:val="0"/>
                    <w:suppressLineNumbers w:val="0"/>
                    <w:tabs>
                      <w:tab w:val="left" w:pos="420"/>
                      <w:tab w:val="center" w:pos="1910"/>
                    </w:tabs>
                    <w:spacing w:before="0" w:beforeAutospacing="0" w:after="0" w:afterAutospacing="0"/>
                    <w:ind w:left="0" w:right="0"/>
                    <w:jc w:val="center"/>
                    <w:rPr>
                      <w:rFonts w:hint="eastAsia" w:cs="Times New Roman"/>
                      <w:b/>
                      <w:color w:val="auto"/>
                      <w:sz w:val="18"/>
                      <w:szCs w:val="18"/>
                      <w:lang w:val="en-US" w:eastAsia="zh-CN"/>
                    </w:rPr>
                  </w:pPr>
                  <w:r>
                    <w:rPr>
                      <w:rFonts w:hint="eastAsia" w:cs="Times New Roman"/>
                      <w:b/>
                      <w:color w:val="auto"/>
                      <w:sz w:val="18"/>
                      <w:szCs w:val="18"/>
                      <w:lang w:val="en-US" w:eastAsia="zh-CN"/>
                    </w:rPr>
                    <w:t>设备位置</w:t>
                  </w:r>
                </w:p>
              </w:tc>
              <w:tc>
                <w:tcPr>
                  <w:tcW w:w="245" w:type="pct"/>
                  <w:vMerge w:val="restart"/>
                  <w:tcBorders>
                    <w:top w:val="single" w:color="auto" w:sz="12" w:space="0"/>
                    <w:left w:val="single" w:color="auto" w:sz="4" w:space="0"/>
                    <w:bottom w:val="single" w:color="auto" w:sz="4" w:space="0"/>
                    <w:right w:val="nil"/>
                  </w:tcBorders>
                  <w:noWrap w:val="0"/>
                  <w:vAlign w:val="center"/>
                </w:tcPr>
                <w:p w14:paraId="03E497B4">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备注</w:t>
                  </w:r>
                </w:p>
              </w:tc>
            </w:tr>
            <w:tr w14:paraId="3EBE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79" w:type="pct"/>
                  <w:vMerge w:val="continue"/>
                  <w:tcBorders>
                    <w:top w:val="single" w:color="auto" w:sz="4" w:space="0"/>
                    <w:left w:val="nil"/>
                    <w:bottom w:val="single" w:color="auto" w:sz="4" w:space="0"/>
                    <w:right w:val="single" w:color="auto" w:sz="4" w:space="0"/>
                  </w:tcBorders>
                  <w:noWrap w:val="0"/>
                  <w:vAlign w:val="center"/>
                </w:tcPr>
                <w:p w14:paraId="14DB6F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1377" w:type="pct"/>
                  <w:vMerge w:val="continue"/>
                  <w:tcBorders>
                    <w:top w:val="single" w:color="auto" w:sz="4" w:space="0"/>
                    <w:left w:val="single" w:color="auto" w:sz="4" w:space="0"/>
                    <w:bottom w:val="single" w:color="auto" w:sz="4" w:space="0"/>
                    <w:right w:val="single" w:color="auto" w:sz="4" w:space="0"/>
                  </w:tcBorders>
                  <w:noWrap w:val="0"/>
                  <w:vAlign w:val="center"/>
                </w:tcPr>
                <w:p w14:paraId="2206B1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621" w:type="pct"/>
                  <w:vMerge w:val="continue"/>
                  <w:tcBorders>
                    <w:left w:val="single" w:color="auto" w:sz="4" w:space="0"/>
                    <w:bottom w:val="single" w:color="auto" w:sz="4" w:space="0"/>
                    <w:right w:val="single" w:color="auto" w:sz="4" w:space="0"/>
                  </w:tcBorders>
                  <w:noWrap w:val="0"/>
                  <w:vAlign w:val="center"/>
                </w:tcPr>
                <w:p w14:paraId="5C11204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417" w:type="pct"/>
                  <w:vMerge w:val="continue"/>
                  <w:tcBorders>
                    <w:left w:val="single" w:color="auto" w:sz="4" w:space="0"/>
                    <w:bottom w:val="single" w:color="auto" w:sz="4" w:space="0"/>
                    <w:right w:val="single" w:color="auto" w:sz="4" w:space="0"/>
                  </w:tcBorders>
                  <w:noWrap w:val="0"/>
                  <w:vAlign w:val="center"/>
                </w:tcPr>
                <w:p w14:paraId="095294B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421" w:type="pct"/>
                  <w:vMerge w:val="continue"/>
                  <w:tcBorders>
                    <w:left w:val="single" w:color="auto" w:sz="4" w:space="0"/>
                    <w:bottom w:val="single" w:color="auto" w:sz="4" w:space="0"/>
                    <w:right w:val="nil"/>
                  </w:tcBorders>
                  <w:noWrap w:val="0"/>
                  <w:vAlign w:val="center"/>
                </w:tcPr>
                <w:p w14:paraId="1880DD01">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569" w:type="pct"/>
                  <w:tcBorders>
                    <w:top w:val="single" w:color="auto" w:sz="4" w:space="0"/>
                    <w:left w:val="single" w:color="auto" w:sz="4" w:space="0"/>
                    <w:bottom w:val="single" w:color="auto" w:sz="4" w:space="0"/>
                    <w:right w:val="nil"/>
                  </w:tcBorders>
                  <w:noWrap w:val="0"/>
                  <w:vAlign w:val="center"/>
                </w:tcPr>
                <w:p w14:paraId="31E106CB">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数量（台/套）</w:t>
                  </w:r>
                </w:p>
              </w:tc>
              <w:tc>
                <w:tcPr>
                  <w:tcW w:w="967" w:type="pct"/>
                  <w:vMerge w:val="continue"/>
                  <w:tcBorders>
                    <w:left w:val="single" w:color="auto" w:sz="4" w:space="0"/>
                    <w:bottom w:val="single" w:color="auto" w:sz="4" w:space="0"/>
                    <w:right w:val="nil"/>
                  </w:tcBorders>
                  <w:noWrap w:val="0"/>
                  <w:vAlign w:val="center"/>
                </w:tcPr>
                <w:p w14:paraId="399CEA38">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245" w:type="pct"/>
                  <w:vMerge w:val="continue"/>
                  <w:tcBorders>
                    <w:top w:val="single" w:color="auto" w:sz="4" w:space="0"/>
                    <w:left w:val="single" w:color="auto" w:sz="4" w:space="0"/>
                    <w:bottom w:val="single" w:color="auto" w:sz="4" w:space="0"/>
                    <w:right w:val="nil"/>
                  </w:tcBorders>
                  <w:noWrap w:val="0"/>
                  <w:vAlign w:val="center"/>
                </w:tcPr>
                <w:p w14:paraId="28C81E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r>
            <w:tr w14:paraId="5C16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noWrap w:val="0"/>
                  <w:vAlign w:val="center"/>
                </w:tcPr>
                <w:p w14:paraId="79A120C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05FC0B3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给袋式包装机及配套上料系统</w:t>
                  </w:r>
                </w:p>
              </w:tc>
              <w:tc>
                <w:tcPr>
                  <w:tcW w:w="621" w:type="pct"/>
                  <w:tcBorders>
                    <w:left w:val="single" w:color="auto" w:sz="4" w:space="0"/>
                    <w:bottom w:val="single" w:color="auto" w:sz="4" w:space="0"/>
                    <w:right w:val="single" w:color="auto" w:sz="4" w:space="0"/>
                  </w:tcBorders>
                  <w:noWrap w:val="0"/>
                  <w:vAlign w:val="center"/>
                </w:tcPr>
                <w:p w14:paraId="08D61D2B">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MRZK-240</w:t>
                  </w:r>
                </w:p>
              </w:tc>
              <w:tc>
                <w:tcPr>
                  <w:tcW w:w="417" w:type="pct"/>
                  <w:tcBorders>
                    <w:left w:val="single" w:color="auto" w:sz="4" w:space="0"/>
                    <w:bottom w:val="single" w:color="auto" w:sz="4" w:space="0"/>
                    <w:right w:val="single" w:color="auto" w:sz="4" w:space="0"/>
                  </w:tcBorders>
                  <w:noWrap w:val="0"/>
                  <w:vAlign w:val="center"/>
                </w:tcPr>
                <w:p w14:paraId="6CC7CB12">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noWrap w:val="0"/>
                  <w:vAlign w:val="center"/>
                </w:tcPr>
                <w:p w14:paraId="5C45E83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14019AD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w:t>
                  </w:r>
                </w:p>
              </w:tc>
              <w:tc>
                <w:tcPr>
                  <w:tcW w:w="967" w:type="pct"/>
                  <w:tcBorders>
                    <w:left w:val="single" w:color="auto" w:sz="4" w:space="0"/>
                    <w:bottom w:val="single" w:color="auto" w:sz="4" w:space="0"/>
                    <w:right w:val="nil"/>
                  </w:tcBorders>
                  <w:noWrap w:val="0"/>
                  <w:vAlign w:val="center"/>
                </w:tcPr>
                <w:p w14:paraId="612ACB7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鱼皮-前道上料</w:t>
                  </w:r>
                </w:p>
              </w:tc>
              <w:tc>
                <w:tcPr>
                  <w:tcW w:w="245" w:type="pct"/>
                  <w:vMerge w:val="restart"/>
                  <w:tcBorders>
                    <w:top w:val="single" w:color="auto" w:sz="4" w:space="0"/>
                    <w:left w:val="single" w:color="auto" w:sz="4" w:space="0"/>
                    <w:right w:val="nil"/>
                  </w:tcBorders>
                  <w:noWrap w:val="0"/>
                  <w:vAlign w:val="center"/>
                </w:tcPr>
                <w:p w14:paraId="0BCE4C42">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本次项目扩建新增设备</w:t>
                  </w:r>
                </w:p>
              </w:tc>
            </w:tr>
            <w:tr w14:paraId="4C37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E599C0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4317C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解冻水池</w:t>
                  </w:r>
                </w:p>
              </w:tc>
              <w:tc>
                <w:tcPr>
                  <w:tcW w:w="621" w:type="pct"/>
                  <w:tcBorders>
                    <w:left w:val="single" w:color="auto" w:sz="4" w:space="0"/>
                    <w:bottom w:val="single" w:color="auto" w:sz="4" w:space="0"/>
                    <w:right w:val="single" w:color="auto" w:sz="4" w:space="0"/>
                  </w:tcBorders>
                  <w:shd w:val="clear" w:color="auto" w:fill="auto"/>
                  <w:noWrap w:val="0"/>
                  <w:vAlign w:val="center"/>
                </w:tcPr>
                <w:p w14:paraId="398E523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39950FBE">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734693AB">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7E6A1B6F">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282C7514">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鱼皮-解冻</w:t>
                  </w:r>
                </w:p>
              </w:tc>
              <w:tc>
                <w:tcPr>
                  <w:tcW w:w="245" w:type="pct"/>
                  <w:vMerge w:val="continue"/>
                  <w:tcBorders>
                    <w:left w:val="single" w:color="auto" w:sz="4" w:space="0"/>
                    <w:right w:val="nil"/>
                  </w:tcBorders>
                  <w:noWrap w:val="0"/>
                  <w:vAlign w:val="center"/>
                </w:tcPr>
                <w:p w14:paraId="4AC2FC2E">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1C67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C112BBB">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11933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人工去鳞除杂输送</w:t>
                  </w:r>
                </w:p>
              </w:tc>
              <w:tc>
                <w:tcPr>
                  <w:tcW w:w="621" w:type="pct"/>
                  <w:tcBorders>
                    <w:left w:val="single" w:color="auto" w:sz="4" w:space="0"/>
                    <w:bottom w:val="single" w:color="auto" w:sz="4" w:space="0"/>
                    <w:right w:val="single" w:color="auto" w:sz="4" w:space="0"/>
                  </w:tcBorders>
                  <w:shd w:val="clear" w:color="auto" w:fill="auto"/>
                  <w:noWrap w:val="0"/>
                  <w:vAlign w:val="center"/>
                </w:tcPr>
                <w:p w14:paraId="6E8E382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100E546E">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68FAA156">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57A8E1A8">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4AC5FA27">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鱼皮-挑拣</w:t>
                  </w:r>
                </w:p>
              </w:tc>
              <w:tc>
                <w:tcPr>
                  <w:tcW w:w="245" w:type="pct"/>
                  <w:vMerge w:val="continue"/>
                  <w:tcBorders>
                    <w:left w:val="single" w:color="auto" w:sz="4" w:space="0"/>
                    <w:right w:val="nil"/>
                  </w:tcBorders>
                  <w:noWrap w:val="0"/>
                  <w:vAlign w:val="center"/>
                </w:tcPr>
                <w:p w14:paraId="20365ED2">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4D35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3F5FB1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94D22C">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冰水鼓泡冷却机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34324D7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07DADD7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6A2433F8">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5029B432">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967" w:type="pct"/>
                  <w:tcBorders>
                    <w:left w:val="single" w:color="auto" w:sz="4" w:space="0"/>
                    <w:bottom w:val="single" w:color="auto" w:sz="4" w:space="0"/>
                    <w:right w:val="nil"/>
                  </w:tcBorders>
                  <w:shd w:val="clear" w:color="auto" w:fill="auto"/>
                  <w:noWrap w:val="0"/>
                  <w:vAlign w:val="center"/>
                </w:tcPr>
                <w:p w14:paraId="7AE3C681">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鱼皮-泡发</w:t>
                  </w:r>
                </w:p>
              </w:tc>
              <w:tc>
                <w:tcPr>
                  <w:tcW w:w="245" w:type="pct"/>
                  <w:vMerge w:val="continue"/>
                  <w:tcBorders>
                    <w:left w:val="single" w:color="auto" w:sz="4" w:space="0"/>
                    <w:right w:val="nil"/>
                  </w:tcBorders>
                  <w:noWrap w:val="0"/>
                  <w:vAlign w:val="center"/>
                </w:tcPr>
                <w:p w14:paraId="6C2A3BD3">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79A2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181697C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4A81C6">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冷却清洗池</w:t>
                  </w:r>
                </w:p>
              </w:tc>
              <w:tc>
                <w:tcPr>
                  <w:tcW w:w="621" w:type="pct"/>
                  <w:tcBorders>
                    <w:left w:val="single" w:color="auto" w:sz="4" w:space="0"/>
                    <w:bottom w:val="single" w:color="auto" w:sz="4" w:space="0"/>
                    <w:right w:val="single" w:color="auto" w:sz="4" w:space="0"/>
                  </w:tcBorders>
                  <w:shd w:val="clear" w:color="auto" w:fill="auto"/>
                  <w:noWrap w:val="0"/>
                  <w:vAlign w:val="center"/>
                </w:tcPr>
                <w:p w14:paraId="3D277245">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25F1472C">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5EC47847">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0821D314">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5B986869">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清洗</w:t>
                  </w:r>
                </w:p>
              </w:tc>
              <w:tc>
                <w:tcPr>
                  <w:tcW w:w="245" w:type="pct"/>
                  <w:vMerge w:val="continue"/>
                  <w:tcBorders>
                    <w:left w:val="single" w:color="auto" w:sz="4" w:space="0"/>
                    <w:right w:val="nil"/>
                  </w:tcBorders>
                  <w:noWrap w:val="0"/>
                  <w:vAlign w:val="center"/>
                </w:tcPr>
                <w:p w14:paraId="740959CB">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335F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D41343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51AAA6">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鼓泡漂烫机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68B1C96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2A461BB5">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1FABBFAB">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7609F5CF">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21B208E4">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鱼皮-漂烫</w:t>
                  </w:r>
                </w:p>
              </w:tc>
              <w:tc>
                <w:tcPr>
                  <w:tcW w:w="245" w:type="pct"/>
                  <w:vMerge w:val="continue"/>
                  <w:tcBorders>
                    <w:left w:val="single" w:color="auto" w:sz="4" w:space="0"/>
                    <w:right w:val="nil"/>
                  </w:tcBorders>
                  <w:noWrap w:val="0"/>
                  <w:vAlign w:val="center"/>
                </w:tcPr>
                <w:p w14:paraId="4B498D36">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4973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295445B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4956CD">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冷却池系统</w:t>
                  </w:r>
                </w:p>
              </w:tc>
              <w:tc>
                <w:tcPr>
                  <w:tcW w:w="621" w:type="pct"/>
                  <w:tcBorders>
                    <w:left w:val="single" w:color="auto" w:sz="4" w:space="0"/>
                    <w:bottom w:val="single" w:color="auto" w:sz="4" w:space="0"/>
                    <w:right w:val="single" w:color="auto" w:sz="4" w:space="0"/>
                  </w:tcBorders>
                  <w:shd w:val="clear" w:color="auto" w:fill="auto"/>
                  <w:noWrap w:val="0"/>
                  <w:vAlign w:val="center"/>
                </w:tcPr>
                <w:p w14:paraId="0C30DB4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1DBB0FAB">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60165DDD">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339834DD">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743BD88E">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鱼皮-冷却</w:t>
                  </w:r>
                </w:p>
              </w:tc>
              <w:tc>
                <w:tcPr>
                  <w:tcW w:w="245" w:type="pct"/>
                  <w:vMerge w:val="continue"/>
                  <w:tcBorders>
                    <w:left w:val="single" w:color="auto" w:sz="4" w:space="0"/>
                    <w:right w:val="nil"/>
                  </w:tcBorders>
                  <w:noWrap w:val="0"/>
                  <w:vAlign w:val="center"/>
                </w:tcPr>
                <w:p w14:paraId="1CF8DE57">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071D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B8C49D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B0E6F4">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冷却池</w:t>
                  </w:r>
                </w:p>
              </w:tc>
              <w:tc>
                <w:tcPr>
                  <w:tcW w:w="621" w:type="pct"/>
                  <w:tcBorders>
                    <w:left w:val="single" w:color="auto" w:sz="4" w:space="0"/>
                    <w:bottom w:val="single" w:color="auto" w:sz="4" w:space="0"/>
                    <w:right w:val="single" w:color="auto" w:sz="4" w:space="0"/>
                  </w:tcBorders>
                  <w:shd w:val="clear" w:color="auto" w:fill="auto"/>
                  <w:noWrap w:val="0"/>
                  <w:vAlign w:val="center"/>
                </w:tcPr>
                <w:p w14:paraId="063A44B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69158C88">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39648F98">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EC47FF2">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05213557">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鱼皮-冷却</w:t>
                  </w:r>
                </w:p>
              </w:tc>
              <w:tc>
                <w:tcPr>
                  <w:tcW w:w="245" w:type="pct"/>
                  <w:vMerge w:val="continue"/>
                  <w:tcBorders>
                    <w:left w:val="single" w:color="auto" w:sz="4" w:space="0"/>
                    <w:right w:val="nil"/>
                  </w:tcBorders>
                  <w:noWrap w:val="0"/>
                  <w:vAlign w:val="center"/>
                </w:tcPr>
                <w:p w14:paraId="5B6D5BCA">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05FF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8134D6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2C9320">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鱼皮切丝机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018C6DF5">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8mm</w:t>
                  </w:r>
                </w:p>
              </w:tc>
              <w:tc>
                <w:tcPr>
                  <w:tcW w:w="417" w:type="pct"/>
                  <w:tcBorders>
                    <w:left w:val="single" w:color="auto" w:sz="4" w:space="0"/>
                    <w:bottom w:val="single" w:color="auto" w:sz="4" w:space="0"/>
                    <w:right w:val="single" w:color="auto" w:sz="4" w:space="0"/>
                  </w:tcBorders>
                  <w:shd w:val="clear" w:color="auto" w:fill="auto"/>
                  <w:noWrap w:val="0"/>
                  <w:vAlign w:val="center"/>
                </w:tcPr>
                <w:p w14:paraId="1461958F">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69573957">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6836902">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779B065E">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w:t>
                  </w:r>
                  <w:r>
                    <w:rPr>
                      <w:rFonts w:hint="eastAsia" w:cs="Times New Roman"/>
                      <w:b w:val="0"/>
                      <w:bCs/>
                      <w:color w:val="auto"/>
                      <w:sz w:val="21"/>
                      <w:szCs w:val="21"/>
                      <w:lang w:val="en-US" w:eastAsia="zh-CN"/>
                    </w:rPr>
                    <w:t>一切</w:t>
                  </w:r>
                  <w:r>
                    <w:rPr>
                      <w:rFonts w:hint="eastAsia" w:ascii="Times New Roman" w:hAnsi="Times New Roman" w:eastAsia="宋体" w:cs="Times New Roman"/>
                      <w:b w:val="0"/>
                      <w:bCs/>
                      <w:color w:val="auto"/>
                      <w:sz w:val="21"/>
                      <w:szCs w:val="21"/>
                      <w:lang w:val="en-US" w:eastAsia="zh-CN"/>
                    </w:rPr>
                    <w:t>制</w:t>
                  </w:r>
                </w:p>
              </w:tc>
              <w:tc>
                <w:tcPr>
                  <w:tcW w:w="245" w:type="pct"/>
                  <w:vMerge w:val="continue"/>
                  <w:tcBorders>
                    <w:left w:val="single" w:color="auto" w:sz="4" w:space="0"/>
                    <w:right w:val="nil"/>
                  </w:tcBorders>
                  <w:noWrap w:val="0"/>
                  <w:vAlign w:val="center"/>
                </w:tcPr>
                <w:p w14:paraId="005538CD">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7717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CACC1C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E63266">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螺杆夹层冷却集料斗</w:t>
                  </w:r>
                </w:p>
              </w:tc>
              <w:tc>
                <w:tcPr>
                  <w:tcW w:w="621" w:type="pct"/>
                  <w:tcBorders>
                    <w:left w:val="single" w:color="auto" w:sz="4" w:space="0"/>
                    <w:bottom w:val="single" w:color="auto" w:sz="4" w:space="0"/>
                    <w:right w:val="single" w:color="auto" w:sz="4" w:space="0"/>
                  </w:tcBorders>
                  <w:shd w:val="clear" w:color="auto" w:fill="auto"/>
                  <w:noWrap w:val="0"/>
                  <w:vAlign w:val="center"/>
                </w:tcPr>
                <w:p w14:paraId="7EBE652A">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1200L</w:t>
                  </w:r>
                </w:p>
              </w:tc>
              <w:tc>
                <w:tcPr>
                  <w:tcW w:w="417" w:type="pct"/>
                  <w:tcBorders>
                    <w:left w:val="single" w:color="auto" w:sz="4" w:space="0"/>
                    <w:bottom w:val="single" w:color="auto" w:sz="4" w:space="0"/>
                    <w:right w:val="single" w:color="auto" w:sz="4" w:space="0"/>
                  </w:tcBorders>
                  <w:shd w:val="clear" w:color="auto" w:fill="auto"/>
                  <w:noWrap w:val="0"/>
                  <w:vAlign w:val="center"/>
                </w:tcPr>
                <w:p w14:paraId="30878ABE">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3C700AAF">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57618747">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967" w:type="pct"/>
                  <w:tcBorders>
                    <w:left w:val="single" w:color="auto" w:sz="4" w:space="0"/>
                    <w:bottom w:val="single" w:color="auto" w:sz="4" w:space="0"/>
                    <w:right w:val="nil"/>
                  </w:tcBorders>
                  <w:shd w:val="clear" w:color="auto" w:fill="auto"/>
                  <w:noWrap w:val="0"/>
                  <w:vAlign w:val="center"/>
                </w:tcPr>
                <w:p w14:paraId="1EB4D2D7">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冷却控水</w:t>
                  </w:r>
                </w:p>
              </w:tc>
              <w:tc>
                <w:tcPr>
                  <w:tcW w:w="245" w:type="pct"/>
                  <w:vMerge w:val="continue"/>
                  <w:tcBorders>
                    <w:left w:val="single" w:color="auto" w:sz="4" w:space="0"/>
                    <w:right w:val="nil"/>
                  </w:tcBorders>
                  <w:noWrap w:val="0"/>
                  <w:vAlign w:val="center"/>
                </w:tcPr>
                <w:p w14:paraId="39268939">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350E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9CF355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12</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EFEA04">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控水机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580A526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PSB600-N</w:t>
                  </w:r>
                </w:p>
              </w:tc>
              <w:tc>
                <w:tcPr>
                  <w:tcW w:w="417" w:type="pct"/>
                  <w:tcBorders>
                    <w:left w:val="single" w:color="auto" w:sz="4" w:space="0"/>
                    <w:bottom w:val="single" w:color="auto" w:sz="4" w:space="0"/>
                    <w:right w:val="single" w:color="auto" w:sz="4" w:space="0"/>
                  </w:tcBorders>
                  <w:shd w:val="clear" w:color="auto" w:fill="auto"/>
                  <w:noWrap w:val="0"/>
                  <w:vAlign w:val="center"/>
                </w:tcPr>
                <w:p w14:paraId="30F115AC">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4EAE58FD">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39E02B3B">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p>
              </w:tc>
              <w:tc>
                <w:tcPr>
                  <w:tcW w:w="967" w:type="pct"/>
                  <w:tcBorders>
                    <w:left w:val="single" w:color="auto" w:sz="4" w:space="0"/>
                    <w:bottom w:val="single" w:color="auto" w:sz="4" w:space="0"/>
                    <w:right w:val="nil"/>
                  </w:tcBorders>
                  <w:shd w:val="clear" w:color="auto" w:fill="auto"/>
                  <w:noWrap w:val="0"/>
                  <w:vAlign w:val="center"/>
                </w:tcPr>
                <w:p w14:paraId="4EEECA4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控水</w:t>
                  </w:r>
                </w:p>
              </w:tc>
              <w:tc>
                <w:tcPr>
                  <w:tcW w:w="245" w:type="pct"/>
                  <w:vMerge w:val="continue"/>
                  <w:tcBorders>
                    <w:left w:val="single" w:color="auto" w:sz="4" w:space="0"/>
                    <w:right w:val="nil"/>
                  </w:tcBorders>
                  <w:noWrap w:val="0"/>
                  <w:vAlign w:val="center"/>
                </w:tcPr>
                <w:p w14:paraId="4AE26966">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00D7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27A9BC0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13</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E5058B">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自动卧式搅拌调味机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5D175F3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1200L</w:t>
                  </w:r>
                </w:p>
              </w:tc>
              <w:tc>
                <w:tcPr>
                  <w:tcW w:w="417" w:type="pct"/>
                  <w:tcBorders>
                    <w:left w:val="single" w:color="auto" w:sz="4" w:space="0"/>
                    <w:bottom w:val="single" w:color="auto" w:sz="4" w:space="0"/>
                    <w:right w:val="single" w:color="auto" w:sz="4" w:space="0"/>
                  </w:tcBorders>
                  <w:shd w:val="clear" w:color="auto" w:fill="auto"/>
                  <w:noWrap w:val="0"/>
                  <w:vAlign w:val="center"/>
                </w:tcPr>
                <w:p w14:paraId="76B7AE99">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41167282">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5CF8823B">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967" w:type="pct"/>
                  <w:tcBorders>
                    <w:left w:val="single" w:color="auto" w:sz="4" w:space="0"/>
                    <w:bottom w:val="single" w:color="auto" w:sz="4" w:space="0"/>
                    <w:right w:val="nil"/>
                  </w:tcBorders>
                  <w:shd w:val="clear" w:color="auto" w:fill="auto"/>
                  <w:noWrap w:val="0"/>
                  <w:vAlign w:val="center"/>
                </w:tcPr>
                <w:p w14:paraId="3343139A">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鱼皮-调味</w:t>
                  </w:r>
                </w:p>
              </w:tc>
              <w:tc>
                <w:tcPr>
                  <w:tcW w:w="245" w:type="pct"/>
                  <w:vMerge w:val="continue"/>
                  <w:tcBorders>
                    <w:left w:val="single" w:color="auto" w:sz="4" w:space="0"/>
                    <w:right w:val="nil"/>
                  </w:tcBorders>
                  <w:noWrap w:val="0"/>
                  <w:vAlign w:val="center"/>
                </w:tcPr>
                <w:p w14:paraId="39896500">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3BB2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11E60AD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1CDF47">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称重蛟龙出料机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532584E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474DD858">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23C1DF44">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03D99F5">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0C34AFC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鱼皮-包装</w:t>
                  </w:r>
                </w:p>
              </w:tc>
              <w:tc>
                <w:tcPr>
                  <w:tcW w:w="245" w:type="pct"/>
                  <w:vMerge w:val="continue"/>
                  <w:tcBorders>
                    <w:left w:val="single" w:color="auto" w:sz="4" w:space="0"/>
                    <w:right w:val="nil"/>
                  </w:tcBorders>
                  <w:noWrap w:val="0"/>
                  <w:vAlign w:val="center"/>
                </w:tcPr>
                <w:p w14:paraId="53FBB3B8">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2A2F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11203A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15</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CD918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捆扎机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1E856F8A">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A-93LAR</w:t>
                  </w:r>
                </w:p>
              </w:tc>
              <w:tc>
                <w:tcPr>
                  <w:tcW w:w="417" w:type="pct"/>
                  <w:tcBorders>
                    <w:left w:val="single" w:color="auto" w:sz="4" w:space="0"/>
                    <w:bottom w:val="single" w:color="auto" w:sz="4" w:space="0"/>
                    <w:right w:val="single" w:color="auto" w:sz="4" w:space="0"/>
                  </w:tcBorders>
                  <w:shd w:val="clear" w:color="auto" w:fill="auto"/>
                  <w:noWrap w:val="0"/>
                  <w:vAlign w:val="center"/>
                </w:tcPr>
                <w:p w14:paraId="5FE8AC8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3604F718">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CCD1C6A">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69EE9001">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鱼皮-包装</w:t>
                  </w:r>
                </w:p>
              </w:tc>
              <w:tc>
                <w:tcPr>
                  <w:tcW w:w="245" w:type="pct"/>
                  <w:vMerge w:val="continue"/>
                  <w:tcBorders>
                    <w:left w:val="single" w:color="auto" w:sz="4" w:space="0"/>
                    <w:right w:val="nil"/>
                  </w:tcBorders>
                  <w:noWrap w:val="0"/>
                  <w:vAlign w:val="center"/>
                </w:tcPr>
                <w:p w14:paraId="1A6F5E97">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318D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E9E966D">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16</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43A37F">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X光检测机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11C6066B">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RXI-HD 400</w:t>
                  </w:r>
                </w:p>
              </w:tc>
              <w:tc>
                <w:tcPr>
                  <w:tcW w:w="417" w:type="pct"/>
                  <w:tcBorders>
                    <w:left w:val="single" w:color="auto" w:sz="4" w:space="0"/>
                    <w:bottom w:val="single" w:color="auto" w:sz="4" w:space="0"/>
                    <w:right w:val="single" w:color="auto" w:sz="4" w:space="0"/>
                  </w:tcBorders>
                  <w:shd w:val="clear" w:color="auto" w:fill="auto"/>
                  <w:noWrap w:val="0"/>
                  <w:vAlign w:val="center"/>
                </w:tcPr>
                <w:p w14:paraId="4DEA817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41CA0049">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8CCD986">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967" w:type="pct"/>
                  <w:tcBorders>
                    <w:left w:val="single" w:color="auto" w:sz="4" w:space="0"/>
                    <w:bottom w:val="single" w:color="auto" w:sz="4" w:space="0"/>
                    <w:right w:val="nil"/>
                  </w:tcBorders>
                  <w:shd w:val="clear" w:color="auto" w:fill="auto"/>
                  <w:noWrap w:val="0"/>
                  <w:vAlign w:val="center"/>
                </w:tcPr>
                <w:p w14:paraId="3E8862DC">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鱼皮-检测</w:t>
                  </w:r>
                </w:p>
              </w:tc>
              <w:tc>
                <w:tcPr>
                  <w:tcW w:w="245" w:type="pct"/>
                  <w:vMerge w:val="continue"/>
                  <w:tcBorders>
                    <w:left w:val="single" w:color="auto" w:sz="4" w:space="0"/>
                    <w:right w:val="nil"/>
                  </w:tcBorders>
                  <w:noWrap w:val="0"/>
                  <w:vAlign w:val="center"/>
                </w:tcPr>
                <w:p w14:paraId="7A470E2B">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24EE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CC6E71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17</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0DCDCF">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成品箱入库输送机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4D91B20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500</w:t>
                  </w:r>
                </w:p>
              </w:tc>
              <w:tc>
                <w:tcPr>
                  <w:tcW w:w="417" w:type="pct"/>
                  <w:tcBorders>
                    <w:left w:val="single" w:color="auto" w:sz="4" w:space="0"/>
                    <w:bottom w:val="single" w:color="auto" w:sz="4" w:space="0"/>
                    <w:right w:val="single" w:color="auto" w:sz="4" w:space="0"/>
                  </w:tcBorders>
                  <w:shd w:val="clear" w:color="auto" w:fill="auto"/>
                  <w:noWrap w:val="0"/>
                  <w:vAlign w:val="center"/>
                </w:tcPr>
                <w:p w14:paraId="645EC97E">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4F6DF25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7D3B4458">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967" w:type="pct"/>
                  <w:tcBorders>
                    <w:left w:val="single" w:color="auto" w:sz="4" w:space="0"/>
                    <w:bottom w:val="single" w:color="auto" w:sz="4" w:space="0"/>
                    <w:right w:val="nil"/>
                  </w:tcBorders>
                  <w:shd w:val="clear" w:color="auto" w:fill="auto"/>
                  <w:noWrap w:val="0"/>
                  <w:vAlign w:val="center"/>
                </w:tcPr>
                <w:p w14:paraId="355E5EF9">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鱼皮-入库</w:t>
                  </w:r>
                </w:p>
              </w:tc>
              <w:tc>
                <w:tcPr>
                  <w:tcW w:w="245" w:type="pct"/>
                  <w:vMerge w:val="continue"/>
                  <w:tcBorders>
                    <w:left w:val="single" w:color="auto" w:sz="4" w:space="0"/>
                    <w:right w:val="nil"/>
                  </w:tcBorders>
                  <w:noWrap w:val="0"/>
                  <w:vAlign w:val="center"/>
                </w:tcPr>
                <w:p w14:paraId="667F3190">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00CA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F706B7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18</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CADA0B">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拆盖封箱机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5C5CA35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1A75D89C">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75D782F7">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DB71B8C">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408CA5C5">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鱼皮-入库</w:t>
                  </w:r>
                </w:p>
              </w:tc>
              <w:tc>
                <w:tcPr>
                  <w:tcW w:w="245" w:type="pct"/>
                  <w:vMerge w:val="continue"/>
                  <w:tcBorders>
                    <w:left w:val="single" w:color="auto" w:sz="4" w:space="0"/>
                    <w:right w:val="nil"/>
                  </w:tcBorders>
                  <w:noWrap w:val="0"/>
                  <w:vAlign w:val="center"/>
                </w:tcPr>
                <w:p w14:paraId="4DF1DCDC">
                  <w:pPr>
                    <w:adjustRightInd w:val="0"/>
                    <w:snapToGrid w:val="0"/>
                    <w:jc w:val="center"/>
                    <w:rPr>
                      <w:rFonts w:hint="eastAsia" w:ascii="Times New Roman" w:hAnsi="Times New Roman" w:eastAsia="宋体" w:cs="Times New Roman"/>
                      <w:b w:val="0"/>
                      <w:bCs/>
                      <w:color w:val="auto"/>
                      <w:sz w:val="21"/>
                      <w:szCs w:val="21"/>
                      <w:lang w:val="en-US" w:eastAsia="zh-CN"/>
                    </w:rPr>
                  </w:pPr>
                </w:p>
              </w:tc>
            </w:tr>
            <w:tr w14:paraId="586B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43EE979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19</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878159">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鱼皮车间排风装置</w:t>
                  </w:r>
                </w:p>
              </w:tc>
              <w:tc>
                <w:tcPr>
                  <w:tcW w:w="621" w:type="pct"/>
                  <w:tcBorders>
                    <w:left w:val="single" w:color="auto" w:sz="4" w:space="0"/>
                    <w:bottom w:val="single" w:color="auto" w:sz="4" w:space="0"/>
                    <w:right w:val="single" w:color="auto" w:sz="4" w:space="0"/>
                  </w:tcBorders>
                  <w:shd w:val="clear" w:color="auto" w:fill="auto"/>
                  <w:noWrap w:val="0"/>
                  <w:vAlign w:val="center"/>
                </w:tcPr>
                <w:p w14:paraId="398430B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27881240">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4D6637C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1588657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67B1A41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w:t>
                  </w:r>
                </w:p>
              </w:tc>
              <w:tc>
                <w:tcPr>
                  <w:tcW w:w="245" w:type="pct"/>
                  <w:vMerge w:val="continue"/>
                  <w:tcBorders>
                    <w:left w:val="single" w:color="auto" w:sz="4" w:space="0"/>
                    <w:right w:val="nil"/>
                  </w:tcBorders>
                  <w:noWrap w:val="0"/>
                  <w:vAlign w:val="center"/>
                </w:tcPr>
                <w:p w14:paraId="3F4EFD8B">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7494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noWrap w:val="0"/>
                  <w:vAlign w:val="center"/>
                </w:tcPr>
                <w:p w14:paraId="298F3016">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0CD66552">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新增空调</w:t>
                  </w:r>
                </w:p>
              </w:tc>
              <w:tc>
                <w:tcPr>
                  <w:tcW w:w="621" w:type="pct"/>
                  <w:tcBorders>
                    <w:left w:val="single" w:color="auto" w:sz="4" w:space="0"/>
                    <w:bottom w:val="single" w:color="auto" w:sz="4" w:space="0"/>
                    <w:right w:val="single" w:color="auto" w:sz="4" w:space="0"/>
                  </w:tcBorders>
                  <w:noWrap w:val="0"/>
                  <w:vAlign w:val="center"/>
                </w:tcPr>
                <w:p w14:paraId="0A441DB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OBSBL-80M</w:t>
                  </w:r>
                </w:p>
              </w:tc>
              <w:tc>
                <w:tcPr>
                  <w:tcW w:w="417" w:type="pct"/>
                  <w:tcBorders>
                    <w:left w:val="single" w:color="auto" w:sz="4" w:space="0"/>
                    <w:bottom w:val="single" w:color="auto" w:sz="4" w:space="0"/>
                    <w:right w:val="single" w:color="auto" w:sz="4" w:space="0"/>
                  </w:tcBorders>
                  <w:noWrap w:val="0"/>
                  <w:vAlign w:val="center"/>
                </w:tcPr>
                <w:p w14:paraId="7A05815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noWrap w:val="0"/>
                  <w:vAlign w:val="center"/>
                </w:tcPr>
                <w:p w14:paraId="5DFCE5D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2F2BBE0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noWrap w:val="0"/>
                  <w:vAlign w:val="center"/>
                </w:tcPr>
                <w:p w14:paraId="24E30E8D">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鱼皮</w:t>
                  </w:r>
                </w:p>
              </w:tc>
              <w:tc>
                <w:tcPr>
                  <w:tcW w:w="245" w:type="pct"/>
                  <w:vMerge w:val="continue"/>
                  <w:tcBorders>
                    <w:left w:val="single" w:color="auto" w:sz="4" w:space="0"/>
                    <w:right w:val="nil"/>
                  </w:tcBorders>
                  <w:noWrap w:val="0"/>
                  <w:vAlign w:val="center"/>
                </w:tcPr>
                <w:p w14:paraId="4F604478">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6A73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F7CDA8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21</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72EC7C">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给袋式包装机及配套上料系统</w:t>
                  </w:r>
                </w:p>
              </w:tc>
              <w:tc>
                <w:tcPr>
                  <w:tcW w:w="621" w:type="pct"/>
                  <w:tcBorders>
                    <w:left w:val="single" w:color="auto" w:sz="4" w:space="0"/>
                    <w:bottom w:val="single" w:color="auto" w:sz="4" w:space="0"/>
                    <w:right w:val="single" w:color="auto" w:sz="4" w:space="0"/>
                  </w:tcBorders>
                  <w:shd w:val="clear" w:color="auto" w:fill="auto"/>
                  <w:noWrap w:val="0"/>
                  <w:vAlign w:val="center"/>
                </w:tcPr>
                <w:p w14:paraId="5AD1D23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MRZK-240</w:t>
                  </w:r>
                </w:p>
              </w:tc>
              <w:tc>
                <w:tcPr>
                  <w:tcW w:w="417" w:type="pct"/>
                  <w:tcBorders>
                    <w:left w:val="single" w:color="auto" w:sz="4" w:space="0"/>
                    <w:bottom w:val="single" w:color="auto" w:sz="4" w:space="0"/>
                    <w:right w:val="single" w:color="auto" w:sz="4" w:space="0"/>
                  </w:tcBorders>
                  <w:shd w:val="clear" w:color="auto" w:fill="auto"/>
                  <w:noWrap w:val="0"/>
                  <w:vAlign w:val="center"/>
                </w:tcPr>
                <w:p w14:paraId="23F3128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1C57057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301F2AD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w:t>
                  </w:r>
                </w:p>
              </w:tc>
              <w:tc>
                <w:tcPr>
                  <w:tcW w:w="967" w:type="pct"/>
                  <w:tcBorders>
                    <w:left w:val="single" w:color="auto" w:sz="4" w:space="0"/>
                    <w:bottom w:val="single" w:color="auto" w:sz="4" w:space="0"/>
                    <w:right w:val="nil"/>
                  </w:tcBorders>
                  <w:noWrap w:val="0"/>
                  <w:vAlign w:val="center"/>
                </w:tcPr>
                <w:p w14:paraId="58DC44B6">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-前道</w:t>
                  </w:r>
                </w:p>
              </w:tc>
              <w:tc>
                <w:tcPr>
                  <w:tcW w:w="245" w:type="pct"/>
                  <w:vMerge w:val="continue"/>
                  <w:tcBorders>
                    <w:left w:val="single" w:color="auto" w:sz="4" w:space="0"/>
                    <w:right w:val="nil"/>
                  </w:tcBorders>
                  <w:noWrap w:val="0"/>
                  <w:vAlign w:val="center"/>
                </w:tcPr>
                <w:p w14:paraId="191BD775">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059A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7CA3F4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22</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DF48B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解冻水池</w:t>
                  </w:r>
                </w:p>
              </w:tc>
              <w:tc>
                <w:tcPr>
                  <w:tcW w:w="621" w:type="pct"/>
                  <w:tcBorders>
                    <w:left w:val="single" w:color="auto" w:sz="4" w:space="0"/>
                    <w:bottom w:val="single" w:color="auto" w:sz="4" w:space="0"/>
                    <w:right w:val="single" w:color="auto" w:sz="4" w:space="0"/>
                  </w:tcBorders>
                  <w:shd w:val="clear" w:color="auto" w:fill="auto"/>
                  <w:noWrap w:val="0"/>
                  <w:vAlign w:val="center"/>
                </w:tcPr>
                <w:p w14:paraId="3033DA5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687FA72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04060DB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35E4AA1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3C835CC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－清洗</w:t>
                  </w:r>
                </w:p>
              </w:tc>
              <w:tc>
                <w:tcPr>
                  <w:tcW w:w="245" w:type="pct"/>
                  <w:vMerge w:val="continue"/>
                  <w:tcBorders>
                    <w:left w:val="single" w:color="auto" w:sz="4" w:space="0"/>
                    <w:right w:val="nil"/>
                  </w:tcBorders>
                  <w:noWrap w:val="0"/>
                  <w:vAlign w:val="center"/>
                </w:tcPr>
                <w:p w14:paraId="5974EFF1">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0998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ADAAB8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23</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8D127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鼓泡清洗机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3D457A7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796BFC3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49BF9B0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5502270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967" w:type="pct"/>
                  <w:tcBorders>
                    <w:left w:val="single" w:color="auto" w:sz="4" w:space="0"/>
                    <w:bottom w:val="single" w:color="auto" w:sz="4" w:space="0"/>
                    <w:right w:val="nil"/>
                  </w:tcBorders>
                  <w:shd w:val="clear" w:color="auto" w:fill="auto"/>
                  <w:noWrap w:val="0"/>
                  <w:vAlign w:val="center"/>
                </w:tcPr>
                <w:p w14:paraId="2B2CE72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－消毒</w:t>
                  </w:r>
                </w:p>
              </w:tc>
              <w:tc>
                <w:tcPr>
                  <w:tcW w:w="245" w:type="pct"/>
                  <w:vMerge w:val="continue"/>
                  <w:tcBorders>
                    <w:left w:val="single" w:color="auto" w:sz="4" w:space="0"/>
                    <w:right w:val="nil"/>
                  </w:tcBorders>
                  <w:noWrap w:val="0"/>
                  <w:vAlign w:val="center"/>
                </w:tcPr>
                <w:p w14:paraId="005331C5">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7167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28823A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24</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99ACE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清洗机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507CC91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6527775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34E8446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B3A711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967" w:type="pct"/>
                  <w:tcBorders>
                    <w:left w:val="single" w:color="auto" w:sz="4" w:space="0"/>
                    <w:bottom w:val="single" w:color="auto" w:sz="4" w:space="0"/>
                    <w:right w:val="nil"/>
                  </w:tcBorders>
                  <w:shd w:val="clear" w:color="auto" w:fill="auto"/>
                  <w:noWrap w:val="0"/>
                  <w:vAlign w:val="center"/>
                </w:tcPr>
                <w:p w14:paraId="41617D3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－清洗</w:t>
                  </w:r>
                </w:p>
              </w:tc>
              <w:tc>
                <w:tcPr>
                  <w:tcW w:w="245" w:type="pct"/>
                  <w:vMerge w:val="continue"/>
                  <w:tcBorders>
                    <w:left w:val="single" w:color="auto" w:sz="4" w:space="0"/>
                    <w:right w:val="nil"/>
                  </w:tcBorders>
                  <w:noWrap w:val="0"/>
                  <w:vAlign w:val="center"/>
                </w:tcPr>
                <w:p w14:paraId="19B7E87B">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3F96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0FCA6C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25</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2E70A9">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解冻水池挑</w:t>
                  </w:r>
                  <w:r>
                    <w:rPr>
                      <w:rFonts w:hint="eastAsia" w:cs="Times New Roman"/>
                      <w:b w:val="0"/>
                      <w:bCs/>
                      <w:color w:val="auto"/>
                      <w:sz w:val="21"/>
                      <w:szCs w:val="21"/>
                      <w:lang w:val="en-US" w:eastAsia="zh-CN"/>
                    </w:rPr>
                    <w:t>拣</w:t>
                  </w:r>
                  <w:r>
                    <w:rPr>
                      <w:rFonts w:hint="eastAsia" w:ascii="Times New Roman" w:hAnsi="Times New Roman" w:eastAsia="宋体" w:cs="Times New Roman"/>
                      <w:b w:val="0"/>
                      <w:bCs/>
                      <w:color w:val="auto"/>
                      <w:sz w:val="21"/>
                      <w:szCs w:val="21"/>
                      <w:lang w:val="en-US" w:eastAsia="zh-CN"/>
                    </w:rPr>
                    <w:t>平台</w:t>
                  </w:r>
                </w:p>
              </w:tc>
              <w:tc>
                <w:tcPr>
                  <w:tcW w:w="621" w:type="pct"/>
                  <w:tcBorders>
                    <w:left w:val="single" w:color="auto" w:sz="4" w:space="0"/>
                    <w:bottom w:val="single" w:color="auto" w:sz="4" w:space="0"/>
                    <w:right w:val="single" w:color="auto" w:sz="4" w:space="0"/>
                  </w:tcBorders>
                  <w:shd w:val="clear" w:color="auto" w:fill="auto"/>
                  <w:noWrap w:val="0"/>
                  <w:vAlign w:val="center"/>
                </w:tcPr>
                <w:p w14:paraId="10698AF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62A5B223">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23B72FFC">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38EE7F8A">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10</w:t>
                  </w:r>
                </w:p>
              </w:tc>
              <w:tc>
                <w:tcPr>
                  <w:tcW w:w="967" w:type="pct"/>
                  <w:tcBorders>
                    <w:left w:val="single" w:color="auto" w:sz="4" w:space="0"/>
                    <w:bottom w:val="single" w:color="auto" w:sz="4" w:space="0"/>
                    <w:right w:val="nil"/>
                  </w:tcBorders>
                  <w:shd w:val="clear" w:color="auto" w:fill="auto"/>
                  <w:noWrap w:val="0"/>
                  <w:vAlign w:val="center"/>
                </w:tcPr>
                <w:p w14:paraId="4DB3EFD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-挑拣</w:t>
                  </w:r>
                </w:p>
              </w:tc>
              <w:tc>
                <w:tcPr>
                  <w:tcW w:w="245" w:type="pct"/>
                  <w:vMerge w:val="continue"/>
                  <w:tcBorders>
                    <w:left w:val="single" w:color="auto" w:sz="4" w:space="0"/>
                    <w:right w:val="nil"/>
                  </w:tcBorders>
                  <w:noWrap w:val="0"/>
                  <w:vAlign w:val="center"/>
                </w:tcPr>
                <w:p w14:paraId="686D50E7">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7775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4AB3C0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26</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4A0F9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金属检测机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4F1F86F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KDS4510ABW</w:t>
                  </w:r>
                </w:p>
              </w:tc>
              <w:tc>
                <w:tcPr>
                  <w:tcW w:w="417" w:type="pct"/>
                  <w:tcBorders>
                    <w:left w:val="single" w:color="auto" w:sz="4" w:space="0"/>
                    <w:bottom w:val="single" w:color="auto" w:sz="4" w:space="0"/>
                    <w:right w:val="single" w:color="auto" w:sz="4" w:space="0"/>
                  </w:tcBorders>
                  <w:shd w:val="clear" w:color="auto" w:fill="auto"/>
                  <w:noWrap w:val="0"/>
                  <w:vAlign w:val="center"/>
                </w:tcPr>
                <w:p w14:paraId="07B6CF8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64FAE8F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0A0E11B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11</w:t>
                  </w:r>
                </w:p>
              </w:tc>
              <w:tc>
                <w:tcPr>
                  <w:tcW w:w="967" w:type="pct"/>
                  <w:tcBorders>
                    <w:left w:val="single" w:color="auto" w:sz="4" w:space="0"/>
                    <w:bottom w:val="single" w:color="auto" w:sz="4" w:space="0"/>
                    <w:right w:val="nil"/>
                  </w:tcBorders>
                  <w:shd w:val="clear" w:color="auto" w:fill="auto"/>
                  <w:noWrap w:val="0"/>
                  <w:vAlign w:val="center"/>
                </w:tcPr>
                <w:p w14:paraId="793ADB7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-挑拣</w:t>
                  </w:r>
                </w:p>
              </w:tc>
              <w:tc>
                <w:tcPr>
                  <w:tcW w:w="245" w:type="pct"/>
                  <w:vMerge w:val="continue"/>
                  <w:tcBorders>
                    <w:left w:val="single" w:color="auto" w:sz="4" w:space="0"/>
                    <w:right w:val="nil"/>
                  </w:tcBorders>
                  <w:noWrap w:val="0"/>
                  <w:vAlign w:val="center"/>
                </w:tcPr>
                <w:p w14:paraId="16C23D78">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35DF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C8B44E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27</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CB2B6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振动沥水机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211C72D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7E58CD4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366C684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2813994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w:t>
                  </w:r>
                </w:p>
              </w:tc>
              <w:tc>
                <w:tcPr>
                  <w:tcW w:w="967" w:type="pct"/>
                  <w:tcBorders>
                    <w:left w:val="single" w:color="auto" w:sz="4" w:space="0"/>
                    <w:bottom w:val="single" w:color="auto" w:sz="4" w:space="0"/>
                    <w:right w:val="nil"/>
                  </w:tcBorders>
                  <w:shd w:val="clear" w:color="auto" w:fill="auto"/>
                  <w:noWrap w:val="0"/>
                  <w:vAlign w:val="center"/>
                </w:tcPr>
                <w:p w14:paraId="4F09DC0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－控水</w:t>
                  </w:r>
                </w:p>
              </w:tc>
              <w:tc>
                <w:tcPr>
                  <w:tcW w:w="245" w:type="pct"/>
                  <w:vMerge w:val="continue"/>
                  <w:tcBorders>
                    <w:left w:val="single" w:color="auto" w:sz="4" w:space="0"/>
                    <w:right w:val="nil"/>
                  </w:tcBorders>
                  <w:noWrap w:val="0"/>
                  <w:vAlign w:val="center"/>
                </w:tcPr>
                <w:p w14:paraId="2E05A360">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1DD2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87117D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28</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4383A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伺服皮带输送机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3694CBD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336A93C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330D644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6</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6D326E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6</w:t>
                  </w:r>
                </w:p>
              </w:tc>
              <w:tc>
                <w:tcPr>
                  <w:tcW w:w="967" w:type="pct"/>
                  <w:tcBorders>
                    <w:left w:val="single" w:color="auto" w:sz="4" w:space="0"/>
                    <w:bottom w:val="single" w:color="auto" w:sz="4" w:space="0"/>
                    <w:right w:val="nil"/>
                  </w:tcBorders>
                  <w:shd w:val="clear" w:color="auto" w:fill="auto"/>
                  <w:noWrap w:val="0"/>
                  <w:vAlign w:val="center"/>
                </w:tcPr>
                <w:p w14:paraId="29B6BE3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－控水</w:t>
                  </w:r>
                </w:p>
              </w:tc>
              <w:tc>
                <w:tcPr>
                  <w:tcW w:w="245" w:type="pct"/>
                  <w:vMerge w:val="continue"/>
                  <w:tcBorders>
                    <w:left w:val="single" w:color="auto" w:sz="4" w:space="0"/>
                    <w:right w:val="nil"/>
                  </w:tcBorders>
                  <w:noWrap w:val="0"/>
                  <w:vAlign w:val="center"/>
                </w:tcPr>
                <w:p w14:paraId="0B6F99EC">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49B6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1DAFCE9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29</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24F5C6">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自动卧式搅拌机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19490E7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1200L</w:t>
                  </w:r>
                </w:p>
              </w:tc>
              <w:tc>
                <w:tcPr>
                  <w:tcW w:w="417" w:type="pct"/>
                  <w:tcBorders>
                    <w:left w:val="single" w:color="auto" w:sz="4" w:space="0"/>
                    <w:bottom w:val="single" w:color="auto" w:sz="4" w:space="0"/>
                    <w:right w:val="single" w:color="auto" w:sz="4" w:space="0"/>
                  </w:tcBorders>
                  <w:shd w:val="clear" w:color="auto" w:fill="auto"/>
                  <w:noWrap w:val="0"/>
                  <w:vAlign w:val="center"/>
                </w:tcPr>
                <w:p w14:paraId="29B130F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28DA209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8BD054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w:t>
                  </w:r>
                </w:p>
              </w:tc>
              <w:tc>
                <w:tcPr>
                  <w:tcW w:w="967" w:type="pct"/>
                  <w:tcBorders>
                    <w:left w:val="single" w:color="auto" w:sz="4" w:space="0"/>
                    <w:bottom w:val="single" w:color="auto" w:sz="4" w:space="0"/>
                    <w:right w:val="nil"/>
                  </w:tcBorders>
                  <w:shd w:val="clear" w:color="auto" w:fill="auto"/>
                  <w:noWrap w:val="0"/>
                  <w:vAlign w:val="center"/>
                </w:tcPr>
                <w:p w14:paraId="6C095B1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－调味</w:t>
                  </w:r>
                </w:p>
              </w:tc>
              <w:tc>
                <w:tcPr>
                  <w:tcW w:w="245" w:type="pct"/>
                  <w:vMerge w:val="continue"/>
                  <w:tcBorders>
                    <w:left w:val="single" w:color="auto" w:sz="4" w:space="0"/>
                    <w:right w:val="nil"/>
                  </w:tcBorders>
                  <w:noWrap w:val="0"/>
                  <w:vAlign w:val="center"/>
                </w:tcPr>
                <w:p w14:paraId="0E731150">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0F2D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5ED28E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30</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3C52D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给袋式袋装机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3796D22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MRZK-240</w:t>
                  </w:r>
                </w:p>
              </w:tc>
              <w:tc>
                <w:tcPr>
                  <w:tcW w:w="417" w:type="pct"/>
                  <w:tcBorders>
                    <w:left w:val="single" w:color="auto" w:sz="4" w:space="0"/>
                    <w:bottom w:val="single" w:color="auto" w:sz="4" w:space="0"/>
                    <w:right w:val="single" w:color="auto" w:sz="4" w:space="0"/>
                  </w:tcBorders>
                  <w:shd w:val="clear" w:color="auto" w:fill="auto"/>
                  <w:noWrap w:val="0"/>
                  <w:vAlign w:val="center"/>
                </w:tcPr>
                <w:p w14:paraId="67E82E7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0B0BE1E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0124F70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967" w:type="pct"/>
                  <w:tcBorders>
                    <w:left w:val="single" w:color="auto" w:sz="4" w:space="0"/>
                    <w:bottom w:val="single" w:color="auto" w:sz="4" w:space="0"/>
                    <w:right w:val="nil"/>
                  </w:tcBorders>
                  <w:shd w:val="clear" w:color="auto" w:fill="auto"/>
                  <w:noWrap w:val="0"/>
                  <w:vAlign w:val="center"/>
                </w:tcPr>
                <w:p w14:paraId="73E3B36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-内包装</w:t>
                  </w:r>
                </w:p>
              </w:tc>
              <w:tc>
                <w:tcPr>
                  <w:tcW w:w="245" w:type="pct"/>
                  <w:vMerge w:val="continue"/>
                  <w:tcBorders>
                    <w:left w:val="single" w:color="auto" w:sz="4" w:space="0"/>
                    <w:right w:val="nil"/>
                  </w:tcBorders>
                  <w:noWrap w:val="0"/>
                  <w:vAlign w:val="center"/>
                </w:tcPr>
                <w:p w14:paraId="64C3C066">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396A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1B25B60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31</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730899">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100公斤电子秤</w:t>
                  </w:r>
                </w:p>
              </w:tc>
              <w:tc>
                <w:tcPr>
                  <w:tcW w:w="621" w:type="pct"/>
                  <w:tcBorders>
                    <w:left w:val="single" w:color="auto" w:sz="4" w:space="0"/>
                    <w:bottom w:val="single" w:color="auto" w:sz="4" w:space="0"/>
                    <w:right w:val="single" w:color="auto" w:sz="4" w:space="0"/>
                  </w:tcBorders>
                  <w:shd w:val="clear" w:color="auto" w:fill="auto"/>
                  <w:noWrap w:val="0"/>
                  <w:vAlign w:val="center"/>
                </w:tcPr>
                <w:p w14:paraId="48E3644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6BF2437A">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0D59B96D">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1B9EE91C">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20988C45">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-内包装</w:t>
                  </w:r>
                </w:p>
              </w:tc>
              <w:tc>
                <w:tcPr>
                  <w:tcW w:w="245" w:type="pct"/>
                  <w:vMerge w:val="continue"/>
                  <w:tcBorders>
                    <w:left w:val="single" w:color="auto" w:sz="4" w:space="0"/>
                    <w:right w:val="nil"/>
                  </w:tcBorders>
                  <w:noWrap w:val="0"/>
                  <w:vAlign w:val="center"/>
                </w:tcPr>
                <w:p w14:paraId="5C6E1905">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2EE5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CC1C64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32</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C0668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打印贴标机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4404D23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p>
              </w:tc>
              <w:tc>
                <w:tcPr>
                  <w:tcW w:w="417" w:type="pct"/>
                  <w:tcBorders>
                    <w:left w:val="single" w:color="auto" w:sz="4" w:space="0"/>
                    <w:bottom w:val="single" w:color="auto" w:sz="4" w:space="0"/>
                    <w:right w:val="single" w:color="auto" w:sz="4" w:space="0"/>
                  </w:tcBorders>
                  <w:shd w:val="clear" w:color="auto" w:fill="auto"/>
                  <w:noWrap w:val="0"/>
                  <w:vAlign w:val="center"/>
                </w:tcPr>
                <w:p w14:paraId="2BC196F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4949E7C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5F4844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562F0C9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-外包装</w:t>
                  </w:r>
                </w:p>
              </w:tc>
              <w:tc>
                <w:tcPr>
                  <w:tcW w:w="245" w:type="pct"/>
                  <w:vMerge w:val="continue"/>
                  <w:tcBorders>
                    <w:left w:val="single" w:color="auto" w:sz="4" w:space="0"/>
                    <w:right w:val="nil"/>
                  </w:tcBorders>
                  <w:noWrap w:val="0"/>
                  <w:vAlign w:val="center"/>
                </w:tcPr>
                <w:p w14:paraId="369A20AD">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56FC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7B1B9D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33</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E8AB3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开箱机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5EA2D4C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27A6AF0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75242EF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D4B0D4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67341CB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r>
                    <w:rPr>
                      <w:rFonts w:hint="eastAsia" w:cs="Times New Roman"/>
                      <w:b w:val="0"/>
                      <w:bCs/>
                      <w:color w:val="auto"/>
                      <w:sz w:val="21"/>
                      <w:szCs w:val="21"/>
                      <w:lang w:val="en-US" w:eastAsia="zh-CN"/>
                    </w:rPr>
                    <w:t>-发运</w:t>
                  </w:r>
                </w:p>
              </w:tc>
              <w:tc>
                <w:tcPr>
                  <w:tcW w:w="245" w:type="pct"/>
                  <w:vMerge w:val="continue"/>
                  <w:tcBorders>
                    <w:left w:val="single" w:color="auto" w:sz="4" w:space="0"/>
                    <w:right w:val="nil"/>
                  </w:tcBorders>
                  <w:noWrap w:val="0"/>
                  <w:vAlign w:val="center"/>
                </w:tcPr>
                <w:p w14:paraId="0E34AC90">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6E53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A72989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34</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031A7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皮带输送机</w:t>
                  </w:r>
                </w:p>
              </w:tc>
              <w:tc>
                <w:tcPr>
                  <w:tcW w:w="621" w:type="pct"/>
                  <w:tcBorders>
                    <w:left w:val="single" w:color="auto" w:sz="4" w:space="0"/>
                    <w:bottom w:val="single" w:color="auto" w:sz="4" w:space="0"/>
                    <w:right w:val="single" w:color="auto" w:sz="4" w:space="0"/>
                  </w:tcBorders>
                  <w:shd w:val="clear" w:color="auto" w:fill="auto"/>
                  <w:noWrap w:val="0"/>
                  <w:vAlign w:val="center"/>
                </w:tcPr>
                <w:p w14:paraId="3DF1B6E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5934470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0794B73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r>
                    <w:rPr>
                      <w:rFonts w:hint="eastAsia" w:cs="Times New Roman"/>
                      <w:b w:val="0"/>
                      <w:bCs/>
                      <w:color w:val="auto"/>
                      <w:sz w:val="21"/>
                      <w:szCs w:val="21"/>
                      <w:lang w:val="en-US" w:eastAsia="zh-CN"/>
                    </w:rPr>
                    <w:t>3</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796E66F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r>
                    <w:rPr>
                      <w:rFonts w:hint="eastAsia" w:cs="Times New Roman"/>
                      <w:b w:val="0"/>
                      <w:bCs/>
                      <w:color w:val="auto"/>
                      <w:sz w:val="21"/>
                      <w:szCs w:val="21"/>
                      <w:lang w:val="en-US" w:eastAsia="zh-CN"/>
                    </w:rPr>
                    <w:t>3</w:t>
                  </w:r>
                </w:p>
              </w:tc>
              <w:tc>
                <w:tcPr>
                  <w:tcW w:w="967" w:type="pct"/>
                  <w:tcBorders>
                    <w:left w:val="single" w:color="auto" w:sz="4" w:space="0"/>
                    <w:bottom w:val="single" w:color="auto" w:sz="4" w:space="0"/>
                    <w:right w:val="nil"/>
                  </w:tcBorders>
                  <w:shd w:val="clear" w:color="auto" w:fill="auto"/>
                  <w:noWrap w:val="0"/>
                  <w:vAlign w:val="center"/>
                </w:tcPr>
                <w:p w14:paraId="2D27E80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p>
              </w:tc>
              <w:tc>
                <w:tcPr>
                  <w:tcW w:w="245" w:type="pct"/>
                  <w:vMerge w:val="continue"/>
                  <w:tcBorders>
                    <w:left w:val="single" w:color="auto" w:sz="4" w:space="0"/>
                    <w:right w:val="nil"/>
                  </w:tcBorders>
                  <w:noWrap w:val="0"/>
                  <w:vAlign w:val="center"/>
                </w:tcPr>
                <w:p w14:paraId="38347C36">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79FB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15FF425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35</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38C3F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新增空调</w:t>
                  </w:r>
                </w:p>
              </w:tc>
              <w:tc>
                <w:tcPr>
                  <w:tcW w:w="621" w:type="pct"/>
                  <w:tcBorders>
                    <w:left w:val="single" w:color="auto" w:sz="4" w:space="0"/>
                    <w:bottom w:val="single" w:color="auto" w:sz="4" w:space="0"/>
                    <w:right w:val="single" w:color="auto" w:sz="4" w:space="0"/>
                  </w:tcBorders>
                  <w:shd w:val="clear" w:color="auto" w:fill="auto"/>
                  <w:noWrap w:val="0"/>
                  <w:vAlign w:val="center"/>
                </w:tcPr>
                <w:p w14:paraId="03CD237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OBSBL-80M</w:t>
                  </w:r>
                </w:p>
              </w:tc>
              <w:tc>
                <w:tcPr>
                  <w:tcW w:w="417" w:type="pct"/>
                  <w:tcBorders>
                    <w:left w:val="single" w:color="auto" w:sz="4" w:space="0"/>
                    <w:bottom w:val="single" w:color="auto" w:sz="4" w:space="0"/>
                    <w:right w:val="single" w:color="auto" w:sz="4" w:space="0"/>
                  </w:tcBorders>
                  <w:shd w:val="clear" w:color="auto" w:fill="auto"/>
                  <w:noWrap w:val="0"/>
                  <w:vAlign w:val="center"/>
                </w:tcPr>
                <w:p w14:paraId="6F48E76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03BD7F5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2272642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w:t>
                  </w:r>
                </w:p>
              </w:tc>
              <w:tc>
                <w:tcPr>
                  <w:tcW w:w="967" w:type="pct"/>
                  <w:tcBorders>
                    <w:left w:val="single" w:color="auto" w:sz="4" w:space="0"/>
                    <w:bottom w:val="single" w:color="auto" w:sz="4" w:space="0"/>
                    <w:right w:val="nil"/>
                  </w:tcBorders>
                  <w:shd w:val="clear" w:color="auto" w:fill="auto"/>
                  <w:noWrap w:val="0"/>
                  <w:vAlign w:val="center"/>
                </w:tcPr>
                <w:p w14:paraId="573AAF3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裙带菜</w:t>
                  </w:r>
                </w:p>
              </w:tc>
              <w:tc>
                <w:tcPr>
                  <w:tcW w:w="245" w:type="pct"/>
                  <w:vMerge w:val="continue"/>
                  <w:tcBorders>
                    <w:left w:val="single" w:color="auto" w:sz="4" w:space="0"/>
                    <w:right w:val="nil"/>
                  </w:tcBorders>
                  <w:noWrap w:val="0"/>
                  <w:vAlign w:val="center"/>
                </w:tcPr>
                <w:p w14:paraId="7CE9A32D">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5612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24788971">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36</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94D263">
                  <w:pPr>
                    <w:adjustRightInd w:val="0"/>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螺旋速冻配套制冷冷源工程</w:t>
                  </w:r>
                </w:p>
              </w:tc>
              <w:tc>
                <w:tcPr>
                  <w:tcW w:w="621" w:type="pct"/>
                  <w:tcBorders>
                    <w:left w:val="single" w:color="auto" w:sz="4" w:space="0"/>
                    <w:bottom w:val="single" w:color="auto" w:sz="4" w:space="0"/>
                    <w:right w:val="single" w:color="auto" w:sz="4" w:space="0"/>
                  </w:tcBorders>
                  <w:shd w:val="clear" w:color="auto" w:fill="auto"/>
                  <w:noWrap w:val="0"/>
                  <w:vAlign w:val="center"/>
                </w:tcPr>
                <w:p w14:paraId="2442F82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417" w:type="pct"/>
                  <w:tcBorders>
                    <w:left w:val="single" w:color="auto" w:sz="4" w:space="0"/>
                    <w:bottom w:val="single" w:color="auto" w:sz="4" w:space="0"/>
                    <w:right w:val="single" w:color="auto" w:sz="4" w:space="0"/>
                  </w:tcBorders>
                  <w:shd w:val="clear" w:color="auto" w:fill="auto"/>
                  <w:noWrap w:val="0"/>
                  <w:vAlign w:val="center"/>
                </w:tcPr>
                <w:p w14:paraId="560F9D4C">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0</w:t>
                  </w:r>
                </w:p>
              </w:tc>
              <w:tc>
                <w:tcPr>
                  <w:tcW w:w="421" w:type="pct"/>
                  <w:tcBorders>
                    <w:left w:val="single" w:color="auto" w:sz="4" w:space="0"/>
                    <w:bottom w:val="single" w:color="auto" w:sz="4" w:space="0"/>
                    <w:right w:val="nil"/>
                  </w:tcBorders>
                  <w:shd w:val="clear" w:color="auto" w:fill="auto"/>
                  <w:noWrap w:val="0"/>
                  <w:vAlign w:val="center"/>
                </w:tcPr>
                <w:p w14:paraId="7023A544">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E2F3A48">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967" w:type="pct"/>
                  <w:vMerge w:val="restart"/>
                  <w:tcBorders>
                    <w:left w:val="single" w:color="auto" w:sz="4" w:space="0"/>
                    <w:right w:val="nil"/>
                  </w:tcBorders>
                  <w:shd w:val="clear" w:color="auto" w:fill="auto"/>
                  <w:noWrap w:val="0"/>
                  <w:vAlign w:val="center"/>
                </w:tcPr>
                <w:p w14:paraId="4FFB7DCD">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裙带菜和鱼皮</w:t>
                  </w:r>
                  <w:r>
                    <w:rPr>
                      <w:rFonts w:hint="eastAsia" w:ascii="Times New Roman" w:hAnsi="Times New Roman" w:eastAsia="宋体" w:cs="Times New Roman"/>
                      <w:b w:val="0"/>
                      <w:bCs/>
                      <w:color w:val="auto"/>
                      <w:sz w:val="21"/>
                      <w:szCs w:val="21"/>
                      <w:lang w:val="en-US" w:eastAsia="zh-CN"/>
                    </w:rPr>
                    <w:t>公用工程</w:t>
                  </w:r>
                  <w:r>
                    <w:rPr>
                      <w:rFonts w:hint="eastAsia" w:cs="Times New Roman"/>
                      <w:b w:val="0"/>
                      <w:bCs/>
                      <w:color w:val="auto"/>
                      <w:sz w:val="21"/>
                      <w:szCs w:val="21"/>
                      <w:lang w:val="en-US" w:eastAsia="zh-CN"/>
                    </w:rPr>
                    <w:t>-速冻</w:t>
                  </w:r>
                </w:p>
              </w:tc>
              <w:tc>
                <w:tcPr>
                  <w:tcW w:w="245" w:type="pct"/>
                  <w:vMerge w:val="continue"/>
                  <w:tcBorders>
                    <w:left w:val="single" w:color="auto" w:sz="4" w:space="0"/>
                    <w:right w:val="nil"/>
                  </w:tcBorders>
                  <w:noWrap w:val="0"/>
                  <w:vAlign w:val="center"/>
                </w:tcPr>
                <w:p w14:paraId="5AB448CD">
                  <w:pPr>
                    <w:adjustRightInd w:val="0"/>
                    <w:snapToGrid w:val="0"/>
                    <w:jc w:val="center"/>
                    <w:rPr>
                      <w:rFonts w:hint="default" w:ascii="Times New Roman" w:hAnsi="Times New Roman" w:eastAsia="宋体" w:cs="Times New Roman"/>
                      <w:b w:val="0"/>
                      <w:bCs/>
                      <w:color w:val="auto"/>
                      <w:sz w:val="21"/>
                      <w:szCs w:val="21"/>
                      <w:lang w:val="en-US" w:eastAsia="zh-CN"/>
                    </w:rPr>
                  </w:pPr>
                </w:p>
              </w:tc>
            </w:tr>
            <w:tr w14:paraId="0FD5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486340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37</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3895E79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双螺旋速冻装置</w:t>
                  </w:r>
                </w:p>
              </w:tc>
              <w:tc>
                <w:tcPr>
                  <w:tcW w:w="621" w:type="pct"/>
                  <w:tcBorders>
                    <w:left w:val="single" w:color="auto" w:sz="4" w:space="0"/>
                    <w:bottom w:val="single" w:color="auto" w:sz="4" w:space="0"/>
                    <w:right w:val="single" w:color="auto" w:sz="4" w:space="0"/>
                  </w:tcBorders>
                  <w:noWrap w:val="0"/>
                  <w:vAlign w:val="center"/>
                </w:tcPr>
                <w:p w14:paraId="7DB1DD3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SLD-307624</w:t>
                  </w:r>
                </w:p>
              </w:tc>
              <w:tc>
                <w:tcPr>
                  <w:tcW w:w="417" w:type="pct"/>
                  <w:tcBorders>
                    <w:left w:val="single" w:color="auto" w:sz="4" w:space="0"/>
                    <w:bottom w:val="single" w:color="auto" w:sz="4" w:space="0"/>
                    <w:right w:val="single" w:color="auto" w:sz="4" w:space="0"/>
                  </w:tcBorders>
                  <w:noWrap w:val="0"/>
                  <w:vAlign w:val="center"/>
                </w:tcPr>
                <w:p w14:paraId="4B3AAD9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421" w:type="pct"/>
                  <w:tcBorders>
                    <w:left w:val="single" w:color="auto" w:sz="4" w:space="0"/>
                    <w:bottom w:val="single" w:color="auto" w:sz="4" w:space="0"/>
                    <w:right w:val="nil"/>
                  </w:tcBorders>
                  <w:noWrap w:val="0"/>
                  <w:vAlign w:val="center"/>
                </w:tcPr>
                <w:p w14:paraId="2339EE8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6784A7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w:t>
                  </w:r>
                </w:p>
              </w:tc>
              <w:tc>
                <w:tcPr>
                  <w:tcW w:w="967" w:type="pct"/>
                  <w:vMerge w:val="continue"/>
                  <w:tcBorders>
                    <w:left w:val="single" w:color="auto" w:sz="4" w:space="0"/>
                    <w:right w:val="nil"/>
                  </w:tcBorders>
                  <w:noWrap w:val="0"/>
                  <w:vAlign w:val="center"/>
                </w:tcPr>
                <w:p w14:paraId="400BC097">
                  <w:pPr>
                    <w:adjustRightInd w:val="0"/>
                    <w:snapToGrid w:val="0"/>
                    <w:jc w:val="center"/>
                    <w:rPr>
                      <w:rFonts w:hint="default" w:ascii="Times New Roman" w:hAnsi="Times New Roman" w:eastAsia="宋体" w:cs="Times New Roman"/>
                      <w:b w:val="0"/>
                      <w:bCs/>
                      <w:color w:val="auto"/>
                      <w:sz w:val="21"/>
                      <w:szCs w:val="21"/>
                      <w:lang w:val="en-US" w:eastAsia="zh-CN"/>
                    </w:rPr>
                  </w:pPr>
                </w:p>
              </w:tc>
              <w:tc>
                <w:tcPr>
                  <w:tcW w:w="245" w:type="pct"/>
                  <w:vMerge w:val="continue"/>
                  <w:tcBorders>
                    <w:left w:val="single" w:color="auto" w:sz="4" w:space="0"/>
                    <w:right w:val="nil"/>
                  </w:tcBorders>
                  <w:noWrap w:val="0"/>
                  <w:vAlign w:val="center"/>
                </w:tcPr>
                <w:p w14:paraId="0869A1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r>
            <w:tr w14:paraId="13EE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40182B2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38</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3948132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立体冷库货架系统</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7B55D1E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300w</w:t>
                  </w:r>
                </w:p>
              </w:tc>
              <w:tc>
                <w:tcPr>
                  <w:tcW w:w="417" w:type="pct"/>
                  <w:tcBorders>
                    <w:top w:val="single" w:color="auto" w:sz="4" w:space="0"/>
                    <w:left w:val="single" w:color="auto" w:sz="4" w:space="0"/>
                    <w:bottom w:val="single" w:color="auto" w:sz="4" w:space="0"/>
                    <w:right w:val="single" w:color="auto" w:sz="4" w:space="0"/>
                  </w:tcBorders>
                  <w:noWrap w:val="0"/>
                  <w:vAlign w:val="center"/>
                </w:tcPr>
                <w:p w14:paraId="0EFB396A">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val="0"/>
                      <w:bCs/>
                      <w:color w:val="auto"/>
                      <w:sz w:val="21"/>
                      <w:szCs w:val="21"/>
                      <w:lang w:eastAsia="zh-CN"/>
                    </w:rPr>
                  </w:pPr>
                  <w:r>
                    <w:rPr>
                      <w:rFonts w:hint="eastAsia"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noWrap w:val="0"/>
                  <w:vAlign w:val="center"/>
                </w:tcPr>
                <w:p w14:paraId="175ADDEB">
                  <w:pPr>
                    <w:adjustRightInd w:val="0"/>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noWrap w:val="0"/>
                  <w:vAlign w:val="center"/>
                </w:tcPr>
                <w:p w14:paraId="730DE23E">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eastAsia"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noWrap w:val="0"/>
                  <w:vAlign w:val="center"/>
                </w:tcPr>
                <w:p w14:paraId="783BAC66">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45" w:type="pct"/>
                  <w:vMerge w:val="restart"/>
                  <w:tcBorders>
                    <w:top w:val="single" w:color="auto" w:sz="4" w:space="0"/>
                    <w:left w:val="single" w:color="auto" w:sz="4" w:space="0"/>
                    <w:bottom w:val="single" w:color="auto" w:sz="4" w:space="0"/>
                    <w:right w:val="nil"/>
                  </w:tcBorders>
                  <w:noWrap w:val="0"/>
                  <w:vAlign w:val="center"/>
                </w:tcPr>
                <w:p w14:paraId="0192CC12">
                  <w:pPr>
                    <w:adjustRightInd w:val="0"/>
                    <w:snapToGrid w:val="0"/>
                    <w:jc w:val="center"/>
                    <w:rPr>
                      <w:rFonts w:hint="default" w:ascii="Times New Roman" w:hAnsi="Times New Roman" w:eastAsia="仿宋" w:cs="Times New Roman"/>
                      <w:b w:val="0"/>
                      <w:bCs/>
                      <w:color w:val="auto"/>
                      <w:sz w:val="24"/>
                      <w:szCs w:val="24"/>
                      <w:lang w:val="en-US" w:eastAsia="zh-CN"/>
                    </w:rPr>
                  </w:pPr>
                  <w:r>
                    <w:rPr>
                      <w:rFonts w:hint="eastAsia"/>
                      <w:color w:val="auto"/>
                      <w:szCs w:val="21"/>
                      <w:lang w:val="en-US" w:eastAsia="zh-CN"/>
                    </w:rPr>
                    <w:t>二期未建设项目</w:t>
                  </w:r>
                </w:p>
              </w:tc>
            </w:tr>
            <w:tr w14:paraId="154D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296D152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39</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1D43018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制冷系统</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6BD4F5E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390w</w:t>
                  </w:r>
                  <w:r>
                    <w:rPr>
                      <w:rFonts w:hint="default" w:ascii="Times New Roman" w:hAnsi="Times New Roman"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OBBL2-370L/OBBL2-300J/OBBL2-190L</w:t>
                  </w:r>
                </w:p>
              </w:tc>
              <w:tc>
                <w:tcPr>
                  <w:tcW w:w="417" w:type="pct"/>
                  <w:tcBorders>
                    <w:top w:val="single" w:color="auto" w:sz="4" w:space="0"/>
                    <w:left w:val="single" w:color="auto" w:sz="4" w:space="0"/>
                    <w:bottom w:val="single" w:color="auto" w:sz="4" w:space="0"/>
                    <w:right w:val="single" w:color="auto" w:sz="4" w:space="0"/>
                  </w:tcBorders>
                  <w:noWrap w:val="0"/>
                  <w:vAlign w:val="center"/>
                </w:tcPr>
                <w:p w14:paraId="23296F2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w:t>
                  </w:r>
                </w:p>
              </w:tc>
              <w:tc>
                <w:tcPr>
                  <w:tcW w:w="421" w:type="pct"/>
                  <w:tcBorders>
                    <w:top w:val="single" w:color="auto" w:sz="4" w:space="0"/>
                    <w:left w:val="single" w:color="auto" w:sz="4" w:space="0"/>
                    <w:bottom w:val="single" w:color="auto" w:sz="4" w:space="0"/>
                    <w:right w:val="nil"/>
                  </w:tcBorders>
                  <w:noWrap w:val="0"/>
                  <w:vAlign w:val="center"/>
                </w:tcPr>
                <w:p w14:paraId="5B03854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noWrap w:val="0"/>
                  <w:vAlign w:val="center"/>
                </w:tcPr>
                <w:p w14:paraId="392C714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5</w:t>
                  </w:r>
                </w:p>
              </w:tc>
              <w:tc>
                <w:tcPr>
                  <w:tcW w:w="967" w:type="pct"/>
                  <w:tcBorders>
                    <w:top w:val="single" w:color="auto" w:sz="4" w:space="0"/>
                    <w:left w:val="single" w:color="auto" w:sz="4" w:space="0"/>
                    <w:bottom w:val="single" w:color="auto" w:sz="4" w:space="0"/>
                    <w:right w:val="nil"/>
                  </w:tcBorders>
                  <w:noWrap w:val="0"/>
                  <w:vAlign w:val="center"/>
                </w:tcPr>
                <w:p w14:paraId="72416EF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45" w:type="pct"/>
                  <w:vMerge w:val="continue"/>
                  <w:tcBorders>
                    <w:top w:val="single" w:color="auto" w:sz="4" w:space="0"/>
                    <w:left w:val="single" w:color="auto" w:sz="4" w:space="0"/>
                    <w:bottom w:val="single" w:color="auto" w:sz="4" w:space="0"/>
                    <w:right w:val="nil"/>
                  </w:tcBorders>
                  <w:noWrap w:val="0"/>
                  <w:vAlign w:val="center"/>
                </w:tcPr>
                <w:p w14:paraId="6BA3D3B3">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5B06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FA57FE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40</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57ABFFD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常温库货架系统</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63E6E9F3">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50w</w:t>
                  </w:r>
                </w:p>
              </w:tc>
              <w:tc>
                <w:tcPr>
                  <w:tcW w:w="417" w:type="pct"/>
                  <w:tcBorders>
                    <w:top w:val="single" w:color="auto" w:sz="4" w:space="0"/>
                    <w:left w:val="single" w:color="auto" w:sz="4" w:space="0"/>
                    <w:bottom w:val="single" w:color="auto" w:sz="4" w:space="0"/>
                    <w:right w:val="single" w:color="auto" w:sz="4" w:space="0"/>
                  </w:tcBorders>
                  <w:noWrap w:val="0"/>
                  <w:vAlign w:val="center"/>
                </w:tcPr>
                <w:p w14:paraId="2C28D79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noWrap w:val="0"/>
                  <w:vAlign w:val="center"/>
                </w:tcPr>
                <w:p w14:paraId="78A8350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noWrap w:val="0"/>
                  <w:vAlign w:val="center"/>
                </w:tcPr>
                <w:p w14:paraId="7850FE65">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noWrap w:val="0"/>
                  <w:vAlign w:val="center"/>
                </w:tcPr>
                <w:p w14:paraId="58F46DF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45" w:type="pct"/>
                  <w:vMerge w:val="continue"/>
                  <w:tcBorders>
                    <w:top w:val="single" w:color="auto" w:sz="4" w:space="0"/>
                    <w:left w:val="single" w:color="auto" w:sz="4" w:space="0"/>
                    <w:bottom w:val="single" w:color="auto" w:sz="4" w:space="0"/>
                    <w:right w:val="nil"/>
                  </w:tcBorders>
                  <w:noWrap w:val="0"/>
                  <w:vAlign w:val="center"/>
                </w:tcPr>
                <w:p w14:paraId="4873B66B">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2829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6CEB34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41</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4ED83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车间空调系统</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B3502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160w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CD2E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28CA27F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4</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78D9489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7</w:t>
                  </w:r>
                </w:p>
              </w:tc>
              <w:tc>
                <w:tcPr>
                  <w:tcW w:w="967" w:type="pct"/>
                  <w:tcBorders>
                    <w:top w:val="single" w:color="auto" w:sz="4" w:space="0"/>
                    <w:left w:val="single" w:color="auto" w:sz="4" w:space="0"/>
                    <w:bottom w:val="single" w:color="auto" w:sz="4" w:space="0"/>
                    <w:right w:val="nil"/>
                  </w:tcBorders>
                  <w:noWrap w:val="0"/>
                  <w:vAlign w:val="center"/>
                </w:tcPr>
                <w:p w14:paraId="741C0331">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45" w:type="pct"/>
                  <w:vMerge w:val="continue"/>
                  <w:tcBorders>
                    <w:top w:val="single" w:color="auto" w:sz="4" w:space="0"/>
                    <w:left w:val="single" w:color="auto" w:sz="4" w:space="0"/>
                    <w:bottom w:val="single" w:color="auto" w:sz="4" w:space="0"/>
                    <w:right w:val="nil"/>
                  </w:tcBorders>
                  <w:noWrap w:val="0"/>
                  <w:vAlign w:val="center"/>
                </w:tcPr>
                <w:p w14:paraId="6A6E1653">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76BF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C75519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42</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256B2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消防控制系统</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F5262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150w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4E3E5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1120281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038F7DC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noWrap w:val="0"/>
                  <w:vAlign w:val="center"/>
                </w:tcPr>
                <w:p w14:paraId="18EF23BF">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45" w:type="pct"/>
                  <w:vMerge w:val="continue"/>
                  <w:tcBorders>
                    <w:top w:val="single" w:color="auto" w:sz="4" w:space="0"/>
                    <w:left w:val="single" w:color="auto" w:sz="4" w:space="0"/>
                    <w:bottom w:val="single" w:color="auto" w:sz="4" w:space="0"/>
                    <w:right w:val="nil"/>
                  </w:tcBorders>
                  <w:noWrap w:val="0"/>
                  <w:vAlign w:val="center"/>
                </w:tcPr>
                <w:p w14:paraId="47B7EEAB">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530E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4A8BBA8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43</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D9EAA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空压机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FB123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22w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495AC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4</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37D249C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034131D4">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6</w:t>
                  </w:r>
                </w:p>
              </w:tc>
              <w:tc>
                <w:tcPr>
                  <w:tcW w:w="967" w:type="pct"/>
                  <w:tcBorders>
                    <w:top w:val="single" w:color="auto" w:sz="4" w:space="0"/>
                    <w:left w:val="single" w:color="auto" w:sz="4" w:space="0"/>
                    <w:bottom w:val="single" w:color="auto" w:sz="4" w:space="0"/>
                    <w:right w:val="nil"/>
                  </w:tcBorders>
                  <w:noWrap w:val="0"/>
                  <w:vAlign w:val="center"/>
                </w:tcPr>
                <w:p w14:paraId="055F24FD">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45" w:type="pct"/>
                  <w:vMerge w:val="continue"/>
                  <w:tcBorders>
                    <w:top w:val="single" w:color="auto" w:sz="4" w:space="0"/>
                    <w:left w:val="single" w:color="auto" w:sz="4" w:space="0"/>
                    <w:bottom w:val="single" w:color="auto" w:sz="4" w:space="0"/>
                    <w:right w:val="nil"/>
                  </w:tcBorders>
                  <w:noWrap w:val="0"/>
                  <w:vAlign w:val="center"/>
                </w:tcPr>
                <w:p w14:paraId="1C1F6D48">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76FE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2FC912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44</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ABA224">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污水处理站</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528AE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处理能力1600t/d</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0F8101">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26638D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556EAE87">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1</w:t>
                  </w:r>
                </w:p>
              </w:tc>
              <w:tc>
                <w:tcPr>
                  <w:tcW w:w="967" w:type="pct"/>
                  <w:tcBorders>
                    <w:top w:val="single" w:color="auto" w:sz="4" w:space="0"/>
                    <w:left w:val="single" w:color="auto" w:sz="4" w:space="0"/>
                    <w:bottom w:val="single" w:color="auto" w:sz="4" w:space="0"/>
                    <w:right w:val="nil"/>
                  </w:tcBorders>
                  <w:noWrap w:val="0"/>
                  <w:vAlign w:val="center"/>
                </w:tcPr>
                <w:p w14:paraId="509D7B06">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45" w:type="pct"/>
                  <w:vMerge w:val="continue"/>
                  <w:tcBorders>
                    <w:top w:val="single" w:color="auto" w:sz="4" w:space="0"/>
                    <w:left w:val="single" w:color="auto" w:sz="4" w:space="0"/>
                    <w:bottom w:val="single" w:color="auto" w:sz="4" w:space="0"/>
                    <w:right w:val="nil"/>
                  </w:tcBorders>
                  <w:noWrap w:val="0"/>
                  <w:vAlign w:val="center"/>
                </w:tcPr>
                <w:p w14:paraId="7A666080">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0D57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F73CE6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5863120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剖片机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1C34EEE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E7256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0F284F4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01864F8B">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52212922">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6E27489F">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7DA1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A22F7F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46</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175B61D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漂烫机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2E27F51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5.5w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80638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76FDEA9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305A5EC5">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602D119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195E0374">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6F7E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2DD4D4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47</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653FC57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冷却机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31FD30C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22w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E774A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6C02871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3723CF79">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6F27220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1D8C7F7B">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18D8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9FE88C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48</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03034AB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烘干机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851579D">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HG-6600</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8874D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2EE7CA2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76DE7893">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3FA967C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66D3838E">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7818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ADF12A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49</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12F83D1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卧式输送拌料机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4BB4A89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WXBL-470</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7F8D7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5E2D496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5D42963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7AB7660B">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6B318BF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3547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7FD858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50</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596705B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网带烤箱</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1697704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KL-7300</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1BB6E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4</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694AFD5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54B5FFC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4</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5F520172">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20FEE6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6F3C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1103EE0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51</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4795222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多头秤</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7A9905ED">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BE852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3DD0A7C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0F9D448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759B1B2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4F87474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53E5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2B0D010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52</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652E252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给袋机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2EE356C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0454A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1E94A05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1EE37C7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0E96A3C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20B1DD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4B23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B1EC00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53</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3DD80EF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金探</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66BE0EA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0.35w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8985D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0A39470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57B8770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0597D25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5FA024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6DA1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1B2FAEA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54</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4F0C06AE">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X光机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22FF7F3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C6CB3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4A324C2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210962B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452516A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205C46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3B63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4DA585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55</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029C6773">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螺旋单冻机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DAEE78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600w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0F4D4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1D73D56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0A99D42E">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0213CA8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76E846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0434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196CD51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56</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0EF92AE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机械臂</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2047696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5.5w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05B4F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7B20E84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37C27F3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1BC782F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24AB13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7814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CB4FBA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57</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1A9EC11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低温高湿解冻库设备</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0812270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4w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7CE89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79E9E7C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1C1E2AA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3DA08606">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w:t>
                  </w:r>
                  <w:r>
                    <w:rPr>
                      <w:rFonts w:hint="eastAsia" w:cs="Times New Roman"/>
                      <w:b w:val="0"/>
                      <w:bCs/>
                      <w:color w:val="auto"/>
                      <w:sz w:val="21"/>
                      <w:szCs w:val="21"/>
                      <w:lang w:val="en-US" w:eastAsia="zh-CN"/>
                    </w:rPr>
                    <w:t>品生</w:t>
                  </w:r>
                  <w:r>
                    <w:rPr>
                      <w:rFonts w:hint="eastAsia" w:ascii="Times New Roman" w:hAnsi="Times New Roman" w:eastAsia="宋体" w:cs="Times New Roman"/>
                      <w:b w:val="0"/>
                      <w:bCs/>
                      <w:color w:val="auto"/>
                      <w:sz w:val="21"/>
                      <w:szCs w:val="21"/>
                      <w:lang w:val="en-US" w:eastAsia="zh-CN"/>
                    </w:rPr>
                    <w:t>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067890C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76D3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44B1999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58</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2C01B95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切丁机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26733F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CDEW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A90F0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48EC369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546669D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5E92F3F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w:t>
                  </w:r>
                  <w:r>
                    <w:rPr>
                      <w:rFonts w:hint="eastAsia" w:cs="Times New Roman"/>
                      <w:b w:val="0"/>
                      <w:bCs/>
                      <w:color w:val="auto"/>
                      <w:sz w:val="21"/>
                      <w:szCs w:val="21"/>
                      <w:lang w:val="en-US" w:eastAsia="zh-CN"/>
                    </w:rPr>
                    <w:t>品生</w:t>
                  </w:r>
                  <w:r>
                    <w:rPr>
                      <w:rFonts w:hint="eastAsia" w:ascii="Times New Roman" w:hAnsi="Times New Roman" w:eastAsia="宋体" w:cs="Times New Roman"/>
                      <w:b w:val="0"/>
                      <w:bCs/>
                      <w:color w:val="auto"/>
                      <w:sz w:val="21"/>
                      <w:szCs w:val="21"/>
                      <w:lang w:val="en-US" w:eastAsia="zh-CN"/>
                    </w:rPr>
                    <w:t>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083B6E3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40BE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3BE48E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59</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44F86B4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蒸烤机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2966390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ZX12-1000</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C0D8C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4C4E1D5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6D4587F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6213709A">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w:t>
                  </w:r>
                  <w:r>
                    <w:rPr>
                      <w:rFonts w:hint="eastAsia" w:cs="Times New Roman"/>
                      <w:b w:val="0"/>
                      <w:bCs/>
                      <w:color w:val="auto"/>
                      <w:sz w:val="21"/>
                      <w:szCs w:val="21"/>
                      <w:lang w:val="en-US" w:eastAsia="zh-CN"/>
                    </w:rPr>
                    <w:t>品生</w:t>
                  </w:r>
                  <w:r>
                    <w:rPr>
                      <w:rFonts w:hint="eastAsia" w:ascii="Times New Roman" w:hAnsi="Times New Roman" w:eastAsia="宋体" w:cs="Times New Roman"/>
                      <w:b w:val="0"/>
                      <w:bCs/>
                      <w:color w:val="auto"/>
                      <w:sz w:val="21"/>
                      <w:szCs w:val="21"/>
                      <w:lang w:val="en-US" w:eastAsia="zh-CN"/>
                    </w:rPr>
                    <w:t>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4046E10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4344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1820908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60</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2EA23AD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多头秤</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63FC4BC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145B6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3382DBC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3DB4D10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2C317559">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w:t>
                  </w:r>
                  <w:r>
                    <w:rPr>
                      <w:rFonts w:hint="eastAsia" w:cs="Times New Roman"/>
                      <w:b w:val="0"/>
                      <w:bCs/>
                      <w:color w:val="auto"/>
                      <w:sz w:val="21"/>
                      <w:szCs w:val="21"/>
                      <w:lang w:val="en-US" w:eastAsia="zh-CN"/>
                    </w:rPr>
                    <w:t>品生</w:t>
                  </w:r>
                  <w:r>
                    <w:rPr>
                      <w:rFonts w:hint="eastAsia" w:ascii="Times New Roman" w:hAnsi="Times New Roman" w:eastAsia="宋体" w:cs="Times New Roman"/>
                      <w:b w:val="0"/>
                      <w:bCs/>
                      <w:color w:val="auto"/>
                      <w:sz w:val="21"/>
                      <w:szCs w:val="21"/>
                      <w:lang w:val="en-US" w:eastAsia="zh-CN"/>
                    </w:rPr>
                    <w:t>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5C1A392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515A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3B9DB82">
                  <w:pPr>
                    <w:adjustRightInd w:val="0"/>
                    <w:snapToGrid w:val="0"/>
                    <w:jc w:val="both"/>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61</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53CEFDE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给袋式包装灌装机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2F947FE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AF2E3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317195B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7D6D018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6D8CA195">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w:t>
                  </w:r>
                  <w:r>
                    <w:rPr>
                      <w:rFonts w:hint="eastAsia" w:cs="Times New Roman"/>
                      <w:b w:val="0"/>
                      <w:bCs/>
                      <w:color w:val="auto"/>
                      <w:sz w:val="21"/>
                      <w:szCs w:val="21"/>
                      <w:lang w:val="en-US" w:eastAsia="zh-CN"/>
                    </w:rPr>
                    <w:t>品生</w:t>
                  </w:r>
                  <w:r>
                    <w:rPr>
                      <w:rFonts w:hint="eastAsia" w:ascii="Times New Roman" w:hAnsi="Times New Roman" w:eastAsia="宋体" w:cs="Times New Roman"/>
                      <w:b w:val="0"/>
                      <w:bCs/>
                      <w:color w:val="auto"/>
                      <w:sz w:val="21"/>
                      <w:szCs w:val="21"/>
                      <w:lang w:val="en-US" w:eastAsia="zh-CN"/>
                    </w:rPr>
                    <w:t>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456543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43BB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0FF83A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62</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7A5BC97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金探</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14178D2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0.35w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F54CB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11E1F4C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5337E84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516A41F6">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w:t>
                  </w:r>
                  <w:r>
                    <w:rPr>
                      <w:rFonts w:hint="eastAsia" w:cs="Times New Roman"/>
                      <w:b w:val="0"/>
                      <w:bCs/>
                      <w:color w:val="auto"/>
                      <w:sz w:val="21"/>
                      <w:szCs w:val="21"/>
                      <w:lang w:val="en-US" w:eastAsia="zh-CN"/>
                    </w:rPr>
                    <w:t>品生</w:t>
                  </w:r>
                  <w:r>
                    <w:rPr>
                      <w:rFonts w:hint="eastAsia" w:ascii="Times New Roman" w:hAnsi="Times New Roman" w:eastAsia="宋体" w:cs="Times New Roman"/>
                      <w:b w:val="0"/>
                      <w:bCs/>
                      <w:color w:val="auto"/>
                      <w:sz w:val="21"/>
                      <w:szCs w:val="21"/>
                      <w:lang w:val="en-US" w:eastAsia="zh-CN"/>
                    </w:rPr>
                    <w:t>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4E4B5A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6F89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7110B2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63</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3F1C835D">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X光机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9BC48D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E3063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09CE23F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4D9F8F9D">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755531B0">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w:t>
                  </w:r>
                  <w:r>
                    <w:rPr>
                      <w:rFonts w:hint="eastAsia" w:cs="Times New Roman"/>
                      <w:b w:val="0"/>
                      <w:bCs/>
                      <w:color w:val="auto"/>
                      <w:sz w:val="21"/>
                      <w:szCs w:val="21"/>
                      <w:lang w:val="en-US" w:eastAsia="zh-CN"/>
                    </w:rPr>
                    <w:t>品生</w:t>
                  </w:r>
                  <w:r>
                    <w:rPr>
                      <w:rFonts w:hint="eastAsia" w:ascii="Times New Roman" w:hAnsi="Times New Roman" w:eastAsia="宋体" w:cs="Times New Roman"/>
                      <w:b w:val="0"/>
                      <w:bCs/>
                      <w:color w:val="auto"/>
                      <w:sz w:val="21"/>
                      <w:szCs w:val="21"/>
                      <w:lang w:val="en-US" w:eastAsia="zh-CN"/>
                    </w:rPr>
                    <w:t>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6CE26DB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79FD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B24EFA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64</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00FAFE5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杀菌釜</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12B893C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144w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C6B7A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520FB85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5026BC6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22C647F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w:t>
                  </w:r>
                  <w:r>
                    <w:rPr>
                      <w:rFonts w:hint="eastAsia" w:cs="Times New Roman"/>
                      <w:b w:val="0"/>
                      <w:bCs/>
                      <w:color w:val="auto"/>
                      <w:sz w:val="21"/>
                      <w:szCs w:val="21"/>
                      <w:lang w:val="en-US" w:eastAsia="zh-CN"/>
                    </w:rPr>
                    <w:t>品生</w:t>
                  </w:r>
                  <w:r>
                    <w:rPr>
                      <w:rFonts w:hint="eastAsia" w:ascii="Times New Roman" w:hAnsi="Times New Roman" w:eastAsia="宋体" w:cs="Times New Roman"/>
                      <w:b w:val="0"/>
                      <w:bCs/>
                      <w:color w:val="auto"/>
                      <w:sz w:val="21"/>
                      <w:szCs w:val="21"/>
                      <w:lang w:val="en-US" w:eastAsia="zh-CN"/>
                    </w:rPr>
                    <w:t>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0AF664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03BE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C727D2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65</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44848FC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切菜机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6AFA44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2.2w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835C0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70FD830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29AF157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50AE243A">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689D58B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5991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237BA7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66</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4176F6A3">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脱水机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08703899">
                  <w:pPr>
                    <w:adjustRightInd w:val="0"/>
                    <w:snapToGrid w:val="0"/>
                    <w:jc w:val="center"/>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5.5</w:t>
                  </w:r>
                  <w:r>
                    <w:rPr>
                      <w:rFonts w:hint="eastAsia" w:cs="Times New Roman"/>
                      <w:b w:val="0"/>
                      <w:bCs/>
                      <w:color w:val="auto"/>
                      <w:sz w:val="21"/>
                      <w:szCs w:val="21"/>
                      <w:lang w:val="en-US" w:eastAsia="zh-CN"/>
                    </w:rPr>
                    <w:t>kW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A5335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721CE62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2E0D73A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74CD0C7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545472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57BC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BAFE02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67</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16FF3FC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滚筒烘干机8米</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22CA52E">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8000*φ1100</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9E0D9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378A16E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50453FB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5B617FF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4F9928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3758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62E5DC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68</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356CCA0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平面筛选机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BB066E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2700*1500</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9353C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5EA345C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6588649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22EC1D8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2C97A1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21ED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90484C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69</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53936CA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磁选机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66B299D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1000*1700</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FC5D0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49B6AB6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47720B9D">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5D4CD8D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239ACA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5174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714926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70</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68D7223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静电选别机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3E53DA6E">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1300*3000</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114F8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25DC59C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2FE4E76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6FDDC15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7BE3BF0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0896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472CB2B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71</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16E3592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AI选别机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45BBCDD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5.5w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C125D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38D9BD2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4FD5246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58122E6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513320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5E28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A6A571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72</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4D860FED">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振动给料装置</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6FAB628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0.6w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CBE62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62AB018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6FB7CC9E">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70434DE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33E2EA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667D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667D56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73</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2AD32B5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金探</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7961530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0.35w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77B96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1854ACB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6462C78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169DC48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7B747EA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7F15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2662361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74</w:t>
                  </w:r>
                </w:p>
              </w:tc>
              <w:tc>
                <w:tcPr>
                  <w:tcW w:w="1377" w:type="pct"/>
                  <w:tcBorders>
                    <w:top w:val="single" w:color="auto" w:sz="4" w:space="0"/>
                    <w:left w:val="single" w:color="auto" w:sz="4" w:space="0"/>
                    <w:bottom w:val="single" w:color="auto" w:sz="4" w:space="0"/>
                    <w:right w:val="single" w:color="auto" w:sz="4" w:space="0"/>
                  </w:tcBorders>
                  <w:noWrap w:val="0"/>
                  <w:vAlign w:val="center"/>
                </w:tcPr>
                <w:p w14:paraId="0076E4F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X光机</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056D5A5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285F2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421" w:type="pct"/>
                  <w:tcBorders>
                    <w:top w:val="single" w:color="auto" w:sz="4" w:space="0"/>
                    <w:left w:val="single" w:color="auto" w:sz="4" w:space="0"/>
                    <w:bottom w:val="single" w:color="auto" w:sz="4" w:space="0"/>
                    <w:right w:val="nil"/>
                  </w:tcBorders>
                  <w:shd w:val="clear" w:color="auto" w:fill="auto"/>
                  <w:noWrap w:val="0"/>
                  <w:vAlign w:val="center"/>
                </w:tcPr>
                <w:p w14:paraId="363C3F9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w:t>
                  </w:r>
                </w:p>
              </w:tc>
              <w:tc>
                <w:tcPr>
                  <w:tcW w:w="569" w:type="pct"/>
                  <w:tcBorders>
                    <w:top w:val="single" w:color="auto" w:sz="4" w:space="0"/>
                    <w:left w:val="single" w:color="auto" w:sz="4" w:space="0"/>
                    <w:bottom w:val="single" w:color="auto" w:sz="4" w:space="0"/>
                    <w:right w:val="nil"/>
                  </w:tcBorders>
                  <w:noWrap w:val="0"/>
                  <w:vAlign w:val="center"/>
                </w:tcPr>
                <w:p w14:paraId="322AA06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967" w:type="pct"/>
                  <w:tcBorders>
                    <w:top w:val="single" w:color="auto" w:sz="4" w:space="0"/>
                    <w:left w:val="single" w:color="auto" w:sz="4" w:space="0"/>
                    <w:bottom w:val="single" w:color="auto" w:sz="4" w:space="0"/>
                    <w:right w:val="nil"/>
                  </w:tcBorders>
                  <w:shd w:val="clear" w:color="auto" w:fill="auto"/>
                  <w:noWrap w:val="0"/>
                  <w:vAlign w:val="center"/>
                </w:tcPr>
                <w:p w14:paraId="4D29058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45" w:type="pct"/>
                  <w:vMerge w:val="continue"/>
                  <w:tcBorders>
                    <w:top w:val="single" w:color="auto" w:sz="4" w:space="0"/>
                    <w:left w:val="single" w:color="auto" w:sz="4" w:space="0"/>
                    <w:bottom w:val="single" w:color="auto" w:sz="4" w:space="0"/>
                    <w:right w:val="nil"/>
                  </w:tcBorders>
                  <w:noWrap w:val="0"/>
                  <w:vAlign w:val="center"/>
                </w:tcPr>
                <w:p w14:paraId="2096E4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7D5E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E698FD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75</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F32098">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蔬菜清洗机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B2985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YT268</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F1AB85">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3</w:t>
                  </w:r>
                </w:p>
              </w:tc>
              <w:tc>
                <w:tcPr>
                  <w:tcW w:w="421" w:type="pct"/>
                  <w:tcBorders>
                    <w:top w:val="single" w:color="auto" w:sz="4" w:space="0"/>
                    <w:left w:val="single" w:color="auto" w:sz="4" w:space="0"/>
                    <w:bottom w:val="single" w:color="auto" w:sz="4" w:space="0"/>
                    <w:right w:val="nil"/>
                  </w:tcBorders>
                  <w:noWrap w:val="0"/>
                  <w:vAlign w:val="center"/>
                </w:tcPr>
                <w:p w14:paraId="15FC9F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5850D128">
                  <w:pPr>
                    <w:adjustRightInd w:val="0"/>
                    <w:snapToGrid w:val="0"/>
                    <w:jc w:val="center"/>
                    <w:rPr>
                      <w:rFonts w:hint="default"/>
                      <w:color w:val="auto"/>
                      <w:szCs w:val="21"/>
                      <w:lang w:val="en-US" w:eastAsia="zh-CN"/>
                    </w:rPr>
                  </w:pPr>
                  <w:r>
                    <w:rPr>
                      <w:color w:val="auto"/>
                      <w:szCs w:val="21"/>
                    </w:rPr>
                    <w:t>3</w:t>
                  </w:r>
                </w:p>
              </w:tc>
              <w:tc>
                <w:tcPr>
                  <w:tcW w:w="967" w:type="pct"/>
                  <w:tcBorders>
                    <w:top w:val="single" w:color="auto" w:sz="4" w:space="0"/>
                    <w:left w:val="single" w:color="auto" w:sz="4" w:space="0"/>
                    <w:right w:val="nil"/>
                  </w:tcBorders>
                  <w:noWrap w:val="0"/>
                  <w:vAlign w:val="center"/>
                </w:tcPr>
                <w:p w14:paraId="1B1F0693">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245" w:type="pct"/>
                  <w:vMerge w:val="restart"/>
                  <w:tcBorders>
                    <w:top w:val="single" w:color="auto" w:sz="4" w:space="0"/>
                    <w:left w:val="single" w:color="auto" w:sz="4" w:space="0"/>
                    <w:right w:val="nil"/>
                  </w:tcBorders>
                  <w:noWrap w:val="0"/>
                  <w:vAlign w:val="center"/>
                </w:tcPr>
                <w:p w14:paraId="42ED600C">
                  <w:pPr>
                    <w:adjustRightInd w:val="0"/>
                    <w:snapToGrid w:val="0"/>
                    <w:jc w:val="center"/>
                    <w:rPr>
                      <w:rFonts w:hint="eastAsia"/>
                      <w:color w:val="auto"/>
                      <w:szCs w:val="21"/>
                      <w:lang w:eastAsia="zh-CN"/>
                    </w:rPr>
                  </w:pPr>
                  <w:r>
                    <w:rPr>
                      <w:rFonts w:hint="eastAsia"/>
                      <w:color w:val="auto"/>
                      <w:szCs w:val="21"/>
                      <w:lang w:eastAsia="zh-CN"/>
                    </w:rPr>
                    <w:t>一期现有项目</w:t>
                  </w:r>
                </w:p>
              </w:tc>
            </w:tr>
            <w:tr w14:paraId="1CA8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2DFE1A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76</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7AA629">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切段机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C53F4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C76262">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3</w:t>
                  </w:r>
                </w:p>
              </w:tc>
              <w:tc>
                <w:tcPr>
                  <w:tcW w:w="421" w:type="pct"/>
                  <w:tcBorders>
                    <w:top w:val="single" w:color="auto" w:sz="4" w:space="0"/>
                    <w:left w:val="single" w:color="auto" w:sz="4" w:space="0"/>
                    <w:bottom w:val="single" w:color="auto" w:sz="4" w:space="0"/>
                    <w:right w:val="nil"/>
                  </w:tcBorders>
                  <w:noWrap w:val="0"/>
                  <w:vAlign w:val="center"/>
                </w:tcPr>
                <w:p w14:paraId="6EEB87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73116F32">
                  <w:pPr>
                    <w:adjustRightInd w:val="0"/>
                    <w:snapToGrid w:val="0"/>
                    <w:jc w:val="center"/>
                    <w:rPr>
                      <w:rFonts w:hint="default"/>
                      <w:color w:val="auto"/>
                      <w:szCs w:val="21"/>
                      <w:lang w:val="en-US" w:eastAsia="zh-CN"/>
                    </w:rPr>
                  </w:pPr>
                  <w:r>
                    <w:rPr>
                      <w:color w:val="auto"/>
                      <w:szCs w:val="21"/>
                    </w:rPr>
                    <w:t>3</w:t>
                  </w:r>
                </w:p>
              </w:tc>
              <w:tc>
                <w:tcPr>
                  <w:tcW w:w="967" w:type="pct"/>
                  <w:tcBorders>
                    <w:left w:val="single" w:color="auto" w:sz="4" w:space="0"/>
                    <w:right w:val="nil"/>
                  </w:tcBorders>
                  <w:noWrap w:val="0"/>
                  <w:vAlign w:val="center"/>
                </w:tcPr>
                <w:p w14:paraId="30C4CB6A">
                  <w:pPr>
                    <w:adjustRightInd w:val="0"/>
                    <w:snapToGrid w:val="0"/>
                    <w:jc w:val="center"/>
                    <w:rPr>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065F3510">
                  <w:pPr>
                    <w:adjustRightInd w:val="0"/>
                    <w:snapToGrid w:val="0"/>
                    <w:jc w:val="center"/>
                    <w:rPr>
                      <w:rFonts w:hint="default"/>
                      <w:color w:val="auto"/>
                      <w:szCs w:val="21"/>
                    </w:rPr>
                  </w:pPr>
                </w:p>
              </w:tc>
            </w:tr>
            <w:tr w14:paraId="1B03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4246D8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77</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F07F6C">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切片机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DB678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8F3A5A">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3</w:t>
                  </w:r>
                </w:p>
              </w:tc>
              <w:tc>
                <w:tcPr>
                  <w:tcW w:w="421" w:type="pct"/>
                  <w:tcBorders>
                    <w:top w:val="single" w:color="auto" w:sz="4" w:space="0"/>
                    <w:left w:val="single" w:color="auto" w:sz="4" w:space="0"/>
                    <w:bottom w:val="single" w:color="auto" w:sz="4" w:space="0"/>
                    <w:right w:val="nil"/>
                  </w:tcBorders>
                  <w:noWrap w:val="0"/>
                  <w:vAlign w:val="center"/>
                </w:tcPr>
                <w:p w14:paraId="5808D5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9043645">
                  <w:pPr>
                    <w:adjustRightInd w:val="0"/>
                    <w:snapToGrid w:val="0"/>
                    <w:jc w:val="center"/>
                    <w:rPr>
                      <w:rFonts w:hint="default"/>
                      <w:color w:val="auto"/>
                      <w:szCs w:val="21"/>
                      <w:lang w:val="en-US" w:eastAsia="zh-CN"/>
                    </w:rPr>
                  </w:pPr>
                  <w:r>
                    <w:rPr>
                      <w:color w:val="auto"/>
                      <w:szCs w:val="21"/>
                    </w:rPr>
                    <w:t>3</w:t>
                  </w:r>
                </w:p>
              </w:tc>
              <w:tc>
                <w:tcPr>
                  <w:tcW w:w="967" w:type="pct"/>
                  <w:tcBorders>
                    <w:left w:val="single" w:color="auto" w:sz="4" w:space="0"/>
                    <w:right w:val="nil"/>
                  </w:tcBorders>
                  <w:noWrap w:val="0"/>
                  <w:vAlign w:val="center"/>
                </w:tcPr>
                <w:p w14:paraId="1010B379">
                  <w:pPr>
                    <w:adjustRightInd w:val="0"/>
                    <w:snapToGrid w:val="0"/>
                    <w:jc w:val="center"/>
                    <w:rPr>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4F7A1D8D">
                  <w:pPr>
                    <w:adjustRightInd w:val="0"/>
                    <w:snapToGrid w:val="0"/>
                    <w:jc w:val="center"/>
                    <w:rPr>
                      <w:rFonts w:hint="default"/>
                      <w:color w:val="auto"/>
                      <w:szCs w:val="21"/>
                    </w:rPr>
                  </w:pPr>
                </w:p>
              </w:tc>
            </w:tr>
            <w:tr w14:paraId="57F9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82919A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78</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BBE473">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蒸煮机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DC30C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F7A063">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2</w:t>
                  </w:r>
                </w:p>
              </w:tc>
              <w:tc>
                <w:tcPr>
                  <w:tcW w:w="421" w:type="pct"/>
                  <w:tcBorders>
                    <w:top w:val="single" w:color="auto" w:sz="4" w:space="0"/>
                    <w:left w:val="single" w:color="auto" w:sz="4" w:space="0"/>
                    <w:bottom w:val="single" w:color="auto" w:sz="4" w:space="0"/>
                    <w:right w:val="nil"/>
                  </w:tcBorders>
                  <w:noWrap w:val="0"/>
                  <w:vAlign w:val="center"/>
                </w:tcPr>
                <w:p w14:paraId="7E5CDA7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7B86A08">
                  <w:pPr>
                    <w:adjustRightInd w:val="0"/>
                    <w:snapToGrid w:val="0"/>
                    <w:jc w:val="center"/>
                    <w:rPr>
                      <w:rFonts w:hint="default"/>
                      <w:color w:val="auto"/>
                      <w:szCs w:val="21"/>
                      <w:lang w:val="en-US" w:eastAsia="zh-CN"/>
                    </w:rPr>
                  </w:pPr>
                  <w:r>
                    <w:rPr>
                      <w:color w:val="auto"/>
                      <w:szCs w:val="21"/>
                    </w:rPr>
                    <w:t>2</w:t>
                  </w:r>
                </w:p>
              </w:tc>
              <w:tc>
                <w:tcPr>
                  <w:tcW w:w="967" w:type="pct"/>
                  <w:tcBorders>
                    <w:left w:val="single" w:color="auto" w:sz="4" w:space="0"/>
                    <w:right w:val="nil"/>
                  </w:tcBorders>
                  <w:noWrap w:val="0"/>
                  <w:vAlign w:val="center"/>
                </w:tcPr>
                <w:p w14:paraId="7E7BE2DD">
                  <w:pPr>
                    <w:adjustRightInd w:val="0"/>
                    <w:snapToGrid w:val="0"/>
                    <w:jc w:val="center"/>
                    <w:rPr>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7192F937">
                  <w:pPr>
                    <w:adjustRightInd w:val="0"/>
                    <w:snapToGrid w:val="0"/>
                    <w:jc w:val="center"/>
                    <w:rPr>
                      <w:rFonts w:hint="default"/>
                      <w:color w:val="auto"/>
                      <w:szCs w:val="21"/>
                    </w:rPr>
                  </w:pPr>
                </w:p>
              </w:tc>
            </w:tr>
            <w:tr w14:paraId="695A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4F6F078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79</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473DB4">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脱水机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343C3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7B6D30">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4</w:t>
                  </w:r>
                </w:p>
              </w:tc>
              <w:tc>
                <w:tcPr>
                  <w:tcW w:w="421" w:type="pct"/>
                  <w:tcBorders>
                    <w:top w:val="single" w:color="auto" w:sz="4" w:space="0"/>
                    <w:left w:val="single" w:color="auto" w:sz="4" w:space="0"/>
                    <w:bottom w:val="single" w:color="auto" w:sz="4" w:space="0"/>
                    <w:right w:val="nil"/>
                  </w:tcBorders>
                  <w:noWrap w:val="0"/>
                  <w:vAlign w:val="center"/>
                </w:tcPr>
                <w:p w14:paraId="2E15396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0B63CA6C">
                  <w:pPr>
                    <w:adjustRightInd w:val="0"/>
                    <w:snapToGrid w:val="0"/>
                    <w:jc w:val="center"/>
                    <w:rPr>
                      <w:rFonts w:hint="default"/>
                      <w:color w:val="auto"/>
                      <w:szCs w:val="21"/>
                      <w:lang w:val="en-US" w:eastAsia="zh-CN"/>
                    </w:rPr>
                  </w:pPr>
                  <w:r>
                    <w:rPr>
                      <w:color w:val="auto"/>
                      <w:szCs w:val="21"/>
                    </w:rPr>
                    <w:t>4</w:t>
                  </w:r>
                </w:p>
              </w:tc>
              <w:tc>
                <w:tcPr>
                  <w:tcW w:w="967" w:type="pct"/>
                  <w:tcBorders>
                    <w:left w:val="single" w:color="auto" w:sz="4" w:space="0"/>
                    <w:right w:val="nil"/>
                  </w:tcBorders>
                  <w:noWrap w:val="0"/>
                  <w:vAlign w:val="center"/>
                </w:tcPr>
                <w:p w14:paraId="105D3143">
                  <w:pPr>
                    <w:adjustRightInd w:val="0"/>
                    <w:snapToGrid w:val="0"/>
                    <w:jc w:val="center"/>
                    <w:rPr>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45544306">
                  <w:pPr>
                    <w:adjustRightInd w:val="0"/>
                    <w:snapToGrid w:val="0"/>
                    <w:jc w:val="center"/>
                    <w:rPr>
                      <w:rFonts w:hint="default"/>
                      <w:color w:val="auto"/>
                      <w:szCs w:val="21"/>
                    </w:rPr>
                  </w:pPr>
                </w:p>
              </w:tc>
            </w:tr>
            <w:tr w14:paraId="0871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C99E13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80</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B35A10">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食品真空包装机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6FBFA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303E97">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5</w:t>
                  </w:r>
                </w:p>
              </w:tc>
              <w:tc>
                <w:tcPr>
                  <w:tcW w:w="421" w:type="pct"/>
                  <w:tcBorders>
                    <w:top w:val="single" w:color="auto" w:sz="4" w:space="0"/>
                    <w:left w:val="single" w:color="auto" w:sz="4" w:space="0"/>
                    <w:bottom w:val="single" w:color="auto" w:sz="4" w:space="0"/>
                    <w:right w:val="nil"/>
                  </w:tcBorders>
                  <w:noWrap w:val="0"/>
                  <w:vAlign w:val="center"/>
                </w:tcPr>
                <w:p w14:paraId="10CC6D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DF372A2">
                  <w:pPr>
                    <w:adjustRightInd w:val="0"/>
                    <w:snapToGrid w:val="0"/>
                    <w:jc w:val="center"/>
                    <w:rPr>
                      <w:rFonts w:hint="default"/>
                      <w:color w:val="auto"/>
                      <w:szCs w:val="21"/>
                      <w:lang w:val="en-US" w:eastAsia="zh-CN"/>
                    </w:rPr>
                  </w:pPr>
                  <w:r>
                    <w:rPr>
                      <w:color w:val="auto"/>
                      <w:szCs w:val="21"/>
                    </w:rPr>
                    <w:t>5</w:t>
                  </w:r>
                </w:p>
              </w:tc>
              <w:tc>
                <w:tcPr>
                  <w:tcW w:w="967" w:type="pct"/>
                  <w:tcBorders>
                    <w:left w:val="single" w:color="auto" w:sz="4" w:space="0"/>
                    <w:right w:val="nil"/>
                  </w:tcBorders>
                  <w:noWrap w:val="0"/>
                  <w:vAlign w:val="center"/>
                </w:tcPr>
                <w:p w14:paraId="692A31AA">
                  <w:pPr>
                    <w:adjustRightInd w:val="0"/>
                    <w:snapToGrid w:val="0"/>
                    <w:jc w:val="center"/>
                    <w:rPr>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111B6AC0">
                  <w:pPr>
                    <w:adjustRightInd w:val="0"/>
                    <w:snapToGrid w:val="0"/>
                    <w:jc w:val="center"/>
                    <w:rPr>
                      <w:rFonts w:hint="default"/>
                      <w:color w:val="auto"/>
                      <w:szCs w:val="21"/>
                    </w:rPr>
                  </w:pPr>
                </w:p>
              </w:tc>
            </w:tr>
            <w:tr w14:paraId="32EC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8E474E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81</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DC11DD">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速冻机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52D4B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04693D">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1</w:t>
                  </w:r>
                </w:p>
              </w:tc>
              <w:tc>
                <w:tcPr>
                  <w:tcW w:w="421" w:type="pct"/>
                  <w:tcBorders>
                    <w:top w:val="single" w:color="auto" w:sz="4" w:space="0"/>
                    <w:left w:val="single" w:color="auto" w:sz="4" w:space="0"/>
                    <w:bottom w:val="single" w:color="auto" w:sz="4" w:space="0"/>
                    <w:right w:val="nil"/>
                  </w:tcBorders>
                  <w:noWrap w:val="0"/>
                  <w:vAlign w:val="center"/>
                </w:tcPr>
                <w:p w14:paraId="52C18BD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749B0AF1">
                  <w:pPr>
                    <w:adjustRightInd w:val="0"/>
                    <w:snapToGrid w:val="0"/>
                    <w:jc w:val="center"/>
                    <w:rPr>
                      <w:rFonts w:hint="default"/>
                      <w:color w:val="auto"/>
                      <w:szCs w:val="21"/>
                      <w:lang w:val="en-US" w:eastAsia="zh-CN"/>
                    </w:rPr>
                  </w:pPr>
                  <w:r>
                    <w:rPr>
                      <w:color w:val="auto"/>
                      <w:szCs w:val="21"/>
                    </w:rPr>
                    <w:t>1</w:t>
                  </w:r>
                </w:p>
              </w:tc>
              <w:tc>
                <w:tcPr>
                  <w:tcW w:w="967" w:type="pct"/>
                  <w:tcBorders>
                    <w:left w:val="single" w:color="auto" w:sz="4" w:space="0"/>
                    <w:right w:val="nil"/>
                  </w:tcBorders>
                  <w:noWrap w:val="0"/>
                  <w:vAlign w:val="center"/>
                </w:tcPr>
                <w:p w14:paraId="6B11A52F">
                  <w:pPr>
                    <w:adjustRightInd w:val="0"/>
                    <w:snapToGrid w:val="0"/>
                    <w:jc w:val="center"/>
                    <w:rPr>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32D2A062">
                  <w:pPr>
                    <w:adjustRightInd w:val="0"/>
                    <w:snapToGrid w:val="0"/>
                    <w:jc w:val="center"/>
                    <w:rPr>
                      <w:rFonts w:hint="default"/>
                      <w:color w:val="auto"/>
                      <w:szCs w:val="21"/>
                    </w:rPr>
                  </w:pPr>
                </w:p>
              </w:tc>
            </w:tr>
            <w:tr w14:paraId="0E8B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6E858A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82</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BB997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封口机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BF988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1699B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3</w:t>
                  </w:r>
                </w:p>
              </w:tc>
              <w:tc>
                <w:tcPr>
                  <w:tcW w:w="421" w:type="pct"/>
                  <w:tcBorders>
                    <w:top w:val="single" w:color="auto" w:sz="4" w:space="0"/>
                    <w:left w:val="single" w:color="auto" w:sz="4" w:space="0"/>
                    <w:bottom w:val="single" w:color="auto" w:sz="4" w:space="0"/>
                    <w:right w:val="nil"/>
                  </w:tcBorders>
                  <w:noWrap w:val="0"/>
                  <w:vAlign w:val="center"/>
                </w:tcPr>
                <w:p w14:paraId="630D8A2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76071D8B">
                  <w:pPr>
                    <w:adjustRightInd w:val="0"/>
                    <w:snapToGrid w:val="0"/>
                    <w:jc w:val="center"/>
                    <w:rPr>
                      <w:rFonts w:hint="default"/>
                      <w:color w:val="auto"/>
                      <w:szCs w:val="21"/>
                      <w:lang w:val="en-US" w:eastAsia="zh-CN"/>
                    </w:rPr>
                  </w:pPr>
                  <w:r>
                    <w:rPr>
                      <w:rFonts w:hint="eastAsia"/>
                      <w:color w:val="auto"/>
                      <w:szCs w:val="21"/>
                    </w:rPr>
                    <w:t>3</w:t>
                  </w:r>
                </w:p>
              </w:tc>
              <w:tc>
                <w:tcPr>
                  <w:tcW w:w="967" w:type="pct"/>
                  <w:tcBorders>
                    <w:left w:val="single" w:color="auto" w:sz="4" w:space="0"/>
                    <w:right w:val="nil"/>
                  </w:tcBorders>
                  <w:noWrap w:val="0"/>
                  <w:vAlign w:val="center"/>
                </w:tcPr>
                <w:p w14:paraId="2B9807A3">
                  <w:pPr>
                    <w:adjustRightInd w:val="0"/>
                    <w:snapToGrid w:val="0"/>
                    <w:jc w:val="center"/>
                    <w:rPr>
                      <w:rFonts w:hint="eastAsia"/>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53DE5067">
                  <w:pPr>
                    <w:adjustRightInd w:val="0"/>
                    <w:snapToGrid w:val="0"/>
                    <w:jc w:val="center"/>
                    <w:rPr>
                      <w:rFonts w:hint="default"/>
                      <w:color w:val="auto"/>
                      <w:szCs w:val="21"/>
                    </w:rPr>
                  </w:pPr>
                </w:p>
              </w:tc>
            </w:tr>
            <w:tr w14:paraId="1AAE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53D570E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83</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372F7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金属探测仪</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3362A5">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36384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4</w:t>
                  </w:r>
                </w:p>
              </w:tc>
              <w:tc>
                <w:tcPr>
                  <w:tcW w:w="421" w:type="pct"/>
                  <w:tcBorders>
                    <w:top w:val="single" w:color="auto" w:sz="4" w:space="0"/>
                    <w:left w:val="single" w:color="auto" w:sz="4" w:space="0"/>
                    <w:bottom w:val="single" w:color="auto" w:sz="4" w:space="0"/>
                    <w:right w:val="nil"/>
                  </w:tcBorders>
                  <w:noWrap w:val="0"/>
                  <w:vAlign w:val="center"/>
                </w:tcPr>
                <w:p w14:paraId="2B3C2E3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B660A9F">
                  <w:pPr>
                    <w:adjustRightInd w:val="0"/>
                    <w:snapToGrid w:val="0"/>
                    <w:jc w:val="center"/>
                    <w:rPr>
                      <w:rFonts w:hint="default"/>
                      <w:color w:val="auto"/>
                      <w:szCs w:val="21"/>
                      <w:lang w:val="en-US" w:eastAsia="zh-CN"/>
                    </w:rPr>
                  </w:pPr>
                  <w:r>
                    <w:rPr>
                      <w:rFonts w:hint="eastAsia"/>
                      <w:color w:val="auto"/>
                      <w:szCs w:val="21"/>
                    </w:rPr>
                    <w:t>4</w:t>
                  </w:r>
                </w:p>
              </w:tc>
              <w:tc>
                <w:tcPr>
                  <w:tcW w:w="967" w:type="pct"/>
                  <w:tcBorders>
                    <w:left w:val="single" w:color="auto" w:sz="4" w:space="0"/>
                    <w:right w:val="nil"/>
                  </w:tcBorders>
                  <w:noWrap w:val="0"/>
                  <w:vAlign w:val="center"/>
                </w:tcPr>
                <w:p w14:paraId="270207AD">
                  <w:pPr>
                    <w:adjustRightInd w:val="0"/>
                    <w:snapToGrid w:val="0"/>
                    <w:jc w:val="center"/>
                    <w:rPr>
                      <w:rFonts w:hint="eastAsia"/>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6F75CA55">
                  <w:pPr>
                    <w:adjustRightInd w:val="0"/>
                    <w:snapToGrid w:val="0"/>
                    <w:jc w:val="center"/>
                    <w:rPr>
                      <w:rFonts w:hint="default"/>
                      <w:color w:val="auto"/>
                      <w:szCs w:val="21"/>
                    </w:rPr>
                  </w:pPr>
                </w:p>
              </w:tc>
            </w:tr>
            <w:tr w14:paraId="0E6F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6817CA2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84</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3DABF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搅拌锅</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3ABEA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A60A4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3</w:t>
                  </w:r>
                </w:p>
              </w:tc>
              <w:tc>
                <w:tcPr>
                  <w:tcW w:w="421" w:type="pct"/>
                  <w:tcBorders>
                    <w:top w:val="single" w:color="auto" w:sz="4" w:space="0"/>
                    <w:left w:val="single" w:color="auto" w:sz="4" w:space="0"/>
                    <w:bottom w:val="single" w:color="auto" w:sz="4" w:space="0"/>
                    <w:right w:val="nil"/>
                  </w:tcBorders>
                  <w:noWrap w:val="0"/>
                  <w:vAlign w:val="center"/>
                </w:tcPr>
                <w:p w14:paraId="67B2D1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27D9228F">
                  <w:pPr>
                    <w:adjustRightInd w:val="0"/>
                    <w:snapToGrid w:val="0"/>
                    <w:jc w:val="center"/>
                    <w:rPr>
                      <w:rFonts w:hint="default"/>
                      <w:color w:val="auto"/>
                      <w:szCs w:val="21"/>
                      <w:lang w:val="en-US" w:eastAsia="zh-CN"/>
                    </w:rPr>
                  </w:pPr>
                  <w:r>
                    <w:rPr>
                      <w:rFonts w:hint="eastAsia"/>
                      <w:color w:val="auto"/>
                      <w:szCs w:val="21"/>
                    </w:rPr>
                    <w:t>3</w:t>
                  </w:r>
                </w:p>
              </w:tc>
              <w:tc>
                <w:tcPr>
                  <w:tcW w:w="967" w:type="pct"/>
                  <w:tcBorders>
                    <w:left w:val="single" w:color="auto" w:sz="4" w:space="0"/>
                    <w:right w:val="nil"/>
                  </w:tcBorders>
                  <w:noWrap w:val="0"/>
                  <w:vAlign w:val="center"/>
                </w:tcPr>
                <w:p w14:paraId="667B56DA">
                  <w:pPr>
                    <w:adjustRightInd w:val="0"/>
                    <w:snapToGrid w:val="0"/>
                    <w:jc w:val="center"/>
                    <w:rPr>
                      <w:rFonts w:hint="eastAsia"/>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1B361294">
                  <w:pPr>
                    <w:adjustRightInd w:val="0"/>
                    <w:snapToGrid w:val="0"/>
                    <w:jc w:val="center"/>
                    <w:rPr>
                      <w:rFonts w:hint="default"/>
                      <w:color w:val="auto"/>
                      <w:szCs w:val="21"/>
                    </w:rPr>
                  </w:pPr>
                </w:p>
              </w:tc>
            </w:tr>
            <w:tr w14:paraId="107A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643E81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85</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47297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杀菌机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97203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0DF64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421" w:type="pct"/>
                  <w:tcBorders>
                    <w:top w:val="single" w:color="auto" w:sz="4" w:space="0"/>
                    <w:left w:val="single" w:color="auto" w:sz="4" w:space="0"/>
                    <w:bottom w:val="single" w:color="auto" w:sz="4" w:space="0"/>
                    <w:right w:val="nil"/>
                  </w:tcBorders>
                  <w:noWrap w:val="0"/>
                  <w:vAlign w:val="center"/>
                </w:tcPr>
                <w:p w14:paraId="7A4F32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F2F34E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967" w:type="pct"/>
                  <w:tcBorders>
                    <w:left w:val="single" w:color="auto" w:sz="4" w:space="0"/>
                    <w:right w:val="nil"/>
                  </w:tcBorders>
                  <w:noWrap w:val="0"/>
                  <w:vAlign w:val="center"/>
                </w:tcPr>
                <w:p w14:paraId="461E3F18">
                  <w:pPr>
                    <w:adjustRightInd w:val="0"/>
                    <w:snapToGrid w:val="0"/>
                    <w:jc w:val="center"/>
                    <w:rPr>
                      <w:rFonts w:hint="eastAsia"/>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5216BB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7E96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037415E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86</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B5E99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夹层锅</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345A2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直径1.5m</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82AAD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421" w:type="pct"/>
                  <w:tcBorders>
                    <w:top w:val="single" w:color="auto" w:sz="4" w:space="0"/>
                    <w:left w:val="single" w:color="auto" w:sz="4" w:space="0"/>
                    <w:bottom w:val="single" w:color="auto" w:sz="4" w:space="0"/>
                    <w:right w:val="nil"/>
                  </w:tcBorders>
                  <w:noWrap w:val="0"/>
                  <w:vAlign w:val="center"/>
                </w:tcPr>
                <w:p w14:paraId="100523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0CFCCA7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967" w:type="pct"/>
                  <w:tcBorders>
                    <w:left w:val="single" w:color="auto" w:sz="4" w:space="0"/>
                    <w:right w:val="nil"/>
                  </w:tcBorders>
                  <w:noWrap w:val="0"/>
                  <w:vAlign w:val="center"/>
                </w:tcPr>
                <w:p w14:paraId="508FE0E6">
                  <w:pPr>
                    <w:adjustRightInd w:val="0"/>
                    <w:snapToGrid w:val="0"/>
                    <w:jc w:val="center"/>
                    <w:rPr>
                      <w:rFonts w:hint="eastAsia"/>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79178C4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4369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2180665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87</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7930F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显微镜</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E6756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7FCB6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421" w:type="pct"/>
                  <w:tcBorders>
                    <w:top w:val="single" w:color="auto" w:sz="4" w:space="0"/>
                    <w:left w:val="single" w:color="auto" w:sz="4" w:space="0"/>
                    <w:bottom w:val="single" w:color="auto" w:sz="4" w:space="0"/>
                    <w:right w:val="nil"/>
                  </w:tcBorders>
                  <w:noWrap w:val="0"/>
                  <w:vAlign w:val="center"/>
                </w:tcPr>
                <w:p w14:paraId="23F319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6186ADD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967" w:type="pct"/>
                  <w:tcBorders>
                    <w:left w:val="single" w:color="auto" w:sz="4" w:space="0"/>
                    <w:right w:val="nil"/>
                  </w:tcBorders>
                  <w:noWrap w:val="0"/>
                  <w:vAlign w:val="center"/>
                </w:tcPr>
                <w:p w14:paraId="321D8062">
                  <w:pPr>
                    <w:adjustRightInd w:val="0"/>
                    <w:snapToGrid w:val="0"/>
                    <w:jc w:val="center"/>
                    <w:rPr>
                      <w:rFonts w:hint="eastAsia"/>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35E3A6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138E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2C3DFDC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88</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A2DFB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无菌操作台</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6D10E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6BFAE2">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2</w:t>
                  </w:r>
                </w:p>
              </w:tc>
              <w:tc>
                <w:tcPr>
                  <w:tcW w:w="421" w:type="pct"/>
                  <w:tcBorders>
                    <w:top w:val="single" w:color="auto" w:sz="4" w:space="0"/>
                    <w:left w:val="single" w:color="auto" w:sz="4" w:space="0"/>
                    <w:bottom w:val="single" w:color="auto" w:sz="4" w:space="0"/>
                    <w:right w:val="nil"/>
                  </w:tcBorders>
                  <w:noWrap w:val="0"/>
                  <w:vAlign w:val="center"/>
                </w:tcPr>
                <w:p w14:paraId="53D45F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4D1247A9">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2</w:t>
                  </w:r>
                </w:p>
              </w:tc>
              <w:tc>
                <w:tcPr>
                  <w:tcW w:w="967" w:type="pct"/>
                  <w:tcBorders>
                    <w:left w:val="single" w:color="auto" w:sz="4" w:space="0"/>
                    <w:right w:val="nil"/>
                  </w:tcBorders>
                  <w:noWrap w:val="0"/>
                  <w:vAlign w:val="center"/>
                </w:tcPr>
                <w:p w14:paraId="5923FCFE">
                  <w:pPr>
                    <w:adjustRightInd w:val="0"/>
                    <w:snapToGrid w:val="0"/>
                    <w:jc w:val="center"/>
                    <w:rPr>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58DEB7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2392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3BCB452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89</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92E08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干燥机</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BE0CC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DE07A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421" w:type="pct"/>
                  <w:tcBorders>
                    <w:top w:val="single" w:color="auto" w:sz="4" w:space="0"/>
                    <w:left w:val="single" w:color="auto" w:sz="4" w:space="0"/>
                    <w:bottom w:val="single" w:color="auto" w:sz="4" w:space="0"/>
                    <w:right w:val="nil"/>
                  </w:tcBorders>
                  <w:noWrap w:val="0"/>
                  <w:vAlign w:val="center"/>
                </w:tcPr>
                <w:p w14:paraId="07083B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59056FE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967" w:type="pct"/>
                  <w:tcBorders>
                    <w:left w:val="single" w:color="auto" w:sz="4" w:space="0"/>
                    <w:right w:val="nil"/>
                  </w:tcBorders>
                  <w:noWrap w:val="0"/>
                  <w:vAlign w:val="center"/>
                </w:tcPr>
                <w:p w14:paraId="169DCAD6">
                  <w:pPr>
                    <w:adjustRightInd w:val="0"/>
                    <w:snapToGrid w:val="0"/>
                    <w:jc w:val="center"/>
                    <w:rPr>
                      <w:rFonts w:hint="eastAsia"/>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3BDB9A0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523A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9" w:type="pct"/>
                  <w:tcBorders>
                    <w:top w:val="single" w:color="auto" w:sz="4" w:space="0"/>
                    <w:left w:val="nil"/>
                    <w:bottom w:val="single" w:color="auto" w:sz="4" w:space="0"/>
                    <w:right w:val="single" w:color="auto" w:sz="4" w:space="0"/>
                  </w:tcBorders>
                  <w:shd w:val="clear" w:color="auto" w:fill="auto"/>
                  <w:noWrap w:val="0"/>
                  <w:vAlign w:val="center"/>
                </w:tcPr>
                <w:p w14:paraId="7652F32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90</w:t>
                  </w:r>
                </w:p>
              </w:tc>
              <w:tc>
                <w:tcPr>
                  <w:tcW w:w="137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1EA721">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真空泵</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6045E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81F4A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w:t>
                  </w:r>
                </w:p>
              </w:tc>
              <w:tc>
                <w:tcPr>
                  <w:tcW w:w="421" w:type="pct"/>
                  <w:tcBorders>
                    <w:top w:val="single" w:color="auto" w:sz="4" w:space="0"/>
                    <w:left w:val="single" w:color="auto" w:sz="4" w:space="0"/>
                    <w:bottom w:val="single" w:color="auto" w:sz="4" w:space="0"/>
                    <w:right w:val="nil"/>
                  </w:tcBorders>
                  <w:noWrap w:val="0"/>
                  <w:vAlign w:val="center"/>
                </w:tcPr>
                <w:p w14:paraId="39FF37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69" w:type="pct"/>
                  <w:tcBorders>
                    <w:top w:val="single" w:color="auto" w:sz="4" w:space="0"/>
                    <w:left w:val="single" w:color="auto" w:sz="4" w:space="0"/>
                    <w:bottom w:val="single" w:color="auto" w:sz="4" w:space="0"/>
                    <w:right w:val="nil"/>
                  </w:tcBorders>
                  <w:shd w:val="clear" w:color="auto" w:fill="auto"/>
                  <w:noWrap w:val="0"/>
                  <w:vAlign w:val="center"/>
                </w:tcPr>
                <w:p w14:paraId="17C5338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w:t>
                  </w:r>
                </w:p>
              </w:tc>
              <w:tc>
                <w:tcPr>
                  <w:tcW w:w="967" w:type="pct"/>
                  <w:tcBorders>
                    <w:left w:val="single" w:color="auto" w:sz="4" w:space="0"/>
                    <w:right w:val="nil"/>
                  </w:tcBorders>
                  <w:noWrap w:val="0"/>
                  <w:vAlign w:val="center"/>
                </w:tcPr>
                <w:p w14:paraId="79791EFD">
                  <w:pPr>
                    <w:adjustRightInd w:val="0"/>
                    <w:snapToGrid w:val="0"/>
                    <w:jc w:val="center"/>
                    <w:rPr>
                      <w:rFonts w:hint="eastAsia"/>
                      <w:color w:val="auto"/>
                      <w:szCs w:val="21"/>
                    </w:rPr>
                  </w:pPr>
                  <w:r>
                    <w:rPr>
                      <w:rFonts w:hint="eastAsia"/>
                      <w:color w:val="auto"/>
                      <w:szCs w:val="21"/>
                      <w:lang w:val="en-US" w:eastAsia="zh-CN"/>
                    </w:rPr>
                    <w:t>/</w:t>
                  </w:r>
                </w:p>
              </w:tc>
              <w:tc>
                <w:tcPr>
                  <w:tcW w:w="245" w:type="pct"/>
                  <w:vMerge w:val="continue"/>
                  <w:tcBorders>
                    <w:left w:val="single" w:color="auto" w:sz="4" w:space="0"/>
                    <w:right w:val="nil"/>
                  </w:tcBorders>
                  <w:noWrap w:val="0"/>
                  <w:vAlign w:val="center"/>
                </w:tcPr>
                <w:p w14:paraId="06FDE7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bl>
          <w:p w14:paraId="082E4082">
            <w:pPr>
              <w:widowControl/>
              <w:adjustRightInd w:val="0"/>
              <w:snapToGrid w:val="0"/>
              <w:spacing w:before="120" w:beforeLines="50" w:line="360" w:lineRule="auto"/>
              <w:jc w:val="left"/>
              <w:rPr>
                <w:b/>
                <w:color w:val="auto"/>
                <w:kern w:val="0"/>
                <w:sz w:val="24"/>
              </w:rPr>
            </w:pPr>
            <w:r>
              <w:rPr>
                <w:b/>
                <w:color w:val="auto"/>
                <w:kern w:val="0"/>
                <w:sz w:val="24"/>
              </w:rPr>
              <w:t>5.</w:t>
            </w:r>
            <w:r>
              <w:rPr>
                <w:rFonts w:hAnsi="宋体"/>
                <w:b/>
                <w:color w:val="auto"/>
                <w:kern w:val="0"/>
                <w:sz w:val="24"/>
              </w:rPr>
              <w:t>公用及辅助工程</w:t>
            </w:r>
          </w:p>
          <w:p w14:paraId="343DCF08">
            <w:pPr>
              <w:autoSpaceDE w:val="0"/>
              <w:autoSpaceDN w:val="0"/>
              <w:adjustRightInd w:val="0"/>
              <w:snapToGrid w:val="0"/>
              <w:spacing w:line="360" w:lineRule="auto"/>
              <w:ind w:firstLine="480" w:firstLineChars="200"/>
              <w:jc w:val="left"/>
              <w:rPr>
                <w:color w:val="auto"/>
                <w:kern w:val="0"/>
                <w:sz w:val="24"/>
              </w:rPr>
            </w:pPr>
            <w:r>
              <w:rPr>
                <w:rFonts w:hAnsi="宋体"/>
                <w:color w:val="auto"/>
                <w:kern w:val="0"/>
                <w:sz w:val="24"/>
              </w:rPr>
              <w:t>项目主体工程、公用工程及辅助工程见表</w:t>
            </w:r>
            <w:r>
              <w:rPr>
                <w:color w:val="auto"/>
                <w:kern w:val="0"/>
                <w:sz w:val="24"/>
              </w:rPr>
              <w:t>2-</w:t>
            </w:r>
            <w:r>
              <w:rPr>
                <w:rFonts w:hint="eastAsia"/>
                <w:color w:val="auto"/>
                <w:kern w:val="0"/>
                <w:sz w:val="24"/>
                <w:lang w:val="en-US" w:eastAsia="zh-CN"/>
              </w:rPr>
              <w:t>6</w:t>
            </w:r>
            <w:r>
              <w:rPr>
                <w:rFonts w:hAnsi="宋体"/>
                <w:color w:val="auto"/>
                <w:kern w:val="0"/>
                <w:sz w:val="24"/>
              </w:rPr>
              <w:t>。</w:t>
            </w:r>
          </w:p>
          <w:p w14:paraId="0E46C763">
            <w:pPr>
              <w:widowControl/>
              <w:autoSpaceDE w:val="0"/>
              <w:autoSpaceDN w:val="0"/>
              <w:adjustRightInd w:val="0"/>
              <w:snapToGrid w:val="0"/>
              <w:jc w:val="center"/>
              <w:rPr>
                <w:rFonts w:hAnsi="宋体"/>
                <w:b/>
                <w:color w:val="auto"/>
                <w:kern w:val="0"/>
                <w:sz w:val="24"/>
              </w:rPr>
            </w:pPr>
            <w:r>
              <w:rPr>
                <w:rFonts w:hAnsi="宋体"/>
                <w:b/>
                <w:color w:val="auto"/>
                <w:kern w:val="0"/>
                <w:sz w:val="24"/>
              </w:rPr>
              <w:t>表</w:t>
            </w:r>
            <w:r>
              <w:rPr>
                <w:b/>
                <w:color w:val="auto"/>
                <w:kern w:val="0"/>
                <w:sz w:val="24"/>
              </w:rPr>
              <w:t>2-</w:t>
            </w:r>
            <w:r>
              <w:rPr>
                <w:rFonts w:hint="eastAsia"/>
                <w:b/>
                <w:color w:val="auto"/>
                <w:kern w:val="0"/>
                <w:sz w:val="24"/>
                <w:lang w:val="en-US" w:eastAsia="zh-CN"/>
              </w:rPr>
              <w:t xml:space="preserve">6  </w:t>
            </w:r>
            <w:r>
              <w:rPr>
                <w:rFonts w:hAnsi="宋体"/>
                <w:b/>
                <w:color w:val="auto"/>
                <w:kern w:val="0"/>
                <w:sz w:val="24"/>
                <w:lang w:val="zh-CN"/>
              </w:rPr>
              <w:t>项目</w:t>
            </w:r>
            <w:r>
              <w:rPr>
                <w:rFonts w:hAnsi="宋体"/>
                <w:b/>
                <w:color w:val="auto"/>
                <w:kern w:val="0"/>
                <w:sz w:val="24"/>
              </w:rPr>
              <w:t>公用与辅助工程一览表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98"/>
              <w:gridCol w:w="576"/>
              <w:gridCol w:w="724"/>
              <w:gridCol w:w="1424"/>
              <w:gridCol w:w="1399"/>
              <w:gridCol w:w="1532"/>
              <w:gridCol w:w="1729"/>
            </w:tblGrid>
            <w:tr w14:paraId="3172F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436" w:type="pct"/>
                  <w:tcBorders>
                    <w:top w:val="single" w:color="auto" w:sz="12" w:space="0"/>
                    <w:bottom w:val="single" w:color="auto" w:sz="12" w:space="0"/>
                  </w:tcBorders>
                  <w:vAlign w:val="center"/>
                </w:tcPr>
                <w:p w14:paraId="1A30696F">
                  <w:pPr>
                    <w:pStyle w:val="130"/>
                    <w:spacing w:line="240" w:lineRule="auto"/>
                    <w:rPr>
                      <w:rFonts w:ascii="Times New Roman" w:hAnsi="Times New Roman" w:eastAsia="宋体" w:cs="Times New Roman"/>
                      <w:b/>
                      <w:color w:val="auto"/>
                    </w:rPr>
                  </w:pPr>
                  <w:r>
                    <w:rPr>
                      <w:rFonts w:ascii="Times New Roman" w:hAnsi="Times New Roman" w:eastAsia="宋体" w:cs="Times New Roman"/>
                      <w:b/>
                      <w:color w:val="auto"/>
                    </w:rPr>
                    <w:t>类别</w:t>
                  </w:r>
                </w:p>
              </w:tc>
              <w:tc>
                <w:tcPr>
                  <w:tcW w:w="949" w:type="pct"/>
                  <w:gridSpan w:val="3"/>
                  <w:tcBorders>
                    <w:top w:val="single" w:color="auto" w:sz="12" w:space="0"/>
                    <w:bottom w:val="single" w:color="auto" w:sz="12" w:space="0"/>
                  </w:tcBorders>
                  <w:vAlign w:val="center"/>
                </w:tcPr>
                <w:p w14:paraId="3DE0EE70">
                  <w:pPr>
                    <w:pStyle w:val="130"/>
                    <w:spacing w:line="240" w:lineRule="auto"/>
                    <w:rPr>
                      <w:rFonts w:ascii="Times New Roman" w:hAnsi="Times New Roman" w:eastAsia="宋体" w:cs="Times New Roman"/>
                      <w:b/>
                      <w:color w:val="auto"/>
                    </w:rPr>
                  </w:pPr>
                  <w:r>
                    <w:rPr>
                      <w:rFonts w:ascii="Times New Roman" w:hAnsi="Times New Roman" w:eastAsia="宋体" w:cs="Times New Roman"/>
                      <w:b/>
                      <w:color w:val="auto"/>
                    </w:rPr>
                    <w:t>建设名称</w:t>
                  </w:r>
                </w:p>
              </w:tc>
              <w:tc>
                <w:tcPr>
                  <w:tcW w:w="846" w:type="pct"/>
                  <w:tcBorders>
                    <w:top w:val="single" w:color="auto" w:sz="12" w:space="0"/>
                    <w:bottom w:val="single" w:color="auto" w:sz="12" w:space="0"/>
                  </w:tcBorders>
                  <w:vAlign w:val="center"/>
                </w:tcPr>
                <w:p w14:paraId="1E082504">
                  <w:pPr>
                    <w:pStyle w:val="130"/>
                    <w:spacing w:line="240" w:lineRule="auto"/>
                    <w:rPr>
                      <w:rFonts w:ascii="Times New Roman" w:hAnsi="Times New Roman" w:eastAsia="宋体" w:cs="Times New Roman"/>
                      <w:b/>
                      <w:color w:val="auto"/>
                    </w:rPr>
                  </w:pPr>
                  <w:r>
                    <w:rPr>
                      <w:rFonts w:hint="eastAsia" w:ascii="Times New Roman" w:hAnsi="Times New Roman" w:eastAsia="宋体" w:cs="Times New Roman"/>
                      <w:b/>
                      <w:color w:val="auto"/>
                      <w:lang w:eastAsia="zh-CN"/>
                    </w:rPr>
                    <w:t>扩建前</w:t>
                  </w:r>
                  <w:r>
                    <w:rPr>
                      <w:rFonts w:ascii="Times New Roman" w:hAnsi="Times New Roman" w:eastAsia="宋体" w:cs="Times New Roman"/>
                      <w:b/>
                      <w:color w:val="auto"/>
                    </w:rPr>
                    <w:t>设计能力</w:t>
                  </w:r>
                </w:p>
              </w:tc>
              <w:tc>
                <w:tcPr>
                  <w:tcW w:w="831" w:type="pct"/>
                  <w:tcBorders>
                    <w:top w:val="single" w:color="auto" w:sz="12" w:space="0"/>
                    <w:bottom w:val="single" w:color="auto" w:sz="12" w:space="0"/>
                  </w:tcBorders>
                  <w:vAlign w:val="center"/>
                </w:tcPr>
                <w:p w14:paraId="7B86FDC9">
                  <w:pPr>
                    <w:pStyle w:val="130"/>
                    <w:spacing w:line="240" w:lineRule="auto"/>
                    <w:rPr>
                      <w:rFonts w:hint="eastAsia" w:ascii="Times New Roman" w:hAnsi="Times New Roman" w:eastAsia="宋体" w:cs="Times New Roman"/>
                      <w:b/>
                      <w:color w:val="auto"/>
                      <w:lang w:eastAsia="zh-CN"/>
                    </w:rPr>
                  </w:pPr>
                  <w:r>
                    <w:rPr>
                      <w:rFonts w:hint="eastAsia" w:ascii="Times New Roman" w:hAnsi="Times New Roman" w:eastAsia="宋体" w:cs="Times New Roman"/>
                      <w:b/>
                      <w:color w:val="auto"/>
                      <w:lang w:eastAsia="zh-CN"/>
                    </w:rPr>
                    <w:t>扩建后全厂设计能力</w:t>
                  </w:r>
                </w:p>
              </w:tc>
              <w:tc>
                <w:tcPr>
                  <w:tcW w:w="910" w:type="pct"/>
                  <w:tcBorders>
                    <w:top w:val="single" w:color="auto" w:sz="12" w:space="0"/>
                    <w:bottom w:val="single" w:color="auto" w:sz="12" w:space="0"/>
                  </w:tcBorders>
                  <w:vAlign w:val="center"/>
                </w:tcPr>
                <w:p w14:paraId="0B7C0CE8">
                  <w:pPr>
                    <w:pStyle w:val="130"/>
                    <w:spacing w:line="240" w:lineRule="auto"/>
                    <w:rPr>
                      <w:rFonts w:hint="eastAsia" w:ascii="Times New Roman" w:hAnsi="Times New Roman" w:eastAsia="宋体" w:cs="Times New Roman"/>
                      <w:b/>
                      <w:color w:val="auto"/>
                      <w:lang w:eastAsia="zh-CN"/>
                    </w:rPr>
                  </w:pPr>
                  <w:r>
                    <w:rPr>
                      <w:rFonts w:hint="eastAsia" w:ascii="Times New Roman" w:hAnsi="Times New Roman" w:cs="Times New Roman"/>
                      <w:b/>
                      <w:color w:val="auto"/>
                      <w:lang w:eastAsia="zh-CN"/>
                    </w:rPr>
                    <w:t>变化情况</w:t>
                  </w:r>
                </w:p>
              </w:tc>
              <w:tc>
                <w:tcPr>
                  <w:tcW w:w="1027" w:type="pct"/>
                  <w:tcBorders>
                    <w:top w:val="single" w:color="auto" w:sz="12" w:space="0"/>
                    <w:bottom w:val="single" w:color="auto" w:sz="12" w:space="0"/>
                  </w:tcBorders>
                  <w:vAlign w:val="center"/>
                </w:tcPr>
                <w:p w14:paraId="7BAFF923">
                  <w:pPr>
                    <w:pStyle w:val="130"/>
                    <w:spacing w:line="240" w:lineRule="auto"/>
                    <w:rPr>
                      <w:rFonts w:ascii="Times New Roman" w:hAnsi="Times New Roman" w:eastAsia="宋体" w:cs="Times New Roman"/>
                      <w:b/>
                      <w:color w:val="auto"/>
                    </w:rPr>
                  </w:pPr>
                  <w:r>
                    <w:rPr>
                      <w:rFonts w:ascii="Times New Roman" w:hAnsi="Times New Roman" w:eastAsia="宋体" w:cs="Times New Roman"/>
                      <w:b/>
                      <w:color w:val="auto"/>
                    </w:rPr>
                    <w:t>备注</w:t>
                  </w:r>
                </w:p>
              </w:tc>
            </w:tr>
            <w:tr w14:paraId="70D61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36" w:type="pct"/>
                  <w:vMerge w:val="restart"/>
                  <w:tcBorders>
                    <w:top w:val="single" w:color="auto" w:sz="12" w:space="0"/>
                  </w:tcBorders>
                  <w:vAlign w:val="center"/>
                </w:tcPr>
                <w:p w14:paraId="6A59B2EC">
                  <w:pPr>
                    <w:pStyle w:val="130"/>
                    <w:spacing w:line="240" w:lineRule="auto"/>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主体工程</w:t>
                  </w:r>
                </w:p>
              </w:tc>
              <w:tc>
                <w:tcPr>
                  <w:tcW w:w="949" w:type="pct"/>
                  <w:gridSpan w:val="3"/>
                  <w:tcBorders>
                    <w:top w:val="single" w:color="auto" w:sz="12" w:space="0"/>
                    <w:bottom w:val="single" w:color="auto" w:sz="4" w:space="0"/>
                  </w:tcBorders>
                  <w:vAlign w:val="center"/>
                </w:tcPr>
                <w:p w14:paraId="195C3056">
                  <w:pPr>
                    <w:pStyle w:val="130"/>
                    <w:spacing w:line="240" w:lineRule="auto"/>
                    <w:rPr>
                      <w:rFonts w:hint="eastAsia" w:ascii="Times New Roman" w:hAnsi="Times New Roman" w:eastAsia="宋体" w:cs="Times New Roman"/>
                      <w:color w:val="auto"/>
                      <w:lang w:eastAsia="zh-CN"/>
                    </w:rPr>
                  </w:pPr>
                  <w:r>
                    <w:rPr>
                      <w:rFonts w:ascii="Times New Roman" w:hAnsi="Times New Roman" w:eastAsia="宋体" w:cs="Times New Roman"/>
                      <w:color w:val="auto"/>
                    </w:rPr>
                    <w:t>调味冷冻蔬菜</w:t>
                  </w:r>
                  <w:r>
                    <w:rPr>
                      <w:rFonts w:hint="eastAsia" w:ascii="Times New Roman" w:hAnsi="Times New Roman" w:eastAsia="宋体" w:cs="Times New Roman"/>
                      <w:color w:val="auto"/>
                      <w:lang w:eastAsia="zh-CN"/>
                    </w:rPr>
                    <w:t>一车间</w:t>
                  </w:r>
                </w:p>
              </w:tc>
              <w:tc>
                <w:tcPr>
                  <w:tcW w:w="846" w:type="pct"/>
                  <w:tcBorders>
                    <w:top w:val="single" w:color="auto" w:sz="12" w:space="0"/>
                    <w:bottom w:val="single" w:color="auto" w:sz="4" w:space="0"/>
                  </w:tcBorders>
                  <w:vAlign w:val="center"/>
                </w:tcPr>
                <w:p w14:paraId="2297890B">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480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831" w:type="pct"/>
                  <w:tcBorders>
                    <w:top w:val="single" w:color="auto" w:sz="12" w:space="0"/>
                    <w:bottom w:val="single" w:color="auto" w:sz="4" w:space="0"/>
                  </w:tcBorders>
                  <w:shd w:val="clear" w:color="auto" w:fill="auto"/>
                  <w:vAlign w:val="center"/>
                </w:tcPr>
                <w:p w14:paraId="1B7CBDDC">
                  <w:pPr>
                    <w:pStyle w:val="130"/>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480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910" w:type="pct"/>
                  <w:tcBorders>
                    <w:top w:val="single" w:color="auto" w:sz="12" w:space="0"/>
                    <w:bottom w:val="single" w:color="auto" w:sz="4" w:space="0"/>
                  </w:tcBorders>
                  <w:vAlign w:val="center"/>
                </w:tcPr>
                <w:p w14:paraId="4C76FFC7">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w:t>
                  </w:r>
                </w:p>
              </w:tc>
              <w:tc>
                <w:tcPr>
                  <w:tcW w:w="1027" w:type="pct"/>
                  <w:tcBorders>
                    <w:top w:val="single" w:color="auto" w:sz="12" w:space="0"/>
                    <w:bottom w:val="single" w:color="auto" w:sz="4" w:space="0"/>
                  </w:tcBorders>
                  <w:vAlign w:val="center"/>
                </w:tcPr>
                <w:p w14:paraId="1276878F">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lang w:eastAsia="zh-CN"/>
                    </w:rPr>
                    <w:t>本期扩建不涉及一期现有项目</w:t>
                  </w:r>
                </w:p>
              </w:tc>
            </w:tr>
            <w:tr w14:paraId="6EA82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tblHeader/>
                <w:jc w:val="center"/>
              </w:trPr>
              <w:tc>
                <w:tcPr>
                  <w:tcW w:w="436" w:type="pct"/>
                  <w:vMerge w:val="continue"/>
                  <w:vAlign w:val="center"/>
                </w:tcPr>
                <w:p w14:paraId="484C39C4">
                  <w:pPr>
                    <w:pStyle w:val="130"/>
                    <w:spacing w:line="240" w:lineRule="auto"/>
                    <w:rPr>
                      <w:rFonts w:ascii="Times New Roman" w:hAnsi="Times New Roman" w:eastAsia="宋体" w:cs="Times New Roman"/>
                      <w:color w:val="auto"/>
                    </w:rPr>
                  </w:pPr>
                </w:p>
              </w:tc>
              <w:tc>
                <w:tcPr>
                  <w:tcW w:w="949" w:type="pct"/>
                  <w:gridSpan w:val="3"/>
                  <w:tcBorders>
                    <w:top w:val="single" w:color="auto" w:sz="4" w:space="0"/>
                    <w:bottom w:val="single" w:color="auto" w:sz="4" w:space="0"/>
                  </w:tcBorders>
                  <w:vAlign w:val="center"/>
                </w:tcPr>
                <w:p w14:paraId="00E79B6E">
                  <w:pPr>
                    <w:pStyle w:val="130"/>
                    <w:spacing w:line="240" w:lineRule="auto"/>
                    <w:rPr>
                      <w:rFonts w:hint="eastAsia" w:ascii="Times New Roman" w:hAnsi="Times New Roman" w:eastAsia="宋体" w:cs="Times New Roman"/>
                      <w:color w:val="auto"/>
                      <w:lang w:eastAsia="zh-CN"/>
                    </w:rPr>
                  </w:pPr>
                  <w:r>
                    <w:rPr>
                      <w:rFonts w:ascii="Times New Roman" w:hAnsi="Times New Roman" w:eastAsia="宋体" w:cs="Times New Roman"/>
                      <w:color w:val="auto"/>
                    </w:rPr>
                    <w:t>冷冻食用菌</w:t>
                  </w:r>
                  <w:r>
                    <w:rPr>
                      <w:rFonts w:hint="eastAsia" w:ascii="Times New Roman" w:hAnsi="Times New Roman" w:eastAsia="宋体" w:cs="Times New Roman"/>
                      <w:color w:val="auto"/>
                      <w:lang w:eastAsia="zh-CN"/>
                    </w:rPr>
                    <w:t>二车间</w:t>
                  </w:r>
                </w:p>
              </w:tc>
              <w:tc>
                <w:tcPr>
                  <w:tcW w:w="846" w:type="pct"/>
                  <w:tcBorders>
                    <w:top w:val="single" w:color="auto" w:sz="4" w:space="0"/>
                    <w:bottom w:val="single" w:color="auto" w:sz="4" w:space="0"/>
                  </w:tcBorders>
                  <w:vAlign w:val="center"/>
                </w:tcPr>
                <w:p w14:paraId="63D3339E">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720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831" w:type="pct"/>
                  <w:tcBorders>
                    <w:top w:val="single" w:color="auto" w:sz="4" w:space="0"/>
                    <w:bottom w:val="single" w:color="auto" w:sz="4" w:space="0"/>
                  </w:tcBorders>
                  <w:shd w:val="clear" w:color="auto" w:fill="auto"/>
                  <w:vAlign w:val="center"/>
                </w:tcPr>
                <w:p w14:paraId="0CD7F8DF">
                  <w:pPr>
                    <w:pStyle w:val="130"/>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720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910" w:type="pct"/>
                  <w:tcBorders>
                    <w:top w:val="single" w:color="auto" w:sz="4" w:space="0"/>
                    <w:bottom w:val="single" w:color="auto" w:sz="4" w:space="0"/>
                  </w:tcBorders>
                  <w:vAlign w:val="center"/>
                </w:tcPr>
                <w:p w14:paraId="046FD755">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1027" w:type="pct"/>
                  <w:tcBorders>
                    <w:top w:val="single" w:color="auto" w:sz="4" w:space="0"/>
                    <w:bottom w:val="single" w:color="auto" w:sz="4" w:space="0"/>
                  </w:tcBorders>
                  <w:vAlign w:val="center"/>
                </w:tcPr>
                <w:p w14:paraId="05C43998">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lang w:eastAsia="zh-CN"/>
                    </w:rPr>
                    <w:t>本期扩建不涉及一期现有项目</w:t>
                  </w:r>
                </w:p>
              </w:tc>
            </w:tr>
            <w:tr w14:paraId="497A1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436" w:type="pct"/>
                  <w:vMerge w:val="continue"/>
                  <w:vAlign w:val="center"/>
                </w:tcPr>
                <w:p w14:paraId="5E1CA4D7">
                  <w:pPr>
                    <w:pStyle w:val="130"/>
                    <w:spacing w:line="240" w:lineRule="auto"/>
                    <w:rPr>
                      <w:rFonts w:ascii="Times New Roman" w:hAnsi="Times New Roman" w:eastAsia="宋体" w:cs="Times New Roman"/>
                      <w:color w:val="auto"/>
                    </w:rPr>
                  </w:pPr>
                </w:p>
              </w:tc>
              <w:tc>
                <w:tcPr>
                  <w:tcW w:w="949" w:type="pct"/>
                  <w:gridSpan w:val="3"/>
                  <w:tcBorders>
                    <w:top w:val="single" w:color="auto" w:sz="4" w:space="0"/>
                    <w:bottom w:val="single" w:color="auto" w:sz="4" w:space="0"/>
                  </w:tcBorders>
                  <w:vAlign w:val="center"/>
                </w:tcPr>
                <w:p w14:paraId="3DCA6377">
                  <w:pPr>
                    <w:pStyle w:val="130"/>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二期生产车间</w:t>
                  </w:r>
                </w:p>
              </w:tc>
              <w:tc>
                <w:tcPr>
                  <w:tcW w:w="846" w:type="pct"/>
                  <w:tcBorders>
                    <w:top w:val="single" w:color="auto" w:sz="4" w:space="0"/>
                    <w:bottom w:val="single" w:color="auto" w:sz="4" w:space="0"/>
                  </w:tcBorders>
                  <w:shd w:val="clear" w:color="auto" w:fill="auto"/>
                  <w:vAlign w:val="center"/>
                </w:tcPr>
                <w:p w14:paraId="723AFE4F">
                  <w:pPr>
                    <w:pStyle w:val="130"/>
                    <w:spacing w:line="240" w:lineRule="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生产</w:t>
                  </w:r>
                  <w:r>
                    <w:rPr>
                      <w:rFonts w:hint="eastAsia" w:ascii="Times New Roman" w:hAnsi="Times New Roman" w:eastAsia="宋体" w:cs="Times New Roman"/>
                      <w:color w:val="auto"/>
                      <w:lang w:eastAsia="zh-CN"/>
                    </w:rPr>
                    <w:t>冷库</w:t>
                  </w:r>
                  <w:r>
                    <w:rPr>
                      <w:rFonts w:hint="default" w:ascii="Times New Roman" w:hAnsi="Times New Roman" w:eastAsia="宋体" w:cs="Times New Roman"/>
                      <w:color w:val="auto"/>
                    </w:rPr>
                    <w:t>及附属设施</w:t>
                  </w:r>
                  <w:r>
                    <w:rPr>
                      <w:rFonts w:hint="default" w:ascii="Times New Roman" w:hAnsi="Times New Roman" w:eastAsia="宋体" w:cs="Times New Roman"/>
                      <w:color w:val="auto"/>
                      <w:lang w:val="en-US" w:eastAsia="zh-CN"/>
                    </w:rPr>
                    <w:t>3层</w:t>
                  </w:r>
                  <w:r>
                    <w:rPr>
                      <w:rFonts w:hint="default" w:ascii="Times New Roman" w:hAnsi="Times New Roman" w:eastAsia="宋体" w:cs="Times New Roman"/>
                      <w:color w:val="auto"/>
                    </w:rPr>
                    <w:t>建筑面积</w:t>
                  </w:r>
                  <w:r>
                    <w:rPr>
                      <w:rFonts w:hint="eastAsia" w:ascii="Times New Roman" w:hAnsi="Times New Roman" w:eastAsia="宋体" w:cs="Times New Roman"/>
                      <w:color w:val="auto"/>
                      <w:lang w:val="en-US" w:eastAsia="zh-CN"/>
                    </w:rPr>
                    <w:t>25520.61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831" w:type="pct"/>
                  <w:tcBorders>
                    <w:top w:val="single" w:color="auto" w:sz="4" w:space="0"/>
                    <w:bottom w:val="single" w:color="auto" w:sz="4" w:space="0"/>
                  </w:tcBorders>
                  <w:shd w:val="clear" w:color="auto" w:fill="auto"/>
                  <w:vAlign w:val="center"/>
                </w:tcPr>
                <w:p w14:paraId="462EB18C">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25520.61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910" w:type="pct"/>
                  <w:tcBorders>
                    <w:top w:val="single" w:color="auto" w:sz="4" w:space="0"/>
                    <w:bottom w:val="single" w:color="auto" w:sz="4" w:space="0"/>
                  </w:tcBorders>
                  <w:shd w:val="clear" w:color="auto" w:fill="auto"/>
                  <w:vAlign w:val="center"/>
                </w:tcPr>
                <w:p w14:paraId="2A2CBEF9">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p>
              </w:tc>
              <w:tc>
                <w:tcPr>
                  <w:tcW w:w="1027" w:type="pct"/>
                  <w:tcBorders>
                    <w:top w:val="single" w:color="auto" w:sz="4" w:space="0"/>
                    <w:bottom w:val="single" w:color="auto" w:sz="4" w:space="0"/>
                  </w:tcBorders>
                  <w:vAlign w:val="center"/>
                </w:tcPr>
                <w:p w14:paraId="7EDF1C2B">
                  <w:pPr>
                    <w:pStyle w:val="130"/>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本期扩建不涉及二期项目</w:t>
                  </w:r>
                </w:p>
              </w:tc>
            </w:tr>
            <w:tr w14:paraId="0A4AB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436" w:type="pct"/>
                  <w:vMerge w:val="continue"/>
                  <w:vAlign w:val="center"/>
                </w:tcPr>
                <w:p w14:paraId="0B90AA63">
                  <w:pPr>
                    <w:pStyle w:val="130"/>
                    <w:spacing w:line="240" w:lineRule="auto"/>
                    <w:rPr>
                      <w:rFonts w:hint="default" w:ascii="Times New Roman" w:hAnsi="Times New Roman" w:eastAsia="宋体" w:cs="Times New Roman"/>
                      <w:color w:val="auto"/>
                      <w:lang w:val="en-US"/>
                    </w:rPr>
                  </w:pPr>
                </w:p>
              </w:tc>
              <w:tc>
                <w:tcPr>
                  <w:tcW w:w="949" w:type="pct"/>
                  <w:gridSpan w:val="3"/>
                  <w:tcBorders>
                    <w:top w:val="single" w:color="auto" w:sz="4" w:space="0"/>
                    <w:bottom w:val="single" w:color="auto" w:sz="4" w:space="0"/>
                  </w:tcBorders>
                  <w:vAlign w:val="center"/>
                </w:tcPr>
                <w:p w14:paraId="131B214B">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杀菌车间</w:t>
                  </w:r>
                </w:p>
              </w:tc>
              <w:tc>
                <w:tcPr>
                  <w:tcW w:w="846" w:type="pct"/>
                  <w:tcBorders>
                    <w:top w:val="single" w:color="auto" w:sz="4" w:space="0"/>
                    <w:bottom w:val="single" w:color="auto" w:sz="4" w:space="0"/>
                  </w:tcBorders>
                  <w:vAlign w:val="center"/>
                </w:tcPr>
                <w:p w14:paraId="6860654C">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1740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831" w:type="pct"/>
                  <w:tcBorders>
                    <w:top w:val="single" w:color="auto" w:sz="4" w:space="0"/>
                    <w:bottom w:val="single" w:color="auto" w:sz="4" w:space="0"/>
                  </w:tcBorders>
                  <w:vAlign w:val="center"/>
                </w:tcPr>
                <w:p w14:paraId="4178A0AE">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1740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910" w:type="pct"/>
                  <w:tcBorders>
                    <w:top w:val="single" w:color="auto" w:sz="4" w:space="0"/>
                    <w:bottom w:val="single" w:color="auto" w:sz="4" w:space="0"/>
                  </w:tcBorders>
                  <w:vAlign w:val="center"/>
                </w:tcPr>
                <w:p w14:paraId="4FB71915">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w:t>
                  </w:r>
                </w:p>
              </w:tc>
              <w:tc>
                <w:tcPr>
                  <w:tcW w:w="1027" w:type="pct"/>
                  <w:tcBorders>
                    <w:top w:val="single" w:color="auto" w:sz="4" w:space="0"/>
                    <w:bottom w:val="single" w:color="auto" w:sz="4" w:space="0"/>
                  </w:tcBorders>
                  <w:vAlign w:val="center"/>
                </w:tcPr>
                <w:p w14:paraId="0777A5B6">
                  <w:pPr>
                    <w:pStyle w:val="130"/>
                    <w:spacing w:line="240" w:lineRule="auto"/>
                    <w:rPr>
                      <w:rFonts w:hint="default" w:ascii="Times New Roman" w:hAnsi="Times New Roman" w:eastAsia="宋体" w:cs="Times New Roman"/>
                      <w:color w:val="auto"/>
                      <w:lang w:val="en-US"/>
                    </w:rPr>
                  </w:pPr>
                  <w:r>
                    <w:rPr>
                      <w:rFonts w:hint="eastAsia" w:ascii="Times New Roman" w:hAnsi="Times New Roman" w:cs="Times New Roman"/>
                      <w:color w:val="auto"/>
                      <w:lang w:val="en-US" w:eastAsia="zh-CN"/>
                    </w:rPr>
                    <w:t>依托现有</w:t>
                  </w:r>
                </w:p>
              </w:tc>
            </w:tr>
            <w:tr w14:paraId="2F5C8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436" w:type="pct"/>
                  <w:vMerge w:val="continue"/>
                  <w:vAlign w:val="center"/>
                </w:tcPr>
                <w:p w14:paraId="53B768DB">
                  <w:pPr>
                    <w:pStyle w:val="130"/>
                    <w:spacing w:line="240" w:lineRule="auto"/>
                    <w:rPr>
                      <w:rFonts w:hint="default" w:ascii="Times New Roman" w:hAnsi="Times New Roman" w:eastAsia="宋体" w:cs="Times New Roman"/>
                      <w:color w:val="auto"/>
                      <w:lang w:val="en-US"/>
                    </w:rPr>
                  </w:pPr>
                </w:p>
              </w:tc>
              <w:tc>
                <w:tcPr>
                  <w:tcW w:w="949" w:type="pct"/>
                  <w:gridSpan w:val="3"/>
                  <w:tcBorders>
                    <w:top w:val="single" w:color="auto" w:sz="4" w:space="0"/>
                    <w:bottom w:val="single" w:color="auto" w:sz="4" w:space="0"/>
                  </w:tcBorders>
                  <w:vAlign w:val="center"/>
                </w:tcPr>
                <w:p w14:paraId="69D9827C">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裙带菜</w:t>
                  </w:r>
                  <w:r>
                    <w:rPr>
                      <w:rFonts w:hint="eastAsia" w:ascii="Times New Roman" w:hAnsi="Times New Roman" w:cs="Times New Roman"/>
                      <w:color w:val="auto"/>
                      <w:lang w:eastAsia="zh-CN"/>
                    </w:rPr>
                    <w:t>三</w:t>
                  </w:r>
                  <w:r>
                    <w:rPr>
                      <w:rFonts w:hint="eastAsia" w:ascii="Times New Roman" w:hAnsi="Times New Roman" w:eastAsia="宋体" w:cs="Times New Roman"/>
                      <w:color w:val="auto"/>
                      <w:lang w:eastAsia="zh-CN"/>
                    </w:rPr>
                    <w:t>车间</w:t>
                  </w:r>
                </w:p>
              </w:tc>
              <w:tc>
                <w:tcPr>
                  <w:tcW w:w="846" w:type="pct"/>
                  <w:tcBorders>
                    <w:top w:val="single" w:color="auto" w:sz="4" w:space="0"/>
                    <w:bottom w:val="single" w:color="auto" w:sz="4" w:space="0"/>
                  </w:tcBorders>
                  <w:vAlign w:val="center"/>
                </w:tcPr>
                <w:p w14:paraId="0C709138">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w:t>
                  </w:r>
                </w:p>
              </w:tc>
              <w:tc>
                <w:tcPr>
                  <w:tcW w:w="831" w:type="pct"/>
                  <w:tcBorders>
                    <w:top w:val="single" w:color="auto" w:sz="4" w:space="0"/>
                    <w:bottom w:val="single" w:color="auto" w:sz="4" w:space="0"/>
                  </w:tcBorders>
                  <w:vAlign w:val="center"/>
                </w:tcPr>
                <w:p w14:paraId="21E381E8">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285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910" w:type="pct"/>
                  <w:tcBorders>
                    <w:top w:val="single" w:color="auto" w:sz="4" w:space="0"/>
                    <w:bottom w:val="single" w:color="auto" w:sz="4" w:space="0"/>
                  </w:tcBorders>
                  <w:vAlign w:val="center"/>
                </w:tcPr>
                <w:p w14:paraId="49B8231F">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+285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27" w:type="pct"/>
                  <w:vMerge w:val="restart"/>
                  <w:tcBorders>
                    <w:top w:val="single" w:color="auto" w:sz="4" w:space="0"/>
                  </w:tcBorders>
                  <w:vAlign w:val="center"/>
                </w:tcPr>
                <w:p w14:paraId="0EBEFE25">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本次扩建项目位于一期厂区预留区域</w:t>
                  </w:r>
                </w:p>
              </w:tc>
            </w:tr>
            <w:tr w14:paraId="0411C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436" w:type="pct"/>
                  <w:vMerge w:val="continue"/>
                  <w:vAlign w:val="center"/>
                </w:tcPr>
                <w:p w14:paraId="14BC11D7">
                  <w:pPr>
                    <w:pStyle w:val="130"/>
                    <w:spacing w:line="240" w:lineRule="auto"/>
                    <w:rPr>
                      <w:rFonts w:hint="default" w:ascii="Times New Roman" w:hAnsi="Times New Roman" w:eastAsia="宋体" w:cs="Times New Roman"/>
                      <w:color w:val="auto"/>
                      <w:lang w:val="en-US"/>
                    </w:rPr>
                  </w:pPr>
                </w:p>
              </w:tc>
              <w:tc>
                <w:tcPr>
                  <w:tcW w:w="949" w:type="pct"/>
                  <w:gridSpan w:val="3"/>
                  <w:tcBorders>
                    <w:top w:val="single" w:color="auto" w:sz="4" w:space="0"/>
                    <w:bottom w:val="single" w:color="auto" w:sz="4" w:space="0"/>
                  </w:tcBorders>
                  <w:vAlign w:val="center"/>
                </w:tcPr>
                <w:p w14:paraId="4CBA0D57">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鱼皮</w:t>
                  </w:r>
                  <w:r>
                    <w:rPr>
                      <w:rFonts w:hint="eastAsia" w:ascii="Times New Roman" w:hAnsi="Times New Roman" w:cs="Times New Roman"/>
                      <w:color w:val="auto"/>
                      <w:lang w:val="en-US" w:eastAsia="zh-CN"/>
                    </w:rPr>
                    <w:t>四</w:t>
                  </w:r>
                  <w:r>
                    <w:rPr>
                      <w:rFonts w:hint="eastAsia" w:ascii="Times New Roman" w:hAnsi="Times New Roman" w:eastAsia="宋体" w:cs="Times New Roman"/>
                      <w:color w:val="auto"/>
                      <w:lang w:val="en-US" w:eastAsia="zh-CN"/>
                    </w:rPr>
                    <w:t>车间</w:t>
                  </w:r>
                </w:p>
              </w:tc>
              <w:tc>
                <w:tcPr>
                  <w:tcW w:w="846" w:type="pct"/>
                  <w:tcBorders>
                    <w:top w:val="single" w:color="auto" w:sz="4" w:space="0"/>
                    <w:bottom w:val="single" w:color="auto" w:sz="4" w:space="0"/>
                  </w:tcBorders>
                  <w:vAlign w:val="center"/>
                </w:tcPr>
                <w:p w14:paraId="40377D55">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w:t>
                  </w:r>
                </w:p>
              </w:tc>
              <w:tc>
                <w:tcPr>
                  <w:tcW w:w="831" w:type="pct"/>
                  <w:tcBorders>
                    <w:top w:val="single" w:color="auto" w:sz="4" w:space="0"/>
                    <w:bottom w:val="single" w:color="auto" w:sz="4" w:space="0"/>
                  </w:tcBorders>
                  <w:vAlign w:val="center"/>
                </w:tcPr>
                <w:p w14:paraId="476CFD4C">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910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910" w:type="pct"/>
                  <w:tcBorders>
                    <w:top w:val="single" w:color="auto" w:sz="4" w:space="0"/>
                    <w:bottom w:val="single" w:color="auto" w:sz="4" w:space="0"/>
                  </w:tcBorders>
                  <w:vAlign w:val="center"/>
                </w:tcPr>
                <w:p w14:paraId="647BABAD">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+910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27" w:type="pct"/>
                  <w:vMerge w:val="continue"/>
                  <w:vAlign w:val="center"/>
                </w:tcPr>
                <w:p w14:paraId="553C897E">
                  <w:pPr>
                    <w:pStyle w:val="130"/>
                    <w:spacing w:line="240" w:lineRule="auto"/>
                    <w:rPr>
                      <w:rFonts w:hint="default" w:ascii="Times New Roman" w:hAnsi="Times New Roman" w:eastAsia="宋体" w:cs="Times New Roman"/>
                      <w:color w:val="auto"/>
                      <w:lang w:val="en-US"/>
                    </w:rPr>
                  </w:pPr>
                </w:p>
              </w:tc>
            </w:tr>
            <w:tr w14:paraId="03513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436" w:type="pct"/>
                  <w:vMerge w:val="continue"/>
                  <w:tcBorders>
                    <w:bottom w:val="single" w:color="auto" w:sz="4" w:space="0"/>
                  </w:tcBorders>
                  <w:vAlign w:val="center"/>
                </w:tcPr>
                <w:p w14:paraId="41ACE0CF">
                  <w:pPr>
                    <w:pStyle w:val="130"/>
                    <w:spacing w:line="240" w:lineRule="auto"/>
                    <w:rPr>
                      <w:rFonts w:hint="default" w:ascii="Times New Roman" w:hAnsi="Times New Roman" w:eastAsia="宋体" w:cs="Times New Roman"/>
                      <w:color w:val="auto"/>
                      <w:lang w:val="en-US"/>
                    </w:rPr>
                  </w:pPr>
                </w:p>
              </w:tc>
              <w:tc>
                <w:tcPr>
                  <w:tcW w:w="949" w:type="pct"/>
                  <w:gridSpan w:val="3"/>
                  <w:tcBorders>
                    <w:top w:val="single" w:color="auto" w:sz="4" w:space="0"/>
                    <w:bottom w:val="single" w:color="auto" w:sz="4" w:space="0"/>
                  </w:tcBorders>
                  <w:vAlign w:val="center"/>
                </w:tcPr>
                <w:p w14:paraId="799164BD">
                  <w:pPr>
                    <w:pStyle w:val="130"/>
                    <w:spacing w:line="240" w:lineRule="auto"/>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鱼皮缓存配料间</w:t>
                  </w:r>
                </w:p>
              </w:tc>
              <w:tc>
                <w:tcPr>
                  <w:tcW w:w="846" w:type="pct"/>
                  <w:tcBorders>
                    <w:top w:val="single" w:color="auto" w:sz="4" w:space="0"/>
                    <w:bottom w:val="single" w:color="auto" w:sz="4" w:space="0"/>
                  </w:tcBorders>
                  <w:vAlign w:val="center"/>
                </w:tcPr>
                <w:p w14:paraId="16E20A1A">
                  <w:pPr>
                    <w:pStyle w:val="130"/>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831" w:type="pct"/>
                  <w:tcBorders>
                    <w:top w:val="single" w:color="auto" w:sz="4" w:space="0"/>
                    <w:bottom w:val="single" w:color="auto" w:sz="4" w:space="0"/>
                  </w:tcBorders>
                  <w:vAlign w:val="center"/>
                </w:tcPr>
                <w:p w14:paraId="74355F2A">
                  <w:pPr>
                    <w:pStyle w:val="130"/>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910" w:type="pct"/>
                  <w:tcBorders>
                    <w:top w:val="single" w:color="auto" w:sz="4" w:space="0"/>
                    <w:bottom w:val="single" w:color="auto" w:sz="4" w:space="0"/>
                  </w:tcBorders>
                  <w:vAlign w:val="center"/>
                </w:tcPr>
                <w:p w14:paraId="4F16FD4C">
                  <w:pPr>
                    <w:pStyle w:val="130"/>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027" w:type="pct"/>
                  <w:vMerge w:val="continue"/>
                  <w:tcBorders>
                    <w:bottom w:val="single" w:color="auto" w:sz="4" w:space="0"/>
                  </w:tcBorders>
                  <w:vAlign w:val="center"/>
                </w:tcPr>
                <w:p w14:paraId="1F02CFFC">
                  <w:pPr>
                    <w:pStyle w:val="130"/>
                    <w:spacing w:line="240" w:lineRule="auto"/>
                    <w:rPr>
                      <w:rFonts w:hint="eastAsia" w:ascii="Times New Roman" w:hAnsi="Times New Roman" w:cs="Times New Roman"/>
                      <w:color w:val="auto"/>
                      <w:lang w:val="en-US" w:eastAsia="zh-CN"/>
                    </w:rPr>
                  </w:pPr>
                </w:p>
              </w:tc>
            </w:tr>
            <w:tr w14:paraId="56F38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tcBorders>
                    <w:top w:val="single" w:color="auto" w:sz="4" w:space="0"/>
                    <w:bottom w:val="single" w:color="auto" w:sz="4" w:space="0"/>
                  </w:tcBorders>
                  <w:vAlign w:val="center"/>
                </w:tcPr>
                <w:p w14:paraId="2D4CB15A">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贮运工程</w:t>
                  </w:r>
                </w:p>
              </w:tc>
              <w:tc>
                <w:tcPr>
                  <w:tcW w:w="949" w:type="pct"/>
                  <w:gridSpan w:val="3"/>
                  <w:tcBorders>
                    <w:top w:val="single" w:color="auto" w:sz="4" w:space="0"/>
                    <w:bottom w:val="single" w:color="auto" w:sz="4" w:space="0"/>
                  </w:tcBorders>
                  <w:vAlign w:val="center"/>
                </w:tcPr>
                <w:p w14:paraId="405D3B77">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运输</w:t>
                  </w:r>
                </w:p>
              </w:tc>
              <w:tc>
                <w:tcPr>
                  <w:tcW w:w="846" w:type="pct"/>
                  <w:tcBorders>
                    <w:top w:val="single" w:color="auto" w:sz="4" w:space="0"/>
                    <w:bottom w:val="single" w:color="auto" w:sz="4" w:space="0"/>
                  </w:tcBorders>
                  <w:vAlign w:val="center"/>
                </w:tcPr>
                <w:p w14:paraId="0C4788BB">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22000</w:t>
                  </w:r>
                  <w:r>
                    <w:rPr>
                      <w:rFonts w:ascii="Times New Roman" w:hAnsi="Times New Roman" w:eastAsia="宋体" w:cs="Times New Roman"/>
                      <w:color w:val="auto"/>
                    </w:rPr>
                    <w:t>t/a</w:t>
                  </w:r>
                </w:p>
              </w:tc>
              <w:tc>
                <w:tcPr>
                  <w:tcW w:w="831" w:type="pct"/>
                  <w:tcBorders>
                    <w:top w:val="single" w:color="auto" w:sz="4" w:space="0"/>
                    <w:bottom w:val="single" w:color="auto" w:sz="4" w:space="0"/>
                  </w:tcBorders>
                  <w:vAlign w:val="center"/>
                </w:tcPr>
                <w:p w14:paraId="0FF6AD4B">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ascii="Times New Roman" w:hAnsi="Times New Roman" w:cs="Times New Roman"/>
                      <w:color w:val="auto"/>
                      <w:lang w:val="en-US" w:eastAsia="zh-CN"/>
                    </w:rPr>
                    <w:t>5</w:t>
                  </w:r>
                  <w:r>
                    <w:rPr>
                      <w:rFonts w:hint="eastAsia" w:ascii="Times New Roman" w:hAnsi="Times New Roman" w:eastAsia="宋体" w:cs="Times New Roman"/>
                      <w:color w:val="auto"/>
                      <w:lang w:val="en-US" w:eastAsia="zh-CN"/>
                    </w:rPr>
                    <w:t>000</w:t>
                  </w:r>
                  <w:r>
                    <w:rPr>
                      <w:rFonts w:ascii="Times New Roman" w:hAnsi="Times New Roman" w:eastAsia="宋体" w:cs="Times New Roman"/>
                      <w:color w:val="auto"/>
                    </w:rPr>
                    <w:t>t/a</w:t>
                  </w:r>
                </w:p>
              </w:tc>
              <w:tc>
                <w:tcPr>
                  <w:tcW w:w="910" w:type="pct"/>
                  <w:tcBorders>
                    <w:top w:val="single" w:color="auto" w:sz="4" w:space="0"/>
                    <w:bottom w:val="single" w:color="auto" w:sz="4" w:space="0"/>
                  </w:tcBorders>
                  <w:vAlign w:val="center"/>
                </w:tcPr>
                <w:p w14:paraId="1F2E1731">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+3000t/a</w:t>
                  </w:r>
                </w:p>
              </w:tc>
              <w:tc>
                <w:tcPr>
                  <w:tcW w:w="1027" w:type="pct"/>
                  <w:tcBorders>
                    <w:top w:val="single" w:color="auto" w:sz="4" w:space="0"/>
                    <w:bottom w:val="single" w:color="auto" w:sz="4" w:space="0"/>
                  </w:tcBorders>
                  <w:vAlign w:val="center"/>
                </w:tcPr>
                <w:p w14:paraId="734C323B">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r w14:paraId="61B1F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36" w:type="pct"/>
                  <w:vMerge w:val="continue"/>
                  <w:tcBorders>
                    <w:top w:val="single" w:color="auto" w:sz="4" w:space="0"/>
                  </w:tcBorders>
                  <w:vAlign w:val="center"/>
                </w:tcPr>
                <w:p w14:paraId="2D76FA52">
                  <w:pPr>
                    <w:pStyle w:val="130"/>
                    <w:spacing w:line="240" w:lineRule="auto"/>
                    <w:rPr>
                      <w:rFonts w:ascii="Times New Roman" w:hAnsi="Times New Roman" w:eastAsia="宋体" w:cs="Times New Roman"/>
                      <w:color w:val="auto"/>
                    </w:rPr>
                  </w:pPr>
                </w:p>
              </w:tc>
              <w:tc>
                <w:tcPr>
                  <w:tcW w:w="949" w:type="pct"/>
                  <w:gridSpan w:val="3"/>
                  <w:tcBorders>
                    <w:top w:val="single" w:color="auto" w:sz="4" w:space="0"/>
                  </w:tcBorders>
                  <w:vAlign w:val="center"/>
                </w:tcPr>
                <w:p w14:paraId="16544FAD">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仓库</w:t>
                  </w:r>
                </w:p>
              </w:tc>
              <w:tc>
                <w:tcPr>
                  <w:tcW w:w="846" w:type="pct"/>
                  <w:tcBorders>
                    <w:top w:val="single" w:color="auto" w:sz="4" w:space="0"/>
                  </w:tcBorders>
                  <w:vAlign w:val="center"/>
                </w:tcPr>
                <w:p w14:paraId="0B2F6CAA">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3893.6m</w:t>
                  </w:r>
                  <w:r>
                    <w:rPr>
                      <w:rFonts w:ascii="Times New Roman" w:hAnsi="Times New Roman" w:eastAsia="宋体" w:cs="Times New Roman"/>
                      <w:color w:val="auto"/>
                      <w:vertAlign w:val="superscript"/>
                    </w:rPr>
                    <w:t>2</w:t>
                  </w:r>
                </w:p>
              </w:tc>
              <w:tc>
                <w:tcPr>
                  <w:tcW w:w="831" w:type="pct"/>
                  <w:tcBorders>
                    <w:top w:val="single" w:color="auto" w:sz="4" w:space="0"/>
                  </w:tcBorders>
                  <w:vAlign w:val="center"/>
                </w:tcPr>
                <w:p w14:paraId="2AE7E17F">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3893.6m</w:t>
                  </w:r>
                  <w:r>
                    <w:rPr>
                      <w:rFonts w:ascii="Times New Roman" w:hAnsi="Times New Roman" w:eastAsia="宋体" w:cs="Times New Roman"/>
                      <w:color w:val="auto"/>
                      <w:vertAlign w:val="superscript"/>
                    </w:rPr>
                    <w:t>2</w:t>
                  </w:r>
                </w:p>
              </w:tc>
              <w:tc>
                <w:tcPr>
                  <w:tcW w:w="910" w:type="pct"/>
                  <w:tcBorders>
                    <w:top w:val="single" w:color="auto" w:sz="4" w:space="0"/>
                  </w:tcBorders>
                  <w:vAlign w:val="center"/>
                </w:tcPr>
                <w:p w14:paraId="7E7853BC">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w:t>
                  </w:r>
                </w:p>
              </w:tc>
              <w:tc>
                <w:tcPr>
                  <w:tcW w:w="1027" w:type="pct"/>
                  <w:tcBorders>
                    <w:top w:val="single" w:color="auto" w:sz="4" w:space="0"/>
                  </w:tcBorders>
                  <w:vAlign w:val="center"/>
                </w:tcPr>
                <w:p w14:paraId="2B2E70EC">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依托一期现有项目冷藏库</w:t>
                  </w:r>
                </w:p>
              </w:tc>
            </w:tr>
            <w:tr w14:paraId="038E2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4B67A67A">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辅助生产设置及公用工程</w:t>
                  </w:r>
                </w:p>
              </w:tc>
              <w:tc>
                <w:tcPr>
                  <w:tcW w:w="949" w:type="pct"/>
                  <w:gridSpan w:val="3"/>
                  <w:vAlign w:val="center"/>
                </w:tcPr>
                <w:p w14:paraId="1623DD3A">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给水</w:t>
                  </w:r>
                </w:p>
              </w:tc>
              <w:tc>
                <w:tcPr>
                  <w:tcW w:w="846" w:type="pct"/>
                  <w:vAlign w:val="center"/>
                </w:tcPr>
                <w:p w14:paraId="5498E470">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331974</w:t>
                  </w:r>
                  <w:r>
                    <w:rPr>
                      <w:rFonts w:ascii="Times New Roman" w:hAnsi="Times New Roman" w:eastAsia="宋体" w:cs="Times New Roman"/>
                      <w:color w:val="auto"/>
                      <w:lang w:val="en-US"/>
                    </w:rPr>
                    <w:t>t/a</w:t>
                  </w:r>
                </w:p>
              </w:tc>
              <w:tc>
                <w:tcPr>
                  <w:tcW w:w="831" w:type="pct"/>
                  <w:vAlign w:val="center"/>
                </w:tcPr>
                <w:p w14:paraId="6564BF1B">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388747</w:t>
                  </w:r>
                  <w:r>
                    <w:rPr>
                      <w:rFonts w:ascii="Times New Roman" w:hAnsi="Times New Roman" w:eastAsia="宋体" w:cs="Times New Roman"/>
                      <w:color w:val="auto"/>
                      <w:lang w:val="en-US"/>
                    </w:rPr>
                    <w:t>t/a</w:t>
                  </w:r>
                </w:p>
              </w:tc>
              <w:tc>
                <w:tcPr>
                  <w:tcW w:w="910" w:type="pct"/>
                  <w:vAlign w:val="center"/>
                </w:tcPr>
                <w:p w14:paraId="64A9D133">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+56773</w:t>
                  </w:r>
                  <w:r>
                    <w:rPr>
                      <w:rFonts w:ascii="Times New Roman" w:hAnsi="Times New Roman" w:eastAsia="宋体" w:cs="Times New Roman"/>
                      <w:color w:val="auto"/>
                      <w:lang w:val="en-US"/>
                    </w:rPr>
                    <w:t>t/a</w:t>
                  </w:r>
                </w:p>
              </w:tc>
              <w:tc>
                <w:tcPr>
                  <w:tcW w:w="1027" w:type="pct"/>
                  <w:vAlign w:val="center"/>
                </w:tcPr>
                <w:p w14:paraId="75D23CAD">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由涟水县涟缘水务有限公司供水</w:t>
                  </w:r>
                </w:p>
              </w:tc>
            </w:tr>
            <w:tr w14:paraId="539DD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61FB2940">
                  <w:pPr>
                    <w:pStyle w:val="130"/>
                    <w:spacing w:line="240" w:lineRule="auto"/>
                    <w:rPr>
                      <w:rFonts w:ascii="Times New Roman" w:hAnsi="Times New Roman" w:eastAsia="宋体" w:cs="Times New Roman"/>
                      <w:color w:val="auto"/>
                    </w:rPr>
                  </w:pPr>
                </w:p>
              </w:tc>
              <w:tc>
                <w:tcPr>
                  <w:tcW w:w="949" w:type="pct"/>
                  <w:gridSpan w:val="3"/>
                  <w:vAlign w:val="center"/>
                </w:tcPr>
                <w:p w14:paraId="4085AE80">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排水</w:t>
                  </w:r>
                </w:p>
              </w:tc>
              <w:tc>
                <w:tcPr>
                  <w:tcW w:w="846" w:type="pct"/>
                  <w:vAlign w:val="center"/>
                </w:tcPr>
                <w:p w14:paraId="15D4EEFE">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294355</w:t>
                  </w:r>
                  <w:r>
                    <w:rPr>
                      <w:rFonts w:ascii="Times New Roman" w:hAnsi="Times New Roman" w:eastAsia="宋体" w:cs="Times New Roman"/>
                      <w:color w:val="auto"/>
                      <w:lang w:val="en-US"/>
                    </w:rPr>
                    <w:t>t/a</w:t>
                  </w:r>
                </w:p>
              </w:tc>
              <w:tc>
                <w:tcPr>
                  <w:tcW w:w="831" w:type="pct"/>
                  <w:vAlign w:val="center"/>
                </w:tcPr>
                <w:p w14:paraId="17CE3802">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341221</w:t>
                  </w:r>
                  <w:r>
                    <w:rPr>
                      <w:rFonts w:ascii="Times New Roman" w:hAnsi="Times New Roman" w:eastAsia="宋体" w:cs="Times New Roman"/>
                      <w:color w:val="auto"/>
                      <w:lang w:val="en-US"/>
                    </w:rPr>
                    <w:t>t/a</w:t>
                  </w:r>
                </w:p>
              </w:tc>
              <w:tc>
                <w:tcPr>
                  <w:tcW w:w="910" w:type="pct"/>
                  <w:vAlign w:val="center"/>
                </w:tcPr>
                <w:p w14:paraId="1D078CB9">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+46866</w:t>
                  </w:r>
                  <w:r>
                    <w:rPr>
                      <w:rFonts w:ascii="Times New Roman" w:hAnsi="Times New Roman" w:eastAsia="宋体" w:cs="Times New Roman"/>
                      <w:color w:val="auto"/>
                      <w:lang w:val="en-US"/>
                    </w:rPr>
                    <w:t>t/a</w:t>
                  </w:r>
                </w:p>
              </w:tc>
              <w:tc>
                <w:tcPr>
                  <w:tcW w:w="1027" w:type="pct"/>
                  <w:vAlign w:val="center"/>
                </w:tcPr>
                <w:p w14:paraId="52C447BD">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排入园区污水管网，接管至涟水经济开发区西区污水处理厂</w:t>
                  </w:r>
                </w:p>
              </w:tc>
            </w:tr>
            <w:tr w14:paraId="6A1A9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77ED7855">
                  <w:pPr>
                    <w:pStyle w:val="130"/>
                    <w:spacing w:line="240" w:lineRule="auto"/>
                    <w:rPr>
                      <w:rFonts w:ascii="Times New Roman" w:hAnsi="Times New Roman" w:eastAsia="宋体" w:cs="Times New Roman"/>
                      <w:color w:val="auto"/>
                    </w:rPr>
                  </w:pPr>
                </w:p>
              </w:tc>
              <w:tc>
                <w:tcPr>
                  <w:tcW w:w="949" w:type="pct"/>
                  <w:gridSpan w:val="3"/>
                  <w:vAlign w:val="center"/>
                </w:tcPr>
                <w:p w14:paraId="5663F329">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供电</w:t>
                  </w:r>
                </w:p>
              </w:tc>
              <w:tc>
                <w:tcPr>
                  <w:tcW w:w="846" w:type="pct"/>
                  <w:vAlign w:val="center"/>
                </w:tcPr>
                <w:p w14:paraId="2A62D072">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350</w:t>
                  </w:r>
                  <w:r>
                    <w:rPr>
                      <w:rFonts w:ascii="Times New Roman" w:hAnsi="Times New Roman" w:eastAsia="宋体" w:cs="Times New Roman"/>
                      <w:color w:val="auto"/>
                      <w:lang w:val="en-US"/>
                    </w:rPr>
                    <w:t>万</w:t>
                  </w:r>
                  <w:r>
                    <w:rPr>
                      <w:rFonts w:ascii="Times New Roman" w:hAnsi="Times New Roman" w:eastAsia="宋体" w:cs="Times New Roman"/>
                      <w:color w:val="auto"/>
                    </w:rPr>
                    <w:t>kwh/a</w:t>
                  </w:r>
                </w:p>
              </w:tc>
              <w:tc>
                <w:tcPr>
                  <w:tcW w:w="831" w:type="pct"/>
                  <w:vAlign w:val="center"/>
                </w:tcPr>
                <w:p w14:paraId="7D3CD5CE">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375</w:t>
                  </w:r>
                  <w:r>
                    <w:rPr>
                      <w:rFonts w:ascii="Times New Roman" w:hAnsi="Times New Roman" w:eastAsia="宋体" w:cs="Times New Roman"/>
                      <w:color w:val="auto"/>
                      <w:lang w:val="en-US"/>
                    </w:rPr>
                    <w:t>万</w:t>
                  </w:r>
                  <w:r>
                    <w:rPr>
                      <w:rFonts w:ascii="Times New Roman" w:hAnsi="Times New Roman" w:eastAsia="宋体" w:cs="Times New Roman"/>
                      <w:color w:val="auto"/>
                    </w:rPr>
                    <w:t>kwh/a</w:t>
                  </w:r>
                </w:p>
              </w:tc>
              <w:tc>
                <w:tcPr>
                  <w:tcW w:w="910" w:type="pct"/>
                  <w:vAlign w:val="center"/>
                </w:tcPr>
                <w:p w14:paraId="6D81C8CA">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w:t>
                  </w:r>
                  <w:r>
                    <w:rPr>
                      <w:rFonts w:ascii="Times New Roman" w:hAnsi="Times New Roman" w:eastAsia="宋体" w:cs="Times New Roman"/>
                      <w:color w:val="auto"/>
                      <w:lang w:val="en-US"/>
                    </w:rPr>
                    <w:t>万</w:t>
                  </w:r>
                  <w:r>
                    <w:rPr>
                      <w:rFonts w:ascii="Times New Roman" w:hAnsi="Times New Roman" w:eastAsia="宋体" w:cs="Times New Roman"/>
                      <w:color w:val="auto"/>
                    </w:rPr>
                    <w:t>kwh/a</w:t>
                  </w:r>
                </w:p>
              </w:tc>
              <w:tc>
                <w:tcPr>
                  <w:tcW w:w="1027" w:type="pct"/>
                  <w:vAlign w:val="center"/>
                </w:tcPr>
                <w:p w14:paraId="217ED4C9">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涟水县电网供电</w:t>
                  </w:r>
                </w:p>
              </w:tc>
            </w:tr>
            <w:tr w14:paraId="3DCB3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212E6994">
                  <w:pPr>
                    <w:pStyle w:val="130"/>
                    <w:spacing w:line="240" w:lineRule="auto"/>
                    <w:rPr>
                      <w:rFonts w:ascii="Times New Roman" w:hAnsi="Times New Roman" w:eastAsia="宋体" w:cs="Times New Roman"/>
                      <w:color w:val="auto"/>
                    </w:rPr>
                  </w:pPr>
                </w:p>
              </w:tc>
              <w:tc>
                <w:tcPr>
                  <w:tcW w:w="949" w:type="pct"/>
                  <w:gridSpan w:val="3"/>
                  <w:vAlign w:val="center"/>
                </w:tcPr>
                <w:p w14:paraId="754850D7">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管道蒸汽</w:t>
                  </w:r>
                </w:p>
              </w:tc>
              <w:tc>
                <w:tcPr>
                  <w:tcW w:w="846" w:type="pct"/>
                  <w:vAlign w:val="center"/>
                </w:tcPr>
                <w:p w14:paraId="4D31323F">
                  <w:pPr>
                    <w:pStyle w:val="130"/>
                    <w:spacing w:line="240" w:lineRule="auto"/>
                    <w:rPr>
                      <w:rFonts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21000</w:t>
                  </w:r>
                  <w:r>
                    <w:rPr>
                      <w:rFonts w:ascii="Times New Roman" w:hAnsi="Times New Roman" w:eastAsia="宋体" w:cs="Times New Roman"/>
                      <w:color w:val="auto"/>
                      <w:lang w:val="en-US"/>
                    </w:rPr>
                    <w:t>t/a</w:t>
                  </w:r>
                </w:p>
              </w:tc>
              <w:tc>
                <w:tcPr>
                  <w:tcW w:w="831" w:type="pct"/>
                  <w:vAlign w:val="center"/>
                </w:tcPr>
                <w:p w14:paraId="649292AA">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eastAsia" w:ascii="Times New Roman" w:hAnsi="Times New Roman" w:cs="Times New Roman"/>
                      <w:color w:val="auto"/>
                      <w:lang w:val="en-US" w:eastAsia="zh-CN"/>
                    </w:rPr>
                    <w:t>25</w:t>
                  </w:r>
                  <w:r>
                    <w:rPr>
                      <w:rFonts w:hint="eastAsia" w:ascii="Times New Roman" w:hAnsi="Times New Roman" w:eastAsia="宋体" w:cs="Times New Roman"/>
                      <w:color w:val="auto"/>
                      <w:lang w:val="en-US" w:eastAsia="zh-CN"/>
                    </w:rPr>
                    <w:t>00</w:t>
                  </w:r>
                  <w:r>
                    <w:rPr>
                      <w:rFonts w:ascii="Times New Roman" w:hAnsi="Times New Roman" w:eastAsia="宋体" w:cs="Times New Roman"/>
                      <w:color w:val="auto"/>
                      <w:lang w:val="en-US"/>
                    </w:rPr>
                    <w:t>t/a</w:t>
                  </w:r>
                </w:p>
              </w:tc>
              <w:tc>
                <w:tcPr>
                  <w:tcW w:w="910" w:type="pct"/>
                  <w:vAlign w:val="center"/>
                </w:tcPr>
                <w:p w14:paraId="7E6941E5">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+1500</w:t>
                  </w:r>
                  <w:r>
                    <w:rPr>
                      <w:rFonts w:ascii="Times New Roman" w:hAnsi="Times New Roman" w:eastAsia="宋体" w:cs="Times New Roman"/>
                      <w:color w:val="auto"/>
                      <w:lang w:val="en-US"/>
                    </w:rPr>
                    <w:t>t/a</w:t>
                  </w:r>
                </w:p>
              </w:tc>
              <w:tc>
                <w:tcPr>
                  <w:tcW w:w="1027" w:type="pct"/>
                  <w:vAlign w:val="center"/>
                </w:tcPr>
                <w:p w14:paraId="7584228E">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园区蒸汽管网提供</w:t>
                  </w:r>
                </w:p>
              </w:tc>
            </w:tr>
            <w:tr w14:paraId="1E3ED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36" w:type="pct"/>
                  <w:vMerge w:val="restart"/>
                  <w:vAlign w:val="center"/>
                </w:tcPr>
                <w:p w14:paraId="503DF34F">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环保工程</w:t>
                  </w:r>
                </w:p>
              </w:tc>
              <w:tc>
                <w:tcPr>
                  <w:tcW w:w="177" w:type="pct"/>
                  <w:vMerge w:val="restart"/>
                  <w:vAlign w:val="center"/>
                </w:tcPr>
                <w:p w14:paraId="23F4A072">
                  <w:pPr>
                    <w:pStyle w:val="130"/>
                    <w:spacing w:line="240" w:lineRule="auto"/>
                    <w:jc w:val="left"/>
                    <w:rPr>
                      <w:rFonts w:ascii="Times New Roman" w:hAnsi="Times New Roman" w:eastAsia="宋体" w:cs="Times New Roman"/>
                      <w:color w:val="auto"/>
                    </w:rPr>
                  </w:pPr>
                  <w:r>
                    <w:rPr>
                      <w:rFonts w:ascii="Times New Roman" w:hAnsi="Times New Roman" w:eastAsia="宋体" w:cs="Times New Roman"/>
                      <w:color w:val="auto"/>
                    </w:rPr>
                    <w:t>废气</w:t>
                  </w:r>
                </w:p>
              </w:tc>
              <w:tc>
                <w:tcPr>
                  <w:tcW w:w="342" w:type="pct"/>
                  <w:vAlign w:val="center"/>
                </w:tcPr>
                <w:p w14:paraId="614D458B">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食堂油烟</w:t>
                  </w:r>
                </w:p>
              </w:tc>
              <w:tc>
                <w:tcPr>
                  <w:tcW w:w="430" w:type="pct"/>
                  <w:vAlign w:val="center"/>
                </w:tcPr>
                <w:p w14:paraId="3F021DC0">
                  <w:pPr>
                    <w:pStyle w:val="130"/>
                    <w:spacing w:line="240" w:lineRule="auto"/>
                    <w:rPr>
                      <w:rFonts w:ascii="Times New Roman" w:hAnsi="Times New Roman" w:eastAsia="宋体" w:cs="Times New Roman"/>
                      <w:color w:val="auto"/>
                      <w:lang w:val="en-US"/>
                    </w:rPr>
                  </w:pPr>
                  <w:r>
                    <w:rPr>
                      <w:rFonts w:ascii="Times New Roman" w:hAnsi="Times New Roman" w:eastAsia="宋体" w:cs="Times New Roman"/>
                      <w:color w:val="auto"/>
                      <w:lang w:val="en-US"/>
                    </w:rPr>
                    <w:t>油烟净化器</w:t>
                  </w:r>
                </w:p>
              </w:tc>
              <w:tc>
                <w:tcPr>
                  <w:tcW w:w="846" w:type="pct"/>
                  <w:vAlign w:val="center"/>
                </w:tcPr>
                <w:p w14:paraId="0B3B8872">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去除效率</w:t>
                  </w:r>
                  <w:r>
                    <w:rPr>
                      <w:rFonts w:hint="eastAsia" w:ascii="Times New Roman" w:hAnsi="Times New Roman" w:eastAsia="宋体" w:cs="Times New Roman"/>
                      <w:color w:val="auto"/>
                    </w:rPr>
                    <w:t>不低于</w:t>
                  </w:r>
                  <w:r>
                    <w:rPr>
                      <w:rFonts w:ascii="Times New Roman" w:hAnsi="Times New Roman" w:eastAsia="宋体" w:cs="Times New Roman"/>
                      <w:color w:val="auto"/>
                    </w:rPr>
                    <w:t>75%</w:t>
                  </w:r>
                </w:p>
              </w:tc>
              <w:tc>
                <w:tcPr>
                  <w:tcW w:w="831" w:type="pct"/>
                  <w:shd w:val="clear" w:color="auto" w:fill="auto"/>
                  <w:vAlign w:val="center"/>
                </w:tcPr>
                <w:p w14:paraId="622D4DD8">
                  <w:pPr>
                    <w:pStyle w:val="130"/>
                    <w:spacing w:line="240" w:lineRule="auto"/>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不涉及，依托现有</w:t>
                  </w:r>
                </w:p>
              </w:tc>
              <w:tc>
                <w:tcPr>
                  <w:tcW w:w="910" w:type="pct"/>
                  <w:vAlign w:val="center"/>
                </w:tcPr>
                <w:p w14:paraId="314523D4">
                  <w:pPr>
                    <w:pStyle w:val="130"/>
                    <w:spacing w:line="240" w:lineRule="auto"/>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不变</w:t>
                  </w:r>
                </w:p>
              </w:tc>
              <w:tc>
                <w:tcPr>
                  <w:tcW w:w="1027" w:type="pct"/>
                  <w:vAlign w:val="center"/>
                </w:tcPr>
                <w:p w14:paraId="2AE79438">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依托现有</w:t>
                  </w:r>
                </w:p>
              </w:tc>
            </w:tr>
            <w:tr w14:paraId="4A335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36" w:type="pct"/>
                  <w:vMerge w:val="continue"/>
                  <w:vAlign w:val="center"/>
                </w:tcPr>
                <w:p w14:paraId="4A3180DD">
                  <w:pPr>
                    <w:pStyle w:val="130"/>
                    <w:spacing w:line="240" w:lineRule="auto"/>
                    <w:rPr>
                      <w:rFonts w:ascii="Times New Roman" w:hAnsi="Times New Roman" w:eastAsia="宋体" w:cs="Times New Roman"/>
                      <w:color w:val="auto"/>
                    </w:rPr>
                  </w:pPr>
                </w:p>
              </w:tc>
              <w:tc>
                <w:tcPr>
                  <w:tcW w:w="177" w:type="pct"/>
                  <w:vMerge w:val="continue"/>
                  <w:vAlign w:val="center"/>
                </w:tcPr>
                <w:p w14:paraId="15DD7915">
                  <w:pPr>
                    <w:pStyle w:val="130"/>
                    <w:spacing w:line="240" w:lineRule="auto"/>
                    <w:jc w:val="left"/>
                    <w:rPr>
                      <w:rFonts w:ascii="Times New Roman" w:hAnsi="Times New Roman" w:eastAsia="宋体" w:cs="Times New Roman"/>
                      <w:color w:val="auto"/>
                    </w:rPr>
                  </w:pPr>
                </w:p>
              </w:tc>
              <w:tc>
                <w:tcPr>
                  <w:tcW w:w="342" w:type="pct"/>
                  <w:vAlign w:val="center"/>
                </w:tcPr>
                <w:p w14:paraId="60966785">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炒制油烟</w:t>
                  </w:r>
                </w:p>
              </w:tc>
              <w:tc>
                <w:tcPr>
                  <w:tcW w:w="430" w:type="pct"/>
                  <w:vAlign w:val="center"/>
                </w:tcPr>
                <w:p w14:paraId="0C27860B">
                  <w:pPr>
                    <w:pStyle w:val="130"/>
                    <w:spacing w:line="240" w:lineRule="auto"/>
                    <w:rPr>
                      <w:rFonts w:ascii="Times New Roman" w:hAnsi="Times New Roman" w:eastAsia="宋体" w:cs="Times New Roman"/>
                      <w:color w:val="auto"/>
                      <w:lang w:val="en-US"/>
                    </w:rPr>
                  </w:pPr>
                  <w:r>
                    <w:rPr>
                      <w:rFonts w:ascii="Times New Roman" w:hAnsi="Times New Roman" w:eastAsia="宋体" w:cs="Times New Roman"/>
                      <w:color w:val="auto"/>
                      <w:lang w:val="en-US"/>
                    </w:rPr>
                    <w:t>油烟净化器</w:t>
                  </w:r>
                </w:p>
              </w:tc>
              <w:tc>
                <w:tcPr>
                  <w:tcW w:w="846" w:type="pct"/>
                  <w:vAlign w:val="center"/>
                </w:tcPr>
                <w:p w14:paraId="46FE8256">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去除效率</w:t>
                  </w:r>
                  <w:r>
                    <w:rPr>
                      <w:rFonts w:hint="eastAsia" w:ascii="Times New Roman" w:hAnsi="Times New Roman" w:eastAsia="宋体" w:cs="Times New Roman"/>
                      <w:color w:val="auto"/>
                    </w:rPr>
                    <w:t>不低于</w:t>
                  </w:r>
                  <w:r>
                    <w:rPr>
                      <w:rFonts w:ascii="Times New Roman" w:hAnsi="Times New Roman" w:eastAsia="宋体" w:cs="Times New Roman"/>
                      <w:color w:val="auto"/>
                    </w:rPr>
                    <w:t>85%</w:t>
                  </w:r>
                </w:p>
              </w:tc>
              <w:tc>
                <w:tcPr>
                  <w:tcW w:w="831" w:type="pct"/>
                  <w:shd w:val="clear" w:color="auto" w:fill="auto"/>
                  <w:vAlign w:val="center"/>
                </w:tcPr>
                <w:p w14:paraId="7CCDB8A9">
                  <w:pPr>
                    <w:pStyle w:val="130"/>
                    <w:spacing w:line="240" w:lineRule="auto"/>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不涉及，依托现有</w:t>
                  </w:r>
                </w:p>
              </w:tc>
              <w:tc>
                <w:tcPr>
                  <w:tcW w:w="910" w:type="pct"/>
                  <w:vAlign w:val="center"/>
                </w:tcPr>
                <w:p w14:paraId="02BF5096">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eastAsia="zh-CN"/>
                    </w:rPr>
                    <w:t>不变</w:t>
                  </w:r>
                </w:p>
              </w:tc>
              <w:tc>
                <w:tcPr>
                  <w:tcW w:w="1027" w:type="pct"/>
                  <w:vAlign w:val="center"/>
                </w:tcPr>
                <w:p w14:paraId="5F9BAC21">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依托现有</w:t>
                  </w:r>
                </w:p>
              </w:tc>
            </w:tr>
            <w:tr w14:paraId="329C2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36" w:type="pct"/>
                  <w:vMerge w:val="continue"/>
                  <w:vAlign w:val="center"/>
                </w:tcPr>
                <w:p w14:paraId="5D318673">
                  <w:pPr>
                    <w:pStyle w:val="130"/>
                    <w:spacing w:line="240" w:lineRule="auto"/>
                    <w:rPr>
                      <w:rFonts w:ascii="Times New Roman" w:hAnsi="Times New Roman" w:eastAsia="宋体" w:cs="Times New Roman"/>
                      <w:color w:val="auto"/>
                    </w:rPr>
                  </w:pPr>
                </w:p>
              </w:tc>
              <w:tc>
                <w:tcPr>
                  <w:tcW w:w="177" w:type="pct"/>
                  <w:vMerge w:val="continue"/>
                  <w:vAlign w:val="center"/>
                </w:tcPr>
                <w:p w14:paraId="1C1A0BE6">
                  <w:pPr>
                    <w:pStyle w:val="130"/>
                    <w:spacing w:line="240" w:lineRule="auto"/>
                    <w:jc w:val="left"/>
                    <w:rPr>
                      <w:rFonts w:ascii="Times New Roman" w:hAnsi="Times New Roman" w:eastAsia="宋体" w:cs="Times New Roman"/>
                      <w:color w:val="auto"/>
                    </w:rPr>
                  </w:pPr>
                </w:p>
              </w:tc>
              <w:tc>
                <w:tcPr>
                  <w:tcW w:w="772" w:type="pct"/>
                  <w:gridSpan w:val="2"/>
                  <w:vAlign w:val="center"/>
                </w:tcPr>
                <w:p w14:paraId="0235B747">
                  <w:pPr>
                    <w:pStyle w:val="130"/>
                    <w:spacing w:line="240" w:lineRule="auto"/>
                    <w:rPr>
                      <w:rFonts w:ascii="Times New Roman" w:hAnsi="Times New Roman" w:eastAsia="宋体" w:cs="Times New Roman"/>
                      <w:color w:val="auto"/>
                      <w:lang w:val="en-US"/>
                    </w:rPr>
                  </w:pPr>
                  <w:r>
                    <w:rPr>
                      <w:rFonts w:hint="eastAsia" w:ascii="Times New Roman" w:hAnsi="Times New Roman" w:eastAsia="宋体" w:cs="Times New Roman"/>
                      <w:color w:val="auto"/>
                    </w:rPr>
                    <w:t>污水处理站恶臭气体</w:t>
                  </w:r>
                </w:p>
              </w:tc>
              <w:tc>
                <w:tcPr>
                  <w:tcW w:w="846" w:type="pct"/>
                  <w:vAlign w:val="center"/>
                </w:tcPr>
                <w:p w14:paraId="09377091">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污水处理设施加盖，无组织排放</w:t>
                  </w:r>
                </w:p>
              </w:tc>
              <w:tc>
                <w:tcPr>
                  <w:tcW w:w="831" w:type="pct"/>
                  <w:vAlign w:val="center"/>
                </w:tcPr>
                <w:p w14:paraId="4A6CC7D1">
                  <w:pPr>
                    <w:pStyle w:val="13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污水处理设施加盖，无组织排放</w:t>
                  </w:r>
                </w:p>
              </w:tc>
              <w:tc>
                <w:tcPr>
                  <w:tcW w:w="910" w:type="pct"/>
                  <w:vAlign w:val="center"/>
                </w:tcPr>
                <w:p w14:paraId="65A1E45B">
                  <w:pPr>
                    <w:pStyle w:val="130"/>
                    <w:spacing w:line="240" w:lineRule="auto"/>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不变</w:t>
                  </w:r>
                </w:p>
              </w:tc>
              <w:tc>
                <w:tcPr>
                  <w:tcW w:w="1027" w:type="pct"/>
                  <w:vAlign w:val="center"/>
                </w:tcPr>
                <w:p w14:paraId="3655AB72">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达标排放</w:t>
                  </w:r>
                </w:p>
              </w:tc>
            </w:tr>
            <w:tr w14:paraId="7C459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36" w:type="pct"/>
                  <w:vMerge w:val="continue"/>
                  <w:vAlign w:val="center"/>
                </w:tcPr>
                <w:p w14:paraId="402A0F3B">
                  <w:pPr>
                    <w:pStyle w:val="130"/>
                    <w:spacing w:line="240" w:lineRule="auto"/>
                    <w:rPr>
                      <w:rFonts w:ascii="Times New Roman" w:hAnsi="Times New Roman" w:eastAsia="宋体" w:cs="Times New Roman"/>
                      <w:color w:val="auto"/>
                    </w:rPr>
                  </w:pPr>
                </w:p>
              </w:tc>
              <w:tc>
                <w:tcPr>
                  <w:tcW w:w="177" w:type="pct"/>
                  <w:vMerge w:val="restart"/>
                  <w:vAlign w:val="center"/>
                </w:tcPr>
                <w:p w14:paraId="792420B7">
                  <w:pPr>
                    <w:pStyle w:val="130"/>
                    <w:spacing w:line="240" w:lineRule="auto"/>
                    <w:jc w:val="left"/>
                    <w:rPr>
                      <w:rFonts w:ascii="Times New Roman" w:hAnsi="Times New Roman" w:eastAsia="宋体" w:cs="Times New Roman"/>
                      <w:color w:val="auto"/>
                    </w:rPr>
                  </w:pPr>
                  <w:r>
                    <w:rPr>
                      <w:rFonts w:hint="eastAsia" w:ascii="Times New Roman" w:hAnsi="Times New Roman" w:eastAsia="宋体" w:cs="Times New Roman"/>
                      <w:color w:val="auto"/>
                    </w:rPr>
                    <w:t>废水</w:t>
                  </w:r>
                </w:p>
              </w:tc>
              <w:tc>
                <w:tcPr>
                  <w:tcW w:w="772" w:type="pct"/>
                  <w:gridSpan w:val="2"/>
                  <w:vAlign w:val="center"/>
                </w:tcPr>
                <w:p w14:paraId="39EA7D46">
                  <w:pPr>
                    <w:pStyle w:val="144"/>
                    <w:adjustRightInd w:val="0"/>
                    <w:snapToGrid w:val="0"/>
                    <w:ind w:firstLine="0" w:firstLineChars="0"/>
                    <w:jc w:val="center"/>
                    <w:rPr>
                      <w:color w:val="auto"/>
                      <w:sz w:val="21"/>
                      <w:szCs w:val="21"/>
                    </w:rPr>
                  </w:pPr>
                  <w:r>
                    <w:rPr>
                      <w:rFonts w:hint="eastAsia"/>
                      <w:color w:val="auto"/>
                      <w:sz w:val="21"/>
                      <w:szCs w:val="21"/>
                    </w:rPr>
                    <w:t>化粪池</w:t>
                  </w:r>
                </w:p>
              </w:tc>
              <w:tc>
                <w:tcPr>
                  <w:tcW w:w="846" w:type="pct"/>
                  <w:vAlign w:val="center"/>
                </w:tcPr>
                <w:p w14:paraId="18C92170">
                  <w:pPr>
                    <w:pStyle w:val="130"/>
                    <w:spacing w:line="240" w:lineRule="auto"/>
                    <w:rPr>
                      <w:rFonts w:ascii="Times New Roman" w:hAnsi="Times New Roman" w:eastAsia="宋体" w:cs="Times New Roman"/>
                      <w:color w:val="auto"/>
                      <w:lang w:val="en-US"/>
                    </w:rPr>
                  </w:pPr>
                  <w:r>
                    <w:rPr>
                      <w:rFonts w:hint="eastAsia" w:ascii="Times New Roman" w:hAnsi="Times New Roman" w:eastAsia="宋体" w:cs="Times New Roman"/>
                      <w:color w:val="auto"/>
                      <w:lang w:val="en-US"/>
                    </w:rPr>
                    <w:t>1</w:t>
                  </w:r>
                  <w:r>
                    <w:rPr>
                      <w:rFonts w:ascii="Times New Roman" w:hAnsi="Times New Roman" w:eastAsia="宋体" w:cs="Times New Roman"/>
                      <w:color w:val="auto"/>
                      <w:lang w:val="en-US"/>
                    </w:rPr>
                    <w:t>0m</w:t>
                  </w:r>
                  <w:r>
                    <w:rPr>
                      <w:rFonts w:ascii="Times New Roman" w:hAnsi="Times New Roman" w:eastAsia="宋体" w:cs="Times New Roman"/>
                      <w:color w:val="auto"/>
                      <w:vertAlign w:val="superscript"/>
                      <w:lang w:val="en-US"/>
                    </w:rPr>
                    <w:t>3</w:t>
                  </w:r>
                </w:p>
              </w:tc>
              <w:tc>
                <w:tcPr>
                  <w:tcW w:w="831" w:type="pct"/>
                  <w:shd w:val="clear" w:color="auto" w:fill="auto"/>
                  <w:vAlign w:val="center"/>
                </w:tcPr>
                <w:p w14:paraId="0304CFAA">
                  <w:pPr>
                    <w:pStyle w:val="130"/>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rPr>
                    <w:t>1</w:t>
                  </w:r>
                  <w:r>
                    <w:rPr>
                      <w:rFonts w:ascii="Times New Roman" w:hAnsi="Times New Roman" w:eastAsia="宋体" w:cs="Times New Roman"/>
                      <w:color w:val="auto"/>
                      <w:lang w:val="en-US"/>
                    </w:rPr>
                    <w:t>0m</w:t>
                  </w:r>
                  <w:r>
                    <w:rPr>
                      <w:rFonts w:ascii="Times New Roman" w:hAnsi="Times New Roman" w:eastAsia="宋体" w:cs="Times New Roman"/>
                      <w:color w:val="auto"/>
                      <w:vertAlign w:val="superscript"/>
                      <w:lang w:val="en-US"/>
                    </w:rPr>
                    <w:t>3</w:t>
                  </w:r>
                </w:p>
              </w:tc>
              <w:tc>
                <w:tcPr>
                  <w:tcW w:w="910" w:type="pct"/>
                  <w:vAlign w:val="center"/>
                </w:tcPr>
                <w:p w14:paraId="3BE36BC3">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依托现有</w:t>
                  </w:r>
                </w:p>
              </w:tc>
              <w:tc>
                <w:tcPr>
                  <w:tcW w:w="1027" w:type="pct"/>
                  <w:vAlign w:val="center"/>
                </w:tcPr>
                <w:p w14:paraId="248DE372">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w:t>
                  </w:r>
                </w:p>
              </w:tc>
            </w:tr>
            <w:tr w14:paraId="2C816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2E683570">
                  <w:pPr>
                    <w:pStyle w:val="130"/>
                    <w:spacing w:line="240" w:lineRule="auto"/>
                    <w:rPr>
                      <w:rFonts w:ascii="Times New Roman" w:hAnsi="Times New Roman" w:eastAsia="宋体" w:cs="Times New Roman"/>
                      <w:color w:val="auto"/>
                    </w:rPr>
                  </w:pPr>
                </w:p>
              </w:tc>
              <w:tc>
                <w:tcPr>
                  <w:tcW w:w="177" w:type="pct"/>
                  <w:vMerge w:val="continue"/>
                  <w:vAlign w:val="center"/>
                </w:tcPr>
                <w:p w14:paraId="4DF8B474">
                  <w:pPr>
                    <w:pStyle w:val="130"/>
                    <w:spacing w:line="240" w:lineRule="auto"/>
                    <w:jc w:val="left"/>
                    <w:rPr>
                      <w:rFonts w:ascii="Times New Roman" w:hAnsi="Times New Roman" w:eastAsia="宋体" w:cs="Times New Roman"/>
                      <w:color w:val="auto"/>
                    </w:rPr>
                  </w:pPr>
                </w:p>
              </w:tc>
              <w:tc>
                <w:tcPr>
                  <w:tcW w:w="772" w:type="pct"/>
                  <w:gridSpan w:val="2"/>
                  <w:vAlign w:val="center"/>
                </w:tcPr>
                <w:p w14:paraId="2E23EE54">
                  <w:pPr>
                    <w:pStyle w:val="144"/>
                    <w:adjustRightInd w:val="0"/>
                    <w:snapToGrid w:val="0"/>
                    <w:ind w:firstLine="0" w:firstLineChars="0"/>
                    <w:jc w:val="center"/>
                    <w:rPr>
                      <w:color w:val="auto"/>
                      <w:sz w:val="21"/>
                      <w:szCs w:val="21"/>
                    </w:rPr>
                  </w:pPr>
                  <w:r>
                    <w:rPr>
                      <w:rFonts w:hint="eastAsia"/>
                      <w:color w:val="auto"/>
                      <w:sz w:val="21"/>
                      <w:szCs w:val="21"/>
                    </w:rPr>
                    <w:t>隔油池</w:t>
                  </w:r>
                </w:p>
              </w:tc>
              <w:tc>
                <w:tcPr>
                  <w:tcW w:w="846" w:type="pct"/>
                  <w:vAlign w:val="center"/>
                </w:tcPr>
                <w:p w14:paraId="37279223">
                  <w:pPr>
                    <w:pStyle w:val="130"/>
                    <w:spacing w:line="240" w:lineRule="auto"/>
                    <w:rPr>
                      <w:rFonts w:ascii="Times New Roman" w:hAnsi="Times New Roman" w:eastAsia="宋体" w:cs="Times New Roman"/>
                      <w:color w:val="auto"/>
                      <w:lang w:val="en-US"/>
                    </w:rPr>
                  </w:pPr>
                  <w:r>
                    <w:rPr>
                      <w:rFonts w:hint="eastAsia" w:ascii="Times New Roman" w:hAnsi="Times New Roman" w:eastAsia="宋体" w:cs="Times New Roman"/>
                      <w:color w:val="auto"/>
                      <w:lang w:val="en-US"/>
                    </w:rPr>
                    <w:t>5</w:t>
                  </w:r>
                  <w:r>
                    <w:rPr>
                      <w:rFonts w:ascii="Times New Roman" w:hAnsi="Times New Roman" w:eastAsia="宋体" w:cs="Times New Roman"/>
                      <w:color w:val="auto"/>
                      <w:lang w:val="en-US"/>
                    </w:rPr>
                    <w:t>m</w:t>
                  </w:r>
                  <w:r>
                    <w:rPr>
                      <w:rFonts w:ascii="Times New Roman" w:hAnsi="Times New Roman" w:eastAsia="宋体" w:cs="Times New Roman"/>
                      <w:color w:val="auto"/>
                      <w:vertAlign w:val="superscript"/>
                      <w:lang w:val="en-US"/>
                    </w:rPr>
                    <w:t>3</w:t>
                  </w:r>
                </w:p>
              </w:tc>
              <w:tc>
                <w:tcPr>
                  <w:tcW w:w="831" w:type="pct"/>
                  <w:shd w:val="clear" w:color="auto" w:fill="auto"/>
                  <w:vAlign w:val="center"/>
                </w:tcPr>
                <w:p w14:paraId="2178F339">
                  <w:pPr>
                    <w:pStyle w:val="130"/>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rPr>
                    <w:t>5</w:t>
                  </w:r>
                  <w:r>
                    <w:rPr>
                      <w:rFonts w:ascii="Times New Roman" w:hAnsi="Times New Roman" w:eastAsia="宋体" w:cs="Times New Roman"/>
                      <w:color w:val="auto"/>
                      <w:lang w:val="en-US"/>
                    </w:rPr>
                    <w:t>m</w:t>
                  </w:r>
                  <w:r>
                    <w:rPr>
                      <w:rFonts w:ascii="Times New Roman" w:hAnsi="Times New Roman" w:eastAsia="宋体" w:cs="Times New Roman"/>
                      <w:color w:val="auto"/>
                      <w:vertAlign w:val="superscript"/>
                      <w:lang w:val="en-US"/>
                    </w:rPr>
                    <w:t>3</w:t>
                  </w:r>
                </w:p>
              </w:tc>
              <w:tc>
                <w:tcPr>
                  <w:tcW w:w="910" w:type="pct"/>
                  <w:vAlign w:val="center"/>
                </w:tcPr>
                <w:p w14:paraId="51DBA683">
                  <w:pPr>
                    <w:pStyle w:val="130"/>
                    <w:spacing w:line="240" w:lineRule="auto"/>
                    <w:rPr>
                      <w:rFonts w:hint="eastAsia" w:ascii="Times New Roman" w:hAnsi="Times New Roman" w:eastAsia="宋体" w:cs="Times New Roman"/>
                      <w:color w:val="auto"/>
                      <w:lang w:val="en-US"/>
                    </w:rPr>
                  </w:pPr>
                  <w:r>
                    <w:rPr>
                      <w:rFonts w:hint="eastAsia" w:ascii="Times New Roman" w:hAnsi="Times New Roman" w:cs="Times New Roman"/>
                      <w:color w:val="auto"/>
                      <w:lang w:val="en-US" w:eastAsia="zh-CN"/>
                    </w:rPr>
                    <w:t>依托现有</w:t>
                  </w:r>
                </w:p>
              </w:tc>
              <w:tc>
                <w:tcPr>
                  <w:tcW w:w="1027" w:type="pct"/>
                  <w:vAlign w:val="center"/>
                </w:tcPr>
                <w:p w14:paraId="78245086">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w:t>
                  </w:r>
                </w:p>
              </w:tc>
            </w:tr>
            <w:tr w14:paraId="05375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45675C00">
                  <w:pPr>
                    <w:pStyle w:val="130"/>
                    <w:spacing w:line="240" w:lineRule="auto"/>
                    <w:rPr>
                      <w:rFonts w:ascii="Times New Roman" w:hAnsi="Times New Roman" w:eastAsia="宋体" w:cs="Times New Roman"/>
                      <w:color w:val="auto"/>
                    </w:rPr>
                  </w:pPr>
                </w:p>
              </w:tc>
              <w:tc>
                <w:tcPr>
                  <w:tcW w:w="177" w:type="pct"/>
                  <w:vMerge w:val="continue"/>
                  <w:vAlign w:val="center"/>
                </w:tcPr>
                <w:p w14:paraId="7C497473">
                  <w:pPr>
                    <w:pStyle w:val="130"/>
                    <w:spacing w:line="240" w:lineRule="auto"/>
                    <w:jc w:val="left"/>
                    <w:rPr>
                      <w:rFonts w:ascii="Times New Roman" w:hAnsi="Times New Roman" w:eastAsia="宋体" w:cs="Times New Roman"/>
                      <w:color w:val="auto"/>
                    </w:rPr>
                  </w:pPr>
                </w:p>
              </w:tc>
              <w:tc>
                <w:tcPr>
                  <w:tcW w:w="772" w:type="pct"/>
                  <w:gridSpan w:val="2"/>
                  <w:vAlign w:val="center"/>
                </w:tcPr>
                <w:p w14:paraId="5449F5E2">
                  <w:pPr>
                    <w:pStyle w:val="144"/>
                    <w:adjustRightInd w:val="0"/>
                    <w:snapToGrid w:val="0"/>
                    <w:ind w:firstLine="0" w:firstLineChars="0"/>
                    <w:jc w:val="center"/>
                    <w:rPr>
                      <w:color w:val="auto"/>
                      <w:sz w:val="21"/>
                      <w:szCs w:val="21"/>
                    </w:rPr>
                  </w:pPr>
                  <w:r>
                    <w:rPr>
                      <w:color w:val="auto"/>
                      <w:sz w:val="21"/>
                      <w:szCs w:val="21"/>
                    </w:rPr>
                    <w:t>污水处理站</w:t>
                  </w:r>
                </w:p>
              </w:tc>
              <w:tc>
                <w:tcPr>
                  <w:tcW w:w="846" w:type="pct"/>
                  <w:vAlign w:val="center"/>
                </w:tcPr>
                <w:p w14:paraId="530EB370">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处理能力</w:t>
                  </w:r>
                  <w:bookmarkStart w:id="10" w:name="OLE_LINK1"/>
                  <w:r>
                    <w:rPr>
                      <w:rFonts w:hint="eastAsia" w:ascii="Times New Roman" w:hAnsi="Times New Roman" w:cs="Times New Roman"/>
                      <w:color w:val="auto"/>
                      <w:lang w:val="en-US" w:eastAsia="zh-CN"/>
                    </w:rPr>
                    <w:t>1600m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bookmarkEnd w:id="10"/>
                  <w:r>
                    <w:rPr>
                      <w:rFonts w:hint="eastAsia" w:ascii="Times New Roman" w:hAnsi="Times New Roman" w:cs="Times New Roman"/>
                      <w:color w:val="auto"/>
                      <w:lang w:val="en-US" w:eastAsia="zh-CN"/>
                    </w:rPr>
                    <w:t>，</w:t>
                  </w:r>
                  <w:r>
                    <w:rPr>
                      <w:rFonts w:hint="eastAsia"/>
                      <w:color w:val="auto"/>
                      <w:lang w:val="en-US" w:eastAsia="zh-CN"/>
                    </w:rPr>
                    <w:t>一期现有</w:t>
                  </w:r>
                  <w:r>
                    <w:rPr>
                      <w:rFonts w:hint="default" w:ascii="Times New Roman" w:hAnsi="Times New Roman" w:cs="Times New Roman"/>
                      <w:color w:val="auto"/>
                      <w:lang w:val="en-US" w:eastAsia="zh-CN"/>
                    </w:rPr>
                    <w:t>项目占用</w:t>
                  </w:r>
                  <w:r>
                    <w:rPr>
                      <w:rFonts w:hint="eastAsia" w:ascii="Times New Roman" w:hAnsi="Times New Roman" w:cs="Times New Roman"/>
                      <w:color w:val="auto"/>
                      <w:lang w:val="en-US" w:eastAsia="zh-CN"/>
                    </w:rPr>
                    <w:t>399.5</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，二期未建项目占用406.9</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，剩余793.6</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处理能力</w:t>
                  </w:r>
                </w:p>
              </w:tc>
              <w:tc>
                <w:tcPr>
                  <w:tcW w:w="831" w:type="pct"/>
                  <w:vAlign w:val="center"/>
                </w:tcPr>
                <w:p w14:paraId="7C5B257F">
                  <w:pPr>
                    <w:pStyle w:val="130"/>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处理能力1600m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tc>
              <w:tc>
                <w:tcPr>
                  <w:tcW w:w="910" w:type="pct"/>
                  <w:vAlign w:val="center"/>
                </w:tcPr>
                <w:p w14:paraId="74556063">
                  <w:pPr>
                    <w:pStyle w:val="130"/>
                    <w:spacing w:line="240" w:lineRule="auto"/>
                    <w:rPr>
                      <w:rFonts w:hint="default" w:ascii="Times New Roman" w:hAnsi="Times New Roman" w:eastAsia="宋体" w:cs="Times New Roman"/>
                      <w:color w:val="auto"/>
                      <w:lang w:val="en-US"/>
                    </w:rPr>
                  </w:pPr>
                  <w:r>
                    <w:rPr>
                      <w:rFonts w:hint="eastAsia" w:ascii="Times New Roman" w:hAnsi="Times New Roman" w:cs="Times New Roman"/>
                      <w:color w:val="auto"/>
                      <w:lang w:val="en-US" w:eastAsia="zh-CN"/>
                    </w:rPr>
                    <w:t>依托现有，一期扩建项目占用131.3m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tc>
              <w:tc>
                <w:tcPr>
                  <w:tcW w:w="1027" w:type="pct"/>
                  <w:vAlign w:val="center"/>
                </w:tcPr>
                <w:p w14:paraId="48FBA910">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达标排放</w:t>
                  </w:r>
                </w:p>
              </w:tc>
            </w:tr>
            <w:tr w14:paraId="293EF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21A0A964">
                  <w:pPr>
                    <w:pStyle w:val="130"/>
                    <w:spacing w:line="240" w:lineRule="auto"/>
                    <w:rPr>
                      <w:rFonts w:ascii="Times New Roman" w:hAnsi="Times New Roman" w:eastAsia="宋体" w:cs="Times New Roman"/>
                      <w:color w:val="auto"/>
                    </w:rPr>
                  </w:pPr>
                </w:p>
              </w:tc>
              <w:tc>
                <w:tcPr>
                  <w:tcW w:w="177" w:type="pct"/>
                  <w:vMerge w:val="restart"/>
                  <w:vAlign w:val="center"/>
                </w:tcPr>
                <w:p w14:paraId="59C8864B">
                  <w:pPr>
                    <w:pStyle w:val="130"/>
                    <w:spacing w:line="240" w:lineRule="auto"/>
                    <w:jc w:val="left"/>
                    <w:rPr>
                      <w:rFonts w:ascii="Times New Roman" w:hAnsi="Times New Roman" w:eastAsia="宋体" w:cs="Times New Roman"/>
                      <w:color w:val="auto"/>
                    </w:rPr>
                  </w:pPr>
                  <w:r>
                    <w:rPr>
                      <w:rFonts w:ascii="Times New Roman" w:hAnsi="Times New Roman" w:eastAsia="宋体" w:cs="Times New Roman"/>
                      <w:color w:val="auto"/>
                    </w:rPr>
                    <w:t>固废</w:t>
                  </w:r>
                </w:p>
              </w:tc>
              <w:tc>
                <w:tcPr>
                  <w:tcW w:w="772" w:type="pct"/>
                  <w:gridSpan w:val="2"/>
                  <w:vAlign w:val="center"/>
                </w:tcPr>
                <w:p w14:paraId="423F0C53">
                  <w:pPr>
                    <w:pStyle w:val="144"/>
                    <w:adjustRightInd w:val="0"/>
                    <w:snapToGrid w:val="0"/>
                    <w:ind w:firstLine="0" w:firstLineChars="0"/>
                    <w:jc w:val="center"/>
                    <w:rPr>
                      <w:color w:val="auto"/>
                      <w:sz w:val="21"/>
                      <w:szCs w:val="21"/>
                    </w:rPr>
                  </w:pPr>
                  <w:r>
                    <w:rPr>
                      <w:color w:val="auto"/>
                      <w:sz w:val="21"/>
                      <w:szCs w:val="21"/>
                    </w:rPr>
                    <w:t>一般固废仓库</w:t>
                  </w:r>
                </w:p>
              </w:tc>
              <w:tc>
                <w:tcPr>
                  <w:tcW w:w="846" w:type="pct"/>
                  <w:vAlign w:val="center"/>
                </w:tcPr>
                <w:p w14:paraId="5ED0A834">
                  <w:pPr>
                    <w:pStyle w:val="130"/>
                    <w:spacing w:line="240" w:lineRule="auto"/>
                    <w:rPr>
                      <w:rFonts w:ascii="Times New Roman" w:hAnsi="Times New Roman" w:eastAsia="宋体" w:cs="Times New Roman"/>
                      <w:color w:val="auto"/>
                      <w:lang w:val="en-US"/>
                    </w:rPr>
                  </w:pPr>
                  <w:r>
                    <w:rPr>
                      <w:rFonts w:ascii="Times New Roman" w:hAnsi="Times New Roman" w:eastAsia="宋体" w:cs="Times New Roman"/>
                      <w:color w:val="auto"/>
                      <w:lang w:val="en-US"/>
                    </w:rPr>
                    <w:t>144</w:t>
                  </w: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p>
              </w:tc>
              <w:tc>
                <w:tcPr>
                  <w:tcW w:w="831" w:type="pct"/>
                  <w:shd w:val="clear" w:color="auto" w:fill="auto"/>
                  <w:vAlign w:val="center"/>
                </w:tcPr>
                <w:p w14:paraId="1BB6BDDC">
                  <w:pPr>
                    <w:pStyle w:val="130"/>
                    <w:spacing w:line="240" w:lineRule="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lang w:val="en-US"/>
                    </w:rPr>
                    <w:t>144</w:t>
                  </w: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p>
              </w:tc>
              <w:tc>
                <w:tcPr>
                  <w:tcW w:w="910" w:type="pct"/>
                  <w:vAlign w:val="center"/>
                </w:tcPr>
                <w:p w14:paraId="7E36CF1E">
                  <w:pPr>
                    <w:pStyle w:val="130"/>
                    <w:spacing w:line="240" w:lineRule="auto"/>
                    <w:rPr>
                      <w:rFonts w:ascii="Times New Roman" w:hAnsi="Times New Roman" w:eastAsia="宋体" w:cs="Times New Roman"/>
                      <w:color w:val="auto"/>
                      <w:lang w:val="en-US"/>
                    </w:rPr>
                  </w:pPr>
                  <w:r>
                    <w:rPr>
                      <w:rFonts w:hint="eastAsia" w:ascii="Times New Roman" w:hAnsi="Times New Roman" w:cs="Times New Roman"/>
                      <w:color w:val="auto"/>
                      <w:lang w:val="en-US" w:eastAsia="zh-CN"/>
                    </w:rPr>
                    <w:t>依托现有</w:t>
                  </w:r>
                </w:p>
              </w:tc>
              <w:tc>
                <w:tcPr>
                  <w:tcW w:w="1027" w:type="pct"/>
                  <w:vAlign w:val="center"/>
                </w:tcPr>
                <w:p w14:paraId="6F84256D">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暂存</w:t>
                  </w:r>
                  <w:r>
                    <w:rPr>
                      <w:rFonts w:hint="eastAsia" w:ascii="Times New Roman" w:hAnsi="Times New Roman" w:eastAsia="宋体" w:cs="Times New Roman"/>
                      <w:color w:val="auto"/>
                    </w:rPr>
                    <w:t>一般固废</w:t>
                  </w:r>
                </w:p>
              </w:tc>
            </w:tr>
            <w:tr w14:paraId="22C46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36" w:type="pct"/>
                  <w:vMerge w:val="continue"/>
                  <w:vAlign w:val="center"/>
                </w:tcPr>
                <w:p w14:paraId="3CC20C13">
                  <w:pPr>
                    <w:pStyle w:val="130"/>
                    <w:spacing w:line="240" w:lineRule="auto"/>
                    <w:rPr>
                      <w:rFonts w:ascii="Times New Roman" w:hAnsi="Times New Roman" w:eastAsia="宋体" w:cs="Times New Roman"/>
                      <w:color w:val="auto"/>
                    </w:rPr>
                  </w:pPr>
                </w:p>
              </w:tc>
              <w:tc>
                <w:tcPr>
                  <w:tcW w:w="177" w:type="pct"/>
                  <w:vMerge w:val="continue"/>
                  <w:vAlign w:val="center"/>
                </w:tcPr>
                <w:p w14:paraId="31D39553">
                  <w:pPr>
                    <w:pStyle w:val="130"/>
                    <w:spacing w:line="240" w:lineRule="auto"/>
                    <w:jc w:val="left"/>
                    <w:rPr>
                      <w:rFonts w:ascii="Times New Roman" w:hAnsi="Times New Roman" w:eastAsia="宋体" w:cs="Times New Roman"/>
                      <w:color w:val="auto"/>
                    </w:rPr>
                  </w:pPr>
                </w:p>
              </w:tc>
              <w:tc>
                <w:tcPr>
                  <w:tcW w:w="772" w:type="pct"/>
                  <w:gridSpan w:val="2"/>
                  <w:vAlign w:val="center"/>
                </w:tcPr>
                <w:p w14:paraId="0551D213">
                  <w:pPr>
                    <w:pStyle w:val="144"/>
                    <w:adjustRightInd w:val="0"/>
                    <w:snapToGrid w:val="0"/>
                    <w:ind w:firstLine="0" w:firstLineChars="0"/>
                    <w:jc w:val="center"/>
                    <w:rPr>
                      <w:color w:val="auto"/>
                      <w:sz w:val="21"/>
                      <w:szCs w:val="21"/>
                    </w:rPr>
                  </w:pPr>
                  <w:r>
                    <w:rPr>
                      <w:rFonts w:hint="eastAsia"/>
                      <w:color w:val="auto"/>
                      <w:sz w:val="21"/>
                      <w:szCs w:val="21"/>
                    </w:rPr>
                    <w:t>生活垃圾桶</w:t>
                  </w:r>
                </w:p>
              </w:tc>
              <w:tc>
                <w:tcPr>
                  <w:tcW w:w="846" w:type="pct"/>
                  <w:vAlign w:val="center"/>
                </w:tcPr>
                <w:p w14:paraId="7AB5D9B1">
                  <w:pPr>
                    <w:pStyle w:val="130"/>
                    <w:spacing w:line="240" w:lineRule="auto"/>
                    <w:rPr>
                      <w:rFonts w:ascii="Times New Roman" w:hAnsi="Times New Roman" w:eastAsia="宋体" w:cs="Times New Roman"/>
                      <w:color w:val="auto"/>
                      <w:lang w:val="en-US"/>
                    </w:rPr>
                  </w:pPr>
                  <w:r>
                    <w:rPr>
                      <w:rFonts w:hint="eastAsia" w:ascii="Times New Roman" w:hAnsi="Times New Roman" w:eastAsia="宋体" w:cs="Times New Roman"/>
                      <w:color w:val="auto"/>
                      <w:lang w:val="en-US"/>
                    </w:rPr>
                    <w:t>5</w:t>
                  </w:r>
                  <w:r>
                    <w:rPr>
                      <w:rFonts w:ascii="Times New Roman" w:hAnsi="Times New Roman" w:eastAsia="宋体" w:cs="Times New Roman"/>
                      <w:color w:val="auto"/>
                      <w:lang w:val="en-US"/>
                    </w:rPr>
                    <w:t>kg</w:t>
                  </w:r>
                  <w:r>
                    <w:rPr>
                      <w:rFonts w:hint="eastAsia" w:ascii="Times New Roman" w:hAnsi="Times New Roman" w:eastAsia="宋体" w:cs="Times New Roman"/>
                      <w:color w:val="auto"/>
                      <w:lang w:val="en-US"/>
                    </w:rPr>
                    <w:t>/个，1</w:t>
                  </w:r>
                  <w:r>
                    <w:rPr>
                      <w:rFonts w:ascii="Times New Roman" w:hAnsi="Times New Roman" w:eastAsia="宋体" w:cs="Times New Roman"/>
                      <w:color w:val="auto"/>
                      <w:lang w:val="en-US"/>
                    </w:rPr>
                    <w:t>0</w:t>
                  </w:r>
                  <w:r>
                    <w:rPr>
                      <w:rFonts w:hint="eastAsia" w:ascii="Times New Roman" w:hAnsi="Times New Roman" w:eastAsia="宋体" w:cs="Times New Roman"/>
                      <w:color w:val="auto"/>
                      <w:lang w:val="en-US"/>
                    </w:rPr>
                    <w:t>个</w:t>
                  </w:r>
                </w:p>
              </w:tc>
              <w:tc>
                <w:tcPr>
                  <w:tcW w:w="831" w:type="pct"/>
                  <w:shd w:val="clear" w:color="auto" w:fill="auto"/>
                  <w:vAlign w:val="center"/>
                </w:tcPr>
                <w:p w14:paraId="4F02AA8D">
                  <w:pPr>
                    <w:pStyle w:val="130"/>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rPr>
                    <w:t>5</w:t>
                  </w:r>
                  <w:r>
                    <w:rPr>
                      <w:rFonts w:ascii="Times New Roman" w:hAnsi="Times New Roman" w:eastAsia="宋体" w:cs="Times New Roman"/>
                      <w:color w:val="auto"/>
                      <w:lang w:val="en-US"/>
                    </w:rPr>
                    <w:t>kg</w:t>
                  </w:r>
                  <w:r>
                    <w:rPr>
                      <w:rFonts w:hint="eastAsia" w:ascii="Times New Roman" w:hAnsi="Times New Roman" w:eastAsia="宋体" w:cs="Times New Roman"/>
                      <w:color w:val="auto"/>
                      <w:lang w:val="en-US"/>
                    </w:rPr>
                    <w:t>/个，1</w:t>
                  </w:r>
                  <w:r>
                    <w:rPr>
                      <w:rFonts w:ascii="Times New Roman" w:hAnsi="Times New Roman" w:eastAsia="宋体" w:cs="Times New Roman"/>
                      <w:color w:val="auto"/>
                      <w:lang w:val="en-US"/>
                    </w:rPr>
                    <w:t>0</w:t>
                  </w:r>
                  <w:r>
                    <w:rPr>
                      <w:rFonts w:hint="eastAsia" w:ascii="Times New Roman" w:hAnsi="Times New Roman" w:eastAsia="宋体" w:cs="Times New Roman"/>
                      <w:color w:val="auto"/>
                      <w:lang w:val="en-US"/>
                    </w:rPr>
                    <w:t>个</w:t>
                  </w:r>
                </w:p>
              </w:tc>
              <w:tc>
                <w:tcPr>
                  <w:tcW w:w="910" w:type="pct"/>
                  <w:vAlign w:val="center"/>
                </w:tcPr>
                <w:p w14:paraId="6395F480">
                  <w:pPr>
                    <w:pStyle w:val="130"/>
                    <w:spacing w:line="240" w:lineRule="auto"/>
                    <w:rPr>
                      <w:rFonts w:hint="eastAsia" w:ascii="Times New Roman" w:hAnsi="Times New Roman" w:eastAsia="宋体" w:cs="Times New Roman"/>
                      <w:color w:val="auto"/>
                      <w:lang w:val="en-US"/>
                    </w:rPr>
                  </w:pPr>
                  <w:r>
                    <w:rPr>
                      <w:rFonts w:hint="eastAsia" w:ascii="Times New Roman" w:hAnsi="Times New Roman" w:cs="Times New Roman"/>
                      <w:color w:val="auto"/>
                      <w:lang w:val="en-US" w:eastAsia="zh-CN"/>
                    </w:rPr>
                    <w:t>依托现有</w:t>
                  </w:r>
                </w:p>
              </w:tc>
              <w:tc>
                <w:tcPr>
                  <w:tcW w:w="1027" w:type="pct"/>
                  <w:vAlign w:val="center"/>
                </w:tcPr>
                <w:p w14:paraId="22133BFE">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环卫清运</w:t>
                  </w:r>
                </w:p>
              </w:tc>
            </w:tr>
            <w:tr w14:paraId="35D60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45CDBF26">
                  <w:pPr>
                    <w:pStyle w:val="130"/>
                    <w:spacing w:line="240" w:lineRule="auto"/>
                    <w:rPr>
                      <w:rFonts w:ascii="Times New Roman" w:hAnsi="Times New Roman" w:eastAsia="宋体" w:cs="Times New Roman"/>
                      <w:color w:val="auto"/>
                    </w:rPr>
                  </w:pPr>
                </w:p>
              </w:tc>
              <w:tc>
                <w:tcPr>
                  <w:tcW w:w="177" w:type="pct"/>
                  <w:vAlign w:val="center"/>
                </w:tcPr>
                <w:p w14:paraId="3B1DA69C">
                  <w:pPr>
                    <w:pStyle w:val="130"/>
                    <w:spacing w:line="240" w:lineRule="auto"/>
                    <w:jc w:val="left"/>
                    <w:rPr>
                      <w:rFonts w:ascii="Times New Roman" w:hAnsi="Times New Roman" w:eastAsia="宋体" w:cs="Times New Roman"/>
                      <w:color w:val="auto"/>
                    </w:rPr>
                  </w:pPr>
                  <w:r>
                    <w:rPr>
                      <w:rFonts w:ascii="Times New Roman" w:hAnsi="Times New Roman" w:eastAsia="宋体" w:cs="Times New Roman"/>
                      <w:color w:val="auto"/>
                    </w:rPr>
                    <w:t>噪声</w:t>
                  </w:r>
                </w:p>
              </w:tc>
              <w:tc>
                <w:tcPr>
                  <w:tcW w:w="772" w:type="pct"/>
                  <w:gridSpan w:val="2"/>
                  <w:vAlign w:val="center"/>
                </w:tcPr>
                <w:p w14:paraId="0EF28DCD">
                  <w:pPr>
                    <w:pStyle w:val="144"/>
                    <w:adjustRightInd w:val="0"/>
                    <w:snapToGrid w:val="0"/>
                    <w:ind w:firstLine="0" w:firstLineChars="0"/>
                    <w:jc w:val="center"/>
                    <w:rPr>
                      <w:color w:val="auto"/>
                      <w:sz w:val="21"/>
                      <w:szCs w:val="21"/>
                    </w:rPr>
                  </w:pPr>
                  <w:r>
                    <w:rPr>
                      <w:color w:val="auto"/>
                      <w:sz w:val="21"/>
                      <w:szCs w:val="21"/>
                    </w:rPr>
                    <w:t>隔声等防治措施</w:t>
                  </w:r>
                </w:p>
              </w:tc>
              <w:tc>
                <w:tcPr>
                  <w:tcW w:w="846" w:type="pct"/>
                  <w:vAlign w:val="center"/>
                </w:tcPr>
                <w:p w14:paraId="21B051E1">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w:t>
                  </w:r>
                  <w:r>
                    <w:rPr>
                      <w:rFonts w:ascii="Times New Roman" w:hAnsi="Times New Roman" w:eastAsia="宋体" w:cs="Times New Roman"/>
                      <w:color w:val="auto"/>
                      <w:lang w:val="en-US"/>
                    </w:rPr>
                    <w:t>25</w:t>
                  </w:r>
                  <w:r>
                    <w:rPr>
                      <w:rFonts w:ascii="Times New Roman" w:hAnsi="Times New Roman" w:eastAsia="宋体" w:cs="Times New Roman"/>
                      <w:color w:val="auto"/>
                    </w:rPr>
                    <w:t>dB(A)</w:t>
                  </w:r>
                </w:p>
              </w:tc>
              <w:tc>
                <w:tcPr>
                  <w:tcW w:w="831" w:type="pct"/>
                  <w:shd w:val="clear" w:color="auto" w:fill="auto"/>
                  <w:vAlign w:val="center"/>
                </w:tcPr>
                <w:p w14:paraId="1748F472">
                  <w:pPr>
                    <w:pStyle w:val="130"/>
                    <w:spacing w:line="240" w:lineRule="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rPr>
                    <w:t>≥</w:t>
                  </w:r>
                  <w:r>
                    <w:rPr>
                      <w:rFonts w:ascii="Times New Roman" w:hAnsi="Times New Roman" w:eastAsia="宋体" w:cs="Times New Roman"/>
                      <w:color w:val="auto"/>
                      <w:lang w:val="en-US"/>
                    </w:rPr>
                    <w:t>25</w:t>
                  </w:r>
                  <w:r>
                    <w:rPr>
                      <w:rFonts w:ascii="Times New Roman" w:hAnsi="Times New Roman" w:eastAsia="宋体" w:cs="Times New Roman"/>
                      <w:color w:val="auto"/>
                    </w:rPr>
                    <w:t>dB(A)</w:t>
                  </w:r>
                </w:p>
              </w:tc>
              <w:tc>
                <w:tcPr>
                  <w:tcW w:w="910" w:type="pct"/>
                  <w:vAlign w:val="center"/>
                </w:tcPr>
                <w:p w14:paraId="231A8714">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依托现有</w:t>
                  </w:r>
                </w:p>
              </w:tc>
              <w:tc>
                <w:tcPr>
                  <w:tcW w:w="1027" w:type="pct"/>
                  <w:vAlign w:val="center"/>
                </w:tcPr>
                <w:p w14:paraId="69AB32BE">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厂界达标</w:t>
                  </w:r>
                </w:p>
              </w:tc>
            </w:tr>
          </w:tbl>
          <w:p w14:paraId="7BA2C6B2">
            <w:pPr>
              <w:autoSpaceDE w:val="0"/>
              <w:autoSpaceDN w:val="0"/>
              <w:adjustRightInd w:val="0"/>
              <w:snapToGrid w:val="0"/>
              <w:spacing w:line="360" w:lineRule="auto"/>
              <w:ind w:firstLine="482" w:firstLineChars="200"/>
              <w:jc w:val="left"/>
              <w:rPr>
                <w:color w:val="auto"/>
                <w:sz w:val="24"/>
              </w:rPr>
            </w:pPr>
            <w:r>
              <w:rPr>
                <w:b/>
                <w:color w:val="auto"/>
                <w:kern w:val="0"/>
                <w:sz w:val="24"/>
              </w:rPr>
              <w:t>6.</w:t>
            </w:r>
            <w:r>
              <w:rPr>
                <w:rFonts w:hAnsi="宋体"/>
                <w:b/>
                <w:color w:val="auto"/>
                <w:kern w:val="0"/>
                <w:sz w:val="24"/>
              </w:rPr>
              <w:t>厂区平面布置</w:t>
            </w:r>
            <w:r>
              <w:rPr>
                <w:rFonts w:hint="eastAsia" w:hAnsi="宋体"/>
                <w:b/>
                <w:color w:val="auto"/>
                <w:kern w:val="0"/>
                <w:sz w:val="24"/>
              </w:rPr>
              <w:t>及周边环境概况</w:t>
            </w:r>
          </w:p>
          <w:p w14:paraId="7717E594">
            <w:pPr>
              <w:autoSpaceDE w:val="0"/>
              <w:autoSpaceDN w:val="0"/>
              <w:adjustRightInd w:val="0"/>
              <w:snapToGrid w:val="0"/>
              <w:spacing w:line="360" w:lineRule="auto"/>
              <w:ind w:firstLine="480" w:firstLineChars="200"/>
              <w:jc w:val="left"/>
              <w:rPr>
                <w:rFonts w:hAnsi="宋体"/>
                <w:color w:val="auto"/>
                <w:kern w:val="0"/>
                <w:sz w:val="24"/>
                <w:szCs w:val="20"/>
              </w:rPr>
            </w:pPr>
            <w:r>
              <w:rPr>
                <w:rFonts w:hint="eastAsia" w:hAnsi="宋体" w:cs="Times New Roman"/>
                <w:b w:val="0"/>
                <w:bCs/>
                <w:color w:val="auto"/>
                <w:kern w:val="2"/>
                <w:sz w:val="24"/>
                <w:szCs w:val="24"/>
                <w:lang w:val="en-US" w:eastAsia="zh-CN" w:bidi="ar-SA"/>
              </w:rPr>
              <w:t>本次扩建项目位于一期厂房内东南位置</w:t>
            </w:r>
            <w:r>
              <w:rPr>
                <w:rFonts w:hint="eastAsia" w:ascii="Times New Roman" w:hAnsi="宋体" w:eastAsia="宋体" w:cs="Times New Roman"/>
                <w:b w:val="0"/>
                <w:bCs/>
                <w:color w:val="auto"/>
                <w:kern w:val="2"/>
                <w:sz w:val="24"/>
                <w:szCs w:val="24"/>
                <w:lang w:val="en-US" w:eastAsia="zh-CN" w:bidi="ar-SA"/>
              </w:rPr>
              <w:t>，</w:t>
            </w:r>
            <w:r>
              <w:rPr>
                <w:rFonts w:hint="eastAsia" w:hAnsi="宋体" w:cs="Times New Roman"/>
                <w:b w:val="0"/>
                <w:bCs/>
                <w:color w:val="auto"/>
                <w:kern w:val="2"/>
                <w:sz w:val="24"/>
                <w:szCs w:val="24"/>
                <w:lang w:val="en-US" w:eastAsia="zh-CN" w:bidi="ar-SA"/>
              </w:rPr>
              <w:t>一期厂房</w:t>
            </w:r>
            <w:r>
              <w:rPr>
                <w:color w:val="auto"/>
                <w:sz w:val="24"/>
              </w:rPr>
              <w:t>平面布置根据不同生产工序布置不同车间，</w:t>
            </w:r>
            <w:r>
              <w:rPr>
                <w:rFonts w:hint="eastAsia"/>
                <w:color w:val="auto"/>
                <w:sz w:val="24"/>
                <w:lang w:eastAsia="zh-CN"/>
              </w:rPr>
              <w:t>厂房内左半幅由北至南</w:t>
            </w:r>
            <w:r>
              <w:rPr>
                <w:color w:val="auto"/>
                <w:sz w:val="24"/>
              </w:rPr>
              <w:t>按照功能划分</w:t>
            </w:r>
            <w:r>
              <w:rPr>
                <w:rFonts w:hint="eastAsia"/>
                <w:color w:val="auto"/>
                <w:sz w:val="24"/>
                <w:lang w:eastAsia="zh-CN"/>
              </w:rPr>
              <w:t>：辅料库、一车间、二车间、速冻间、外包车间；厂房内右半幅由北至南</w:t>
            </w:r>
            <w:r>
              <w:rPr>
                <w:color w:val="auto"/>
                <w:sz w:val="24"/>
              </w:rPr>
              <w:t>按照功能划分</w:t>
            </w:r>
            <w:r>
              <w:rPr>
                <w:rFonts w:hint="eastAsia"/>
                <w:color w:val="auto"/>
                <w:sz w:val="24"/>
                <w:lang w:eastAsia="zh-CN"/>
              </w:rPr>
              <w:t>配料间、熬油间、内包车间、杀菌车间、裙带菜车间、鱼皮车间、包材库。扩建项目裙带菜车间由西向东布局：清洗、挑拣、脱水、调味、包装、速冻工序；鱼皮车间由西向东布局解冻、挑拣、泡发、清洗、漂烫、冷却、切制、冷却、控水、调味、包装工序。</w:t>
            </w:r>
            <w:r>
              <w:rPr>
                <w:rFonts w:hint="eastAsia" w:ascii="Times New Roman" w:hAnsi="宋体" w:eastAsia="宋体" w:cs="Times New Roman"/>
                <w:b w:val="0"/>
                <w:bCs/>
                <w:color w:val="auto"/>
                <w:kern w:val="2"/>
                <w:sz w:val="24"/>
                <w:szCs w:val="24"/>
                <w:lang w:val="en-US" w:eastAsia="zh-CN" w:bidi="ar-SA"/>
              </w:rPr>
              <w:t>具</w:t>
            </w:r>
            <w:r>
              <w:rPr>
                <w:rFonts w:hAnsi="宋体"/>
                <w:color w:val="auto"/>
                <w:kern w:val="0"/>
                <w:sz w:val="24"/>
                <w:szCs w:val="20"/>
              </w:rPr>
              <w:t>体平面布置图见</w:t>
            </w:r>
            <w:r>
              <w:rPr>
                <w:rFonts w:hAnsi="宋体"/>
                <w:b/>
                <w:color w:val="auto"/>
                <w:kern w:val="0"/>
                <w:sz w:val="24"/>
                <w:szCs w:val="20"/>
              </w:rPr>
              <w:t>附图</w:t>
            </w:r>
            <w:r>
              <w:rPr>
                <w:rFonts w:hint="eastAsia" w:hAnsi="宋体" w:cs="Times New Roman"/>
                <w:b/>
                <w:color w:val="auto"/>
                <w:kern w:val="0"/>
                <w:sz w:val="24"/>
                <w:szCs w:val="20"/>
                <w:lang w:val="en-US" w:eastAsia="zh-CN"/>
              </w:rPr>
              <w:t>5</w:t>
            </w:r>
            <w:r>
              <w:rPr>
                <w:rFonts w:ascii="Times New Roman" w:hAnsi="宋体" w:eastAsia="宋体" w:cs="Times New Roman"/>
                <w:b/>
                <w:color w:val="auto"/>
                <w:kern w:val="0"/>
                <w:sz w:val="24"/>
                <w:szCs w:val="20"/>
              </w:rPr>
              <w:t>。</w:t>
            </w:r>
          </w:p>
          <w:p w14:paraId="0A909387">
            <w:pPr>
              <w:pStyle w:val="40"/>
              <w:spacing w:line="360" w:lineRule="auto"/>
              <w:ind w:firstLine="480"/>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本项目位于江苏涟水经济开发区涟水路3号，厂区北侧为双拥路，南侧为祥和路，东侧为涟水路；西侧为创业路。周边环境概况图见附图</w:t>
            </w:r>
            <w:r>
              <w:rPr>
                <w:rFonts w:hint="eastAsia" w:ascii="Times New Roman" w:cs="Times New Roman"/>
                <w:b w:val="0"/>
                <w:bCs/>
                <w:color w:val="auto"/>
                <w:kern w:val="2"/>
                <w:sz w:val="24"/>
                <w:szCs w:val="24"/>
                <w:lang w:val="en-US" w:eastAsia="zh-CN" w:bidi="ar-SA"/>
              </w:rPr>
              <w:t>6</w:t>
            </w:r>
            <w:r>
              <w:rPr>
                <w:rFonts w:hint="eastAsia" w:ascii="Times New Roman" w:hAnsi="宋体" w:eastAsia="宋体" w:cs="Times New Roman"/>
                <w:b w:val="0"/>
                <w:bCs/>
                <w:color w:val="auto"/>
                <w:kern w:val="2"/>
                <w:sz w:val="24"/>
                <w:szCs w:val="24"/>
                <w:lang w:val="en-US" w:eastAsia="zh-CN" w:bidi="ar-SA"/>
              </w:rPr>
              <w:t>。</w:t>
            </w:r>
          </w:p>
          <w:p w14:paraId="6523C494">
            <w:pPr>
              <w:numPr>
                <w:ilvl w:val="0"/>
                <w:numId w:val="2"/>
              </w:numPr>
              <w:autoSpaceDE w:val="0"/>
              <w:autoSpaceDN w:val="0"/>
              <w:adjustRightInd w:val="0"/>
              <w:snapToGrid w:val="0"/>
              <w:spacing w:line="360" w:lineRule="auto"/>
              <w:ind w:firstLine="482" w:firstLineChars="200"/>
              <w:jc w:val="left"/>
              <w:rPr>
                <w:rFonts w:hAnsi="宋体"/>
                <w:b/>
                <w:color w:val="auto"/>
                <w:sz w:val="24"/>
              </w:rPr>
            </w:pPr>
            <w:r>
              <w:rPr>
                <w:rFonts w:hAnsi="宋体"/>
                <w:b/>
                <w:color w:val="auto"/>
                <w:sz w:val="24"/>
              </w:rPr>
              <w:t>水平衡分析</w:t>
            </w:r>
          </w:p>
          <w:p w14:paraId="798C8F82">
            <w:pPr>
              <w:keepNext/>
              <w:spacing w:line="360" w:lineRule="auto"/>
              <w:ind w:firstLine="480" w:firstLineChars="200"/>
              <w:rPr>
                <w:color w:val="auto"/>
                <w:sz w:val="24"/>
              </w:rPr>
            </w:pPr>
            <w:r>
              <w:rPr>
                <w:color w:val="auto"/>
                <w:sz w:val="24"/>
              </w:rPr>
              <w:t>（1）给排水</w:t>
            </w:r>
          </w:p>
          <w:p w14:paraId="308034E0">
            <w:pPr>
              <w:keepNext/>
              <w:spacing w:line="360" w:lineRule="auto"/>
              <w:ind w:firstLine="482" w:firstLineChars="200"/>
              <w:rPr>
                <w:rFonts w:hint="default" w:ascii="Times New Roman" w:hAnsi="Times New Roman" w:cs="Times New Roman"/>
                <w:color w:val="auto"/>
                <w:sz w:val="24"/>
                <w:szCs w:val="24"/>
              </w:rPr>
            </w:pPr>
            <w:r>
              <w:rPr>
                <w:b/>
                <w:color w:val="auto"/>
                <w:sz w:val="24"/>
              </w:rPr>
              <w:t>给水</w:t>
            </w:r>
            <w:r>
              <w:rPr>
                <w:color w:val="auto"/>
                <w:sz w:val="24"/>
              </w:rPr>
              <w:t>：</w:t>
            </w:r>
            <w:r>
              <w:rPr>
                <w:rFonts w:hint="default"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项目主要用水为职工生活用水、食堂用水、生产用水、设备冲洗用水、生产车间地面清洁用水，年用量为</w:t>
            </w:r>
            <w:r>
              <w:rPr>
                <w:rFonts w:hint="eastAsia" w:ascii="Times New Roman" w:hAnsi="Times New Roman" w:cs="Times New Roman"/>
                <w:color w:val="auto"/>
                <w:sz w:val="24"/>
                <w:szCs w:val="24"/>
                <w:lang w:val="en-US" w:eastAsia="zh-CN"/>
              </w:rPr>
              <w:t>56773</w:t>
            </w:r>
            <w:r>
              <w:rPr>
                <w:rFonts w:hint="default" w:ascii="Times New Roman" w:hAnsi="Times New Roman" w:cs="Times New Roman"/>
                <w:color w:val="auto"/>
                <w:sz w:val="24"/>
                <w:szCs w:val="24"/>
              </w:rPr>
              <w:t>t，均来自市政自来水管网。</w:t>
            </w:r>
          </w:p>
          <w:p w14:paraId="4990672A">
            <w:pPr>
              <w:pStyle w:val="76"/>
              <w:keepNext/>
              <w:numPr>
                <w:ilvl w:val="0"/>
                <w:numId w:val="3"/>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职工生活用水</w:t>
            </w:r>
          </w:p>
          <w:p w14:paraId="59FCFC7E">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职工生活用水主要为职工盥洗、厕所冲洗等。</w:t>
            </w: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新增</w:t>
            </w:r>
            <w:r>
              <w:rPr>
                <w:rFonts w:hint="default" w:ascii="Times New Roman" w:hAnsi="Times New Roman" w:cs="Times New Roman"/>
                <w:color w:val="auto"/>
                <w:sz w:val="24"/>
                <w:szCs w:val="24"/>
              </w:rPr>
              <w:t>职工人数为</w:t>
            </w:r>
            <w:r>
              <w:rPr>
                <w:rFonts w:hint="eastAsia" w:cs="Times New Roman"/>
                <w:color w:val="auto"/>
                <w:sz w:val="24"/>
                <w:szCs w:val="24"/>
                <w:lang w:val="en-US" w:eastAsia="zh-CN"/>
              </w:rPr>
              <w:t>20</w:t>
            </w:r>
            <w:r>
              <w:rPr>
                <w:rFonts w:hint="default" w:ascii="Times New Roman" w:hAnsi="Times New Roman" w:cs="Times New Roman"/>
                <w:color w:val="auto"/>
                <w:sz w:val="24"/>
                <w:szCs w:val="24"/>
              </w:rPr>
              <w:t>人，根据《建筑给水排水设计标准》（GB50015-2019），生活用水定额按60L每人每天，全年按300天计，职工生活用水为</w:t>
            </w:r>
            <w:r>
              <w:rPr>
                <w:rFonts w:hint="eastAsia" w:cs="Times New Roman"/>
                <w:color w:val="auto"/>
                <w:sz w:val="24"/>
                <w:szCs w:val="24"/>
                <w:lang w:val="en-US" w:eastAsia="zh-CN"/>
              </w:rPr>
              <w:t>360</w:t>
            </w:r>
            <w:r>
              <w:rPr>
                <w:rFonts w:hint="default" w:ascii="Times New Roman" w:hAnsi="Times New Roman" w:cs="Times New Roman"/>
                <w:color w:val="auto"/>
                <w:sz w:val="24"/>
                <w:szCs w:val="24"/>
              </w:rPr>
              <w:t>t/a。</w:t>
            </w:r>
          </w:p>
          <w:p w14:paraId="0F0FA06D">
            <w:pPr>
              <w:pStyle w:val="76"/>
              <w:keepNext/>
              <w:numPr>
                <w:ilvl w:val="0"/>
                <w:numId w:val="3"/>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食堂用水</w:t>
            </w:r>
          </w:p>
          <w:p w14:paraId="5846BD47">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新增</w:t>
            </w:r>
            <w:r>
              <w:rPr>
                <w:rFonts w:hint="default" w:ascii="Times New Roman" w:hAnsi="Times New Roman" w:cs="Times New Roman"/>
                <w:color w:val="auto"/>
                <w:sz w:val="24"/>
                <w:szCs w:val="24"/>
              </w:rPr>
              <w:t>职工总人数为</w:t>
            </w:r>
            <w:r>
              <w:rPr>
                <w:rFonts w:hint="eastAsia" w:cs="Times New Roman"/>
                <w:color w:val="auto"/>
                <w:sz w:val="24"/>
                <w:szCs w:val="24"/>
                <w:lang w:val="en-US" w:eastAsia="zh-CN"/>
              </w:rPr>
              <w:t>20</w:t>
            </w:r>
            <w:r>
              <w:rPr>
                <w:rFonts w:hint="default" w:ascii="Times New Roman" w:hAnsi="Times New Roman" w:cs="Times New Roman"/>
                <w:color w:val="auto"/>
                <w:sz w:val="24"/>
                <w:szCs w:val="24"/>
              </w:rPr>
              <w:t>人，根据《建筑给水排水设计标准》（GB50015-2019），食堂用水定额按40L每人每天，全年按300天计，职工食堂餐饮用水为</w:t>
            </w:r>
            <w:r>
              <w:rPr>
                <w:rFonts w:hint="eastAsia" w:cs="Times New Roman"/>
                <w:color w:val="auto"/>
                <w:sz w:val="24"/>
                <w:szCs w:val="24"/>
                <w:lang w:val="en-US" w:eastAsia="zh-CN"/>
              </w:rPr>
              <w:t>240</w:t>
            </w:r>
            <w:r>
              <w:rPr>
                <w:rFonts w:hint="default" w:ascii="Times New Roman" w:hAnsi="Times New Roman" w:cs="Times New Roman"/>
                <w:color w:val="auto"/>
                <w:sz w:val="24"/>
                <w:szCs w:val="24"/>
              </w:rPr>
              <w:t>t/a。</w:t>
            </w:r>
          </w:p>
          <w:p w14:paraId="02D669C4">
            <w:pPr>
              <w:pStyle w:val="76"/>
              <w:keepNext/>
              <w:numPr>
                <w:ilvl w:val="0"/>
                <w:numId w:val="3"/>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生产</w:t>
            </w:r>
            <w:r>
              <w:rPr>
                <w:rFonts w:hint="eastAsia" w:cs="Times New Roman"/>
                <w:color w:val="auto"/>
                <w:sz w:val="24"/>
                <w:szCs w:val="24"/>
                <w:lang w:eastAsia="zh-CN"/>
              </w:rPr>
              <w:t>用</w:t>
            </w:r>
            <w:r>
              <w:rPr>
                <w:rFonts w:hint="default" w:ascii="Times New Roman" w:hAnsi="Times New Roman" w:cs="Times New Roman"/>
                <w:color w:val="auto"/>
                <w:sz w:val="24"/>
                <w:szCs w:val="24"/>
              </w:rPr>
              <w:t>水</w:t>
            </w:r>
          </w:p>
          <w:p w14:paraId="7EF304D8">
            <w:pPr>
              <w:keepNext/>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1.原料清洗用水：</w:t>
            </w:r>
            <w:r>
              <w:rPr>
                <w:rFonts w:hint="default" w:ascii="Times New Roman" w:hAnsi="Times New Roman" w:cs="Times New Roman"/>
                <w:color w:val="auto"/>
                <w:sz w:val="24"/>
                <w:szCs w:val="24"/>
              </w:rPr>
              <w:t>根据下文核算生产废水的产生量合计为</w:t>
            </w:r>
            <w:r>
              <w:rPr>
                <w:rFonts w:hint="eastAsia" w:cs="Times New Roman"/>
                <w:color w:val="auto"/>
                <w:sz w:val="24"/>
                <w:szCs w:val="24"/>
                <w:lang w:val="en-US" w:eastAsia="zh-CN"/>
              </w:rPr>
              <w:t>42000</w:t>
            </w:r>
            <w:r>
              <w:rPr>
                <w:rFonts w:hint="default" w:ascii="Times New Roman" w:hAnsi="Times New Roman" w:cs="Times New Roman"/>
                <w:color w:val="auto"/>
                <w:sz w:val="24"/>
                <w:szCs w:val="24"/>
              </w:rPr>
              <w:t>t/a，产污系数取</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0%，则生产</w:t>
            </w:r>
            <w:r>
              <w:rPr>
                <w:rFonts w:hint="eastAsia" w:cs="Times New Roman"/>
                <w:color w:val="auto"/>
                <w:sz w:val="24"/>
                <w:szCs w:val="24"/>
                <w:lang w:eastAsia="zh-CN"/>
              </w:rPr>
              <w:t>用的</w:t>
            </w:r>
            <w:r>
              <w:rPr>
                <w:rFonts w:hint="default" w:ascii="Times New Roman" w:hAnsi="Times New Roman" w:cs="Times New Roman"/>
                <w:color w:val="auto"/>
                <w:sz w:val="24"/>
                <w:szCs w:val="24"/>
              </w:rPr>
              <w:t>水为</w:t>
            </w:r>
            <w:r>
              <w:rPr>
                <w:rFonts w:hint="eastAsia" w:cs="Times New Roman"/>
                <w:color w:val="auto"/>
                <w:sz w:val="24"/>
                <w:szCs w:val="24"/>
                <w:lang w:val="en-US" w:eastAsia="zh-CN"/>
              </w:rPr>
              <w:t>52500</w:t>
            </w:r>
            <w:r>
              <w:rPr>
                <w:rFonts w:hint="default" w:ascii="Times New Roman" w:hAnsi="Times New Roman" w:cs="Times New Roman"/>
                <w:color w:val="auto"/>
                <w:sz w:val="24"/>
                <w:szCs w:val="24"/>
              </w:rPr>
              <w:t>t/a。本项目蒸汽用量</w:t>
            </w:r>
            <w:r>
              <w:rPr>
                <w:rFonts w:hint="eastAsia" w:ascii="Times New Roman" w:hAnsi="Times New Roman" w:cs="Times New Roman"/>
                <w:color w:val="auto"/>
                <w:sz w:val="24"/>
                <w:szCs w:val="24"/>
                <w:lang w:val="en-US" w:eastAsia="zh-CN"/>
              </w:rPr>
              <w:t>1500</w:t>
            </w:r>
            <w:r>
              <w:rPr>
                <w:rFonts w:hint="default" w:ascii="Times New Roman" w:hAnsi="Times New Roman" w:cs="Times New Roman"/>
                <w:color w:val="auto"/>
                <w:sz w:val="24"/>
                <w:szCs w:val="24"/>
              </w:rPr>
              <w:t>t/a，损耗率20%，产生</w:t>
            </w:r>
            <w:r>
              <w:rPr>
                <w:rFonts w:hint="eastAsia" w:ascii="Times New Roman" w:hAnsi="Times New Roman" w:cs="Times New Roman"/>
                <w:color w:val="auto"/>
                <w:sz w:val="24"/>
                <w:szCs w:val="24"/>
                <w:lang w:val="en-US" w:eastAsia="zh-CN"/>
              </w:rPr>
              <w:t>1200</w:t>
            </w:r>
            <w:r>
              <w:rPr>
                <w:rFonts w:hint="default" w:ascii="Times New Roman" w:hAnsi="Times New Roman" w:cs="Times New Roman"/>
                <w:color w:val="auto"/>
                <w:sz w:val="24"/>
                <w:szCs w:val="24"/>
              </w:rPr>
              <w:t>t/a的蒸汽冷凝水，蒸汽冷凝水回用于生产</w:t>
            </w:r>
            <w:r>
              <w:rPr>
                <w:rFonts w:hint="eastAsia" w:ascii="Times New Roman" w:hAnsi="Times New Roman" w:cs="Times New Roman"/>
                <w:color w:val="auto"/>
                <w:sz w:val="24"/>
                <w:szCs w:val="24"/>
                <w:lang w:eastAsia="zh-CN"/>
              </w:rPr>
              <w:t>中</w:t>
            </w:r>
            <w:r>
              <w:rPr>
                <w:rFonts w:hint="eastAsia" w:cs="Times New Roman"/>
                <w:color w:val="auto"/>
                <w:sz w:val="24"/>
                <w:szCs w:val="24"/>
                <w:lang w:eastAsia="zh-CN"/>
              </w:rPr>
              <w:t>漂烫工序</w:t>
            </w:r>
            <w:r>
              <w:rPr>
                <w:rFonts w:hint="default" w:ascii="Times New Roman" w:hAnsi="Times New Roman" w:cs="Times New Roman"/>
                <w:color w:val="auto"/>
                <w:sz w:val="24"/>
                <w:szCs w:val="24"/>
              </w:rPr>
              <w:t>蒸煮设备加热</w:t>
            </w:r>
            <w:r>
              <w:rPr>
                <w:rFonts w:hint="eastAsia" w:cs="Times New Roman"/>
                <w:color w:val="auto"/>
                <w:sz w:val="24"/>
                <w:szCs w:val="24"/>
                <w:lang w:eastAsia="zh-CN"/>
              </w:rPr>
              <w:t>（该环节不与食品接触，仅将收集的冷凝水与新鲜水混合后进入夹层管道给设备加热）</w:t>
            </w:r>
            <w:r>
              <w:rPr>
                <w:rFonts w:hint="default" w:ascii="Times New Roman" w:hAnsi="Times New Roman" w:cs="Times New Roman"/>
                <w:color w:val="auto"/>
                <w:sz w:val="24"/>
                <w:szCs w:val="24"/>
              </w:rPr>
              <w:t>，则生产所需要的新鲜水为</w:t>
            </w:r>
            <w:r>
              <w:rPr>
                <w:rFonts w:hint="eastAsia" w:cs="Times New Roman"/>
                <w:color w:val="auto"/>
                <w:sz w:val="24"/>
                <w:szCs w:val="24"/>
                <w:lang w:val="en-US" w:eastAsia="zh-CN"/>
              </w:rPr>
              <w:t>51300</w:t>
            </w:r>
            <w:r>
              <w:rPr>
                <w:rFonts w:hint="default" w:ascii="Times New Roman" w:hAnsi="Times New Roman" w:cs="Times New Roman"/>
                <w:color w:val="auto"/>
                <w:sz w:val="24"/>
                <w:szCs w:val="24"/>
              </w:rPr>
              <w:t>t/a。</w:t>
            </w:r>
            <w:r>
              <w:rPr>
                <w:rFonts w:hint="eastAsia" w:cs="Times New Roman"/>
                <w:color w:val="auto"/>
                <w:sz w:val="24"/>
                <w:szCs w:val="24"/>
                <w:lang w:eastAsia="zh-CN"/>
              </w:rPr>
              <w:t>生产线用水分别用于：调味鱼皮生产线（解冻、泡发、清洗、漂烫、冷却工序）、速冻调味裙带菜生产线（脱盐清洗、消毒、清洗、脱水工序）。</w:t>
            </w:r>
          </w:p>
          <w:p w14:paraId="60599662">
            <w:pPr>
              <w:keepNext/>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设备冲洗用水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根据厂家提供资料</w:t>
            </w:r>
            <w:r>
              <w:rPr>
                <w:rFonts w:hint="eastAsia" w:cs="Times New Roman"/>
                <w:color w:val="auto"/>
                <w:sz w:val="24"/>
                <w:szCs w:val="24"/>
                <w:lang w:val="en-US" w:eastAsia="zh-CN"/>
              </w:rPr>
              <w:t>以及企业根据现有项目生产经验</w:t>
            </w:r>
            <w:r>
              <w:rPr>
                <w:rFonts w:hint="default" w:ascii="Times New Roman" w:hAnsi="Times New Roman" w:eastAsia="宋体" w:cs="Times New Roman"/>
                <w:color w:val="auto"/>
                <w:sz w:val="24"/>
                <w:szCs w:val="24"/>
                <w:lang w:val="en-US" w:eastAsia="zh-CN"/>
              </w:rPr>
              <w:t>，生产车间的设备每天冲洗</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次，每次用水量</w:t>
            </w:r>
            <w:r>
              <w:rPr>
                <w:rFonts w:hint="eastAsia"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t，一年工作300天，则生产车间设备冲洗水为</w:t>
            </w:r>
            <w:r>
              <w:rPr>
                <w:rFonts w:hint="eastAsia" w:cs="Times New Roman"/>
                <w:color w:val="auto"/>
                <w:sz w:val="24"/>
                <w:szCs w:val="24"/>
                <w:lang w:val="en-US" w:eastAsia="zh-CN"/>
              </w:rPr>
              <w:t>4500</w:t>
            </w:r>
            <w:r>
              <w:rPr>
                <w:rFonts w:hint="default" w:ascii="Times New Roman" w:hAnsi="Times New Roman" w:eastAsia="宋体" w:cs="Times New Roman"/>
                <w:color w:val="auto"/>
                <w:sz w:val="24"/>
                <w:szCs w:val="24"/>
                <w:lang w:val="en-US" w:eastAsia="zh-CN"/>
              </w:rPr>
              <w:t>t/a。</w:t>
            </w:r>
          </w:p>
          <w:p w14:paraId="3BD89A3E">
            <w:pPr>
              <w:keepNext/>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生产车间地面清洁用水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根据厂家提供资料，本项目使用高压水枪每天冲洗生产地面一次，生产车间的面积为</w:t>
            </w:r>
            <w:r>
              <w:rPr>
                <w:rFonts w:hint="eastAsia" w:cs="Times New Roman"/>
                <w:color w:val="auto"/>
                <w:sz w:val="24"/>
                <w:szCs w:val="24"/>
                <w:lang w:val="en-US" w:eastAsia="zh-CN"/>
              </w:rPr>
              <w:t>1380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，每天每平方米的用水量为0.899kg，一年工作300天，则生产车间的地面清洗用水</w:t>
            </w:r>
            <w:r>
              <w:rPr>
                <w:rFonts w:hint="eastAsia"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373</w:t>
            </w:r>
            <w:r>
              <w:rPr>
                <w:rFonts w:hint="default" w:ascii="Times New Roman" w:hAnsi="Times New Roman" w:eastAsia="宋体" w:cs="Times New Roman"/>
                <w:color w:val="auto"/>
                <w:sz w:val="24"/>
                <w:szCs w:val="24"/>
                <w:lang w:val="en-US" w:eastAsia="zh-CN"/>
              </w:rPr>
              <w:t>t/a。</w:t>
            </w:r>
          </w:p>
          <w:p w14:paraId="142589A7">
            <w:pPr>
              <w:pStyle w:val="76"/>
              <w:keepNext/>
              <w:numPr>
                <w:ilvl w:val="0"/>
                <w:numId w:val="3"/>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管道蒸汽</w:t>
            </w:r>
          </w:p>
          <w:p w14:paraId="30A62163">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项目在</w:t>
            </w:r>
            <w:r>
              <w:rPr>
                <w:rFonts w:hint="eastAsia" w:cs="Times New Roman"/>
                <w:color w:val="auto"/>
                <w:sz w:val="24"/>
                <w:szCs w:val="24"/>
                <w:lang w:eastAsia="zh-CN"/>
              </w:rPr>
              <w:t>漂烫</w:t>
            </w:r>
            <w:r>
              <w:rPr>
                <w:rFonts w:hint="default" w:ascii="Times New Roman" w:hAnsi="Times New Roman" w:cs="Times New Roman"/>
                <w:color w:val="auto"/>
                <w:sz w:val="24"/>
                <w:szCs w:val="24"/>
              </w:rPr>
              <w:t>工序使用管道蒸汽进行间接加热，蒸汽由经济开发区的蒸汽管网提供，每年使用的蒸汽量为</w:t>
            </w:r>
            <w:r>
              <w:rPr>
                <w:rFonts w:hint="eastAsia" w:cs="Times New Roman"/>
                <w:color w:val="auto"/>
                <w:sz w:val="24"/>
                <w:szCs w:val="24"/>
                <w:lang w:val="en-US" w:eastAsia="zh-CN"/>
              </w:rPr>
              <w:t>1500</w:t>
            </w:r>
            <w:r>
              <w:rPr>
                <w:rFonts w:hint="default" w:ascii="Times New Roman" w:hAnsi="Times New Roman" w:cs="Times New Roman"/>
                <w:color w:val="auto"/>
                <w:sz w:val="24"/>
                <w:szCs w:val="24"/>
              </w:rPr>
              <w:t>t/a。</w:t>
            </w:r>
          </w:p>
          <w:p w14:paraId="5773577B">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排水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项目所有原辅材料均存放于车间、仓库内，因此本项目不考虑初期雨水的收集。本项目产生的废水主要有</w:t>
            </w:r>
            <w:r>
              <w:rPr>
                <w:rFonts w:hint="eastAsia" w:ascii="Times New Roman" w:hAnsi="Times New Roman" w:cs="Times New Roman"/>
                <w:color w:val="auto"/>
                <w:sz w:val="24"/>
                <w:szCs w:val="24"/>
                <w:lang w:eastAsia="zh-CN"/>
              </w:rPr>
              <w:t>新增</w:t>
            </w:r>
            <w:r>
              <w:rPr>
                <w:rFonts w:hint="default" w:ascii="Times New Roman" w:hAnsi="Times New Roman" w:cs="Times New Roman"/>
                <w:color w:val="auto"/>
                <w:sz w:val="24"/>
                <w:szCs w:val="24"/>
              </w:rPr>
              <w:t>职工生活废水、食堂废水、生产</w:t>
            </w:r>
            <w:r>
              <w:rPr>
                <w:rFonts w:hint="eastAsia" w:cs="Times New Roman"/>
                <w:color w:val="auto"/>
                <w:sz w:val="24"/>
                <w:szCs w:val="24"/>
                <w:lang w:eastAsia="zh-CN"/>
              </w:rPr>
              <w:t>工序</w:t>
            </w:r>
            <w:r>
              <w:rPr>
                <w:rFonts w:hint="default" w:ascii="Times New Roman" w:hAnsi="Times New Roman" w:cs="Times New Roman"/>
                <w:color w:val="auto"/>
                <w:sz w:val="24"/>
                <w:szCs w:val="24"/>
              </w:rPr>
              <w:t>用水、设备清洗废水、生产车间地面清洁废水。</w:t>
            </w:r>
          </w:p>
          <w:p w14:paraId="43E08ACC">
            <w:pPr>
              <w:pStyle w:val="76"/>
              <w:keepNext/>
              <w:numPr>
                <w:ilvl w:val="0"/>
                <w:numId w:val="4"/>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职工</w:t>
            </w:r>
            <w:r>
              <w:rPr>
                <w:rFonts w:hint="eastAsia" w:cs="Times New Roman"/>
                <w:color w:val="auto"/>
                <w:sz w:val="24"/>
                <w:szCs w:val="24"/>
                <w:lang w:eastAsia="zh-CN"/>
              </w:rPr>
              <w:t>生活污水</w:t>
            </w:r>
          </w:p>
          <w:p w14:paraId="4B5B452B">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职工</w:t>
            </w:r>
            <w:r>
              <w:rPr>
                <w:rFonts w:hint="eastAsia" w:cs="Times New Roman"/>
                <w:color w:val="auto"/>
                <w:sz w:val="24"/>
                <w:szCs w:val="24"/>
                <w:lang w:eastAsia="zh-CN"/>
              </w:rPr>
              <w:t>生活污水</w:t>
            </w:r>
            <w:r>
              <w:rPr>
                <w:rFonts w:hint="default" w:ascii="Times New Roman" w:hAnsi="Times New Roman" w:cs="Times New Roman"/>
                <w:color w:val="auto"/>
                <w:sz w:val="24"/>
                <w:szCs w:val="24"/>
              </w:rPr>
              <w:t>主要来源于职工盥洗、厕所冲洗等。职工生活用水为</w:t>
            </w:r>
            <w:r>
              <w:rPr>
                <w:rFonts w:hint="eastAsia" w:cs="Times New Roman"/>
                <w:color w:val="auto"/>
                <w:sz w:val="24"/>
                <w:szCs w:val="24"/>
                <w:lang w:val="en-US" w:eastAsia="zh-CN"/>
              </w:rPr>
              <w:t>360</w:t>
            </w:r>
            <w:r>
              <w:rPr>
                <w:rFonts w:hint="default" w:ascii="Times New Roman" w:hAnsi="Times New Roman" w:cs="Times New Roman"/>
                <w:color w:val="auto"/>
                <w:sz w:val="24"/>
                <w:szCs w:val="24"/>
              </w:rPr>
              <w:t>t/a，排水系数以0.8计，则职工</w:t>
            </w:r>
            <w:r>
              <w:rPr>
                <w:rFonts w:hint="eastAsia" w:cs="Times New Roman"/>
                <w:color w:val="auto"/>
                <w:sz w:val="24"/>
                <w:szCs w:val="24"/>
                <w:lang w:eastAsia="zh-CN"/>
              </w:rPr>
              <w:t>生活污水</w:t>
            </w:r>
            <w:r>
              <w:rPr>
                <w:rFonts w:hint="default" w:ascii="Times New Roman" w:hAnsi="Times New Roman" w:cs="Times New Roman"/>
                <w:color w:val="auto"/>
                <w:sz w:val="24"/>
                <w:szCs w:val="24"/>
              </w:rPr>
              <w:t>排水量为</w:t>
            </w:r>
            <w:r>
              <w:rPr>
                <w:rFonts w:hint="eastAsia" w:cs="Times New Roman"/>
                <w:color w:val="auto"/>
                <w:sz w:val="24"/>
                <w:szCs w:val="24"/>
                <w:lang w:val="en-US" w:eastAsia="zh-CN"/>
              </w:rPr>
              <w:t>288</w:t>
            </w:r>
            <w:r>
              <w:rPr>
                <w:rFonts w:hint="default" w:ascii="Times New Roman" w:hAnsi="Times New Roman" w:cs="Times New Roman"/>
                <w:color w:val="auto"/>
                <w:sz w:val="24"/>
                <w:szCs w:val="24"/>
              </w:rPr>
              <w:t>t/a。</w:t>
            </w:r>
            <w:r>
              <w:rPr>
                <w:rFonts w:hint="eastAsia" w:cs="Times New Roman"/>
                <w:color w:val="auto"/>
                <w:sz w:val="24"/>
                <w:szCs w:val="24"/>
                <w:lang w:eastAsia="zh-CN"/>
              </w:rPr>
              <w:t>生活污水</w:t>
            </w:r>
            <w:r>
              <w:rPr>
                <w:rFonts w:hint="default" w:ascii="Times New Roman" w:hAnsi="Times New Roman" w:cs="Times New Roman"/>
                <w:color w:val="auto"/>
                <w:sz w:val="24"/>
                <w:szCs w:val="24"/>
              </w:rPr>
              <w:t>经化粪池处理后排入厂区污水处理站，经污水处理站处理达标后接管至涟水经济开发区西区污水处理厂。</w:t>
            </w:r>
          </w:p>
          <w:p w14:paraId="296A4B48">
            <w:pPr>
              <w:pStyle w:val="76"/>
              <w:keepNext/>
              <w:numPr>
                <w:ilvl w:val="0"/>
                <w:numId w:val="4"/>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食堂废水</w:t>
            </w:r>
          </w:p>
          <w:p w14:paraId="119732E5">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项目职工食堂餐饮用水为</w:t>
            </w:r>
            <w:r>
              <w:rPr>
                <w:rFonts w:hint="eastAsia" w:cs="Times New Roman"/>
                <w:color w:val="auto"/>
                <w:sz w:val="24"/>
                <w:szCs w:val="24"/>
                <w:lang w:val="en-US" w:eastAsia="zh-CN"/>
              </w:rPr>
              <w:t>240</w:t>
            </w:r>
            <w:r>
              <w:rPr>
                <w:rFonts w:hint="default" w:ascii="Times New Roman" w:hAnsi="Times New Roman" w:cs="Times New Roman"/>
                <w:color w:val="auto"/>
                <w:sz w:val="24"/>
                <w:szCs w:val="24"/>
              </w:rPr>
              <w:t>t/a，排水系数以0.8计，则餐饮废水排放量为</w:t>
            </w:r>
            <w:r>
              <w:rPr>
                <w:rFonts w:hint="eastAsia" w:cs="Times New Roman"/>
                <w:color w:val="auto"/>
                <w:sz w:val="24"/>
                <w:szCs w:val="24"/>
                <w:lang w:val="en-US" w:eastAsia="zh-CN"/>
              </w:rPr>
              <w:t>192</w:t>
            </w:r>
            <w:r>
              <w:rPr>
                <w:rFonts w:hint="default" w:ascii="Times New Roman" w:hAnsi="Times New Roman" w:cs="Times New Roman"/>
                <w:color w:val="auto"/>
                <w:sz w:val="24"/>
                <w:szCs w:val="24"/>
              </w:rPr>
              <w:t>t/a。餐饮废水经隔油池处理后排入厂区污水处理站，经污水处理站处理达标后接管至涟水经济开发区西区污水处理厂。</w:t>
            </w:r>
          </w:p>
          <w:p w14:paraId="789BA8F5">
            <w:pPr>
              <w:pStyle w:val="76"/>
              <w:keepNext/>
              <w:numPr>
                <w:ilvl w:val="0"/>
                <w:numId w:val="4"/>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生产废水</w:t>
            </w:r>
          </w:p>
          <w:p w14:paraId="023097F8">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1.工序废水：</w:t>
            </w:r>
            <w:r>
              <w:rPr>
                <w:rFonts w:hint="eastAsia" w:cs="Times New Roman"/>
                <w:color w:val="auto"/>
                <w:sz w:val="24"/>
                <w:szCs w:val="24"/>
                <w:lang w:eastAsia="zh-CN"/>
              </w:rPr>
              <w:t>调味鱼皮生产线根据企业在大连公司盖世食品股份有限公司生产经验及类比同行业数据：解冻、泡发、清洗、漂烫、冷却工序</w:t>
            </w:r>
            <w:r>
              <w:rPr>
                <w:rFonts w:hint="default" w:ascii="Times New Roman" w:hAnsi="Times New Roman" w:cs="Times New Roman"/>
                <w:color w:val="auto"/>
                <w:sz w:val="24"/>
                <w:szCs w:val="24"/>
              </w:rPr>
              <w:t>废水</w:t>
            </w:r>
            <w:r>
              <w:rPr>
                <w:rFonts w:hint="eastAsia" w:cs="Times New Roman"/>
                <w:color w:val="auto"/>
                <w:sz w:val="24"/>
                <w:szCs w:val="24"/>
                <w:lang w:eastAsia="zh-CN"/>
              </w:rPr>
              <w:t>一天产生量约</w:t>
            </w:r>
            <w:r>
              <w:rPr>
                <w:rFonts w:hint="eastAsia" w:cs="Times New Roman"/>
                <w:color w:val="auto"/>
                <w:sz w:val="24"/>
                <w:szCs w:val="24"/>
                <w:lang w:val="en-US" w:eastAsia="zh-CN"/>
              </w:rPr>
              <w:t>80t/d，则企业</w:t>
            </w:r>
            <w:r>
              <w:rPr>
                <w:rFonts w:hint="eastAsia" w:cs="Times New Roman"/>
                <w:color w:val="auto"/>
                <w:sz w:val="24"/>
                <w:szCs w:val="24"/>
                <w:lang w:eastAsia="zh-CN"/>
              </w:rPr>
              <w:t>调味鱼皮生产线生产废水量约</w:t>
            </w:r>
            <w:r>
              <w:rPr>
                <w:rFonts w:hint="eastAsia" w:cs="Times New Roman"/>
                <w:color w:val="auto"/>
                <w:sz w:val="24"/>
                <w:szCs w:val="24"/>
                <w:lang w:val="en-US" w:eastAsia="zh-CN"/>
              </w:rPr>
              <w:t>24000t/a；速冻</w:t>
            </w:r>
            <w:r>
              <w:rPr>
                <w:rFonts w:hint="eastAsia" w:cs="Times New Roman"/>
                <w:color w:val="auto"/>
                <w:sz w:val="24"/>
                <w:szCs w:val="24"/>
                <w:lang w:eastAsia="zh-CN"/>
              </w:rPr>
              <w:t>调味裙带菜根据企业在大连公司盖世食品股份有限公司生产经验及类比同行业数据：脱盐清洗、消毒、清洗、脱水工序</w:t>
            </w:r>
            <w:r>
              <w:rPr>
                <w:rFonts w:hint="default" w:ascii="Times New Roman" w:hAnsi="Times New Roman" w:cs="Times New Roman"/>
                <w:color w:val="auto"/>
                <w:sz w:val="24"/>
                <w:szCs w:val="24"/>
              </w:rPr>
              <w:t>废水</w:t>
            </w:r>
            <w:r>
              <w:rPr>
                <w:rFonts w:hint="eastAsia" w:cs="Times New Roman"/>
                <w:color w:val="auto"/>
                <w:sz w:val="24"/>
                <w:szCs w:val="24"/>
                <w:lang w:eastAsia="zh-CN"/>
              </w:rPr>
              <w:t>一天产生量约</w:t>
            </w:r>
            <w:r>
              <w:rPr>
                <w:rFonts w:hint="eastAsia" w:cs="Times New Roman"/>
                <w:color w:val="auto"/>
                <w:sz w:val="24"/>
                <w:szCs w:val="24"/>
                <w:lang w:val="en-US" w:eastAsia="zh-CN"/>
              </w:rPr>
              <w:t>60t/d，则企业速冻</w:t>
            </w:r>
            <w:r>
              <w:rPr>
                <w:rFonts w:hint="eastAsia" w:cs="Times New Roman"/>
                <w:color w:val="auto"/>
                <w:sz w:val="24"/>
                <w:szCs w:val="24"/>
                <w:lang w:eastAsia="zh-CN"/>
              </w:rPr>
              <w:t>调味裙带菜生产废水量约</w:t>
            </w:r>
            <w:r>
              <w:rPr>
                <w:rFonts w:hint="eastAsia" w:cs="Times New Roman"/>
                <w:color w:val="auto"/>
                <w:sz w:val="24"/>
                <w:szCs w:val="24"/>
                <w:lang w:val="en-US" w:eastAsia="zh-CN"/>
              </w:rPr>
              <w:t>18000t/a；</w:t>
            </w:r>
            <w:r>
              <w:rPr>
                <w:rFonts w:hint="default" w:ascii="Times New Roman" w:hAnsi="Times New Roman" w:cs="Times New Roman"/>
                <w:color w:val="auto"/>
                <w:sz w:val="24"/>
                <w:szCs w:val="24"/>
              </w:rPr>
              <w:t>因此，生产废水合计为</w:t>
            </w:r>
            <w:r>
              <w:rPr>
                <w:rFonts w:hint="eastAsia" w:cs="Times New Roman"/>
                <w:color w:val="auto"/>
                <w:sz w:val="24"/>
                <w:szCs w:val="24"/>
                <w:lang w:val="en-US" w:eastAsia="zh-CN"/>
              </w:rPr>
              <w:t>42</w:t>
            </w:r>
            <w:r>
              <w:rPr>
                <w:rFonts w:hint="eastAsia" w:ascii="Times New Roman" w:hAnsi="Times New Roman" w:cs="Times New Roman"/>
                <w:color w:val="auto"/>
                <w:sz w:val="24"/>
                <w:szCs w:val="24"/>
                <w:lang w:val="en-US" w:eastAsia="zh-CN"/>
              </w:rPr>
              <w:t>000</w:t>
            </w:r>
            <w:r>
              <w:rPr>
                <w:rFonts w:hint="default" w:ascii="Times New Roman" w:hAnsi="Times New Roman" w:cs="Times New Roman"/>
                <w:color w:val="auto"/>
                <w:sz w:val="24"/>
                <w:szCs w:val="24"/>
              </w:rPr>
              <w:t>t/a。</w:t>
            </w:r>
          </w:p>
          <w:p w14:paraId="5FC283D7">
            <w:pPr>
              <w:pStyle w:val="76"/>
              <w:keepNext/>
              <w:numPr>
                <w:ilvl w:val="0"/>
                <w:numId w:val="0"/>
              </w:numPr>
              <w:adjustRightInd w:val="0"/>
              <w:snapToGrid w:val="0"/>
              <w:spacing w:line="360" w:lineRule="auto"/>
              <w:ind w:left="480" w:leftChars="0"/>
              <w:jc w:val="both"/>
              <w:rPr>
                <w:rFonts w:hint="default" w:ascii="Times New Roman" w:hAnsi="Times New Roman" w:cs="Times New Roman"/>
                <w:color w:val="auto"/>
                <w:sz w:val="24"/>
                <w:szCs w:val="24"/>
              </w:rPr>
            </w:pPr>
            <w:r>
              <w:rPr>
                <w:rFonts w:hint="eastAsia" w:cs="Times New Roman"/>
                <w:color w:val="auto"/>
                <w:sz w:val="24"/>
                <w:szCs w:val="24"/>
                <w:lang w:val="en-US" w:eastAsia="zh-CN"/>
              </w:rPr>
              <w:t>2.</w:t>
            </w:r>
            <w:r>
              <w:rPr>
                <w:rFonts w:hint="default" w:ascii="Times New Roman" w:hAnsi="Times New Roman" w:cs="Times New Roman"/>
                <w:color w:val="auto"/>
                <w:sz w:val="24"/>
                <w:szCs w:val="24"/>
              </w:rPr>
              <w:t>设备冲洗废水</w:t>
            </w:r>
          </w:p>
          <w:p w14:paraId="635CA2CB">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目前</w:t>
            </w:r>
            <w:r>
              <w:rPr>
                <w:rFonts w:hint="eastAsia" w:ascii="Times New Roman" w:hAnsi="Times New Roman" w:eastAsia="宋体" w:cs="Times New Roman"/>
                <w:color w:val="auto"/>
                <w:sz w:val="24"/>
                <w:szCs w:val="24"/>
                <w:lang w:val="en-US" w:eastAsia="zh-CN"/>
              </w:rPr>
              <w:t>用水量：</w:t>
            </w:r>
            <w:r>
              <w:rPr>
                <w:rFonts w:hint="default" w:ascii="Times New Roman" w:hAnsi="Times New Roman" w:eastAsia="宋体" w:cs="Times New Roman"/>
                <w:color w:val="auto"/>
                <w:sz w:val="24"/>
                <w:szCs w:val="24"/>
                <w:lang w:val="en-US" w:eastAsia="zh-CN"/>
              </w:rPr>
              <w:t>生产车间设备冲洗</w:t>
            </w:r>
            <w:r>
              <w:rPr>
                <w:rFonts w:hint="eastAsia" w:ascii="Times New Roman" w:hAnsi="Times New Roman" w:eastAsia="宋体" w:cs="Times New Roman"/>
                <w:color w:val="auto"/>
                <w:sz w:val="24"/>
                <w:szCs w:val="24"/>
                <w:lang w:val="en-US" w:eastAsia="zh-CN"/>
              </w:rPr>
              <w:t>新鲜用</w:t>
            </w:r>
            <w:r>
              <w:rPr>
                <w:rFonts w:hint="default" w:ascii="Times New Roman" w:hAnsi="Times New Roman" w:eastAsia="宋体" w:cs="Times New Roman"/>
                <w:color w:val="auto"/>
                <w:sz w:val="24"/>
                <w:szCs w:val="24"/>
                <w:lang w:val="en-US" w:eastAsia="zh-CN"/>
              </w:rPr>
              <w:t>水为</w:t>
            </w:r>
            <w:r>
              <w:rPr>
                <w:rFonts w:hint="eastAsia" w:cs="Times New Roman"/>
                <w:color w:val="auto"/>
                <w:sz w:val="24"/>
                <w:szCs w:val="24"/>
                <w:lang w:val="en-US" w:eastAsia="zh-CN"/>
              </w:rPr>
              <w:t>4500</w:t>
            </w:r>
            <w:r>
              <w:rPr>
                <w:rFonts w:hint="default" w:ascii="Times New Roman" w:hAnsi="Times New Roman" w:eastAsia="宋体" w:cs="Times New Roman"/>
                <w:color w:val="auto"/>
                <w:sz w:val="24"/>
                <w:szCs w:val="24"/>
                <w:lang w:val="en-US" w:eastAsia="zh-CN"/>
              </w:rPr>
              <w:t>t/a</w:t>
            </w:r>
            <w:r>
              <w:rPr>
                <w:rFonts w:hint="default" w:ascii="Times New Roman" w:hAnsi="Times New Roman" w:cs="Times New Roman"/>
                <w:color w:val="auto"/>
                <w:sz w:val="24"/>
                <w:szCs w:val="24"/>
              </w:rPr>
              <w:t>，废水量按照90%计</w:t>
            </w:r>
            <w:r>
              <w:rPr>
                <w:rFonts w:hint="eastAsia" w:cs="Times New Roman"/>
                <w:color w:val="auto"/>
                <w:sz w:val="24"/>
                <w:szCs w:val="24"/>
                <w:lang w:eastAsia="zh-CN"/>
              </w:rPr>
              <w:t>（</w:t>
            </w:r>
            <w:r>
              <w:rPr>
                <w:rFonts w:hint="eastAsia" w:cs="Times New Roman"/>
                <w:color w:val="auto"/>
                <w:sz w:val="24"/>
                <w:szCs w:val="24"/>
                <w:lang w:val="en-US" w:eastAsia="zh-CN"/>
              </w:rPr>
              <w:t>90%</w:t>
            </w:r>
            <w:r>
              <w:rPr>
                <w:rFonts w:hint="default" w:ascii="Times New Roman" w:hAnsi="Times New Roman" w:cs="Times New Roman"/>
                <w:color w:val="auto"/>
                <w:sz w:val="24"/>
                <w:szCs w:val="24"/>
              </w:rPr>
              <w:t>根据厂家提供资料</w:t>
            </w:r>
            <w:r>
              <w:rPr>
                <w:rFonts w:hint="eastAsia" w:cs="Times New Roman"/>
                <w:color w:val="auto"/>
                <w:sz w:val="24"/>
                <w:szCs w:val="24"/>
                <w:lang w:eastAsia="zh-CN"/>
              </w:rPr>
              <w:t>及企业现有已批已验“</w:t>
            </w:r>
            <w:r>
              <w:rPr>
                <w:rFonts w:hint="eastAsia" w:ascii="Times New Roman" w:hAnsi="Times New Roman" w:cs="Times New Roman"/>
                <w:color w:val="auto"/>
                <w:sz w:val="24"/>
                <w:szCs w:val="24"/>
              </w:rPr>
              <w:t>年产1.5万吨预制凉菜智能制造（加工）项目、研发及检测中心建设项目</w:t>
            </w:r>
            <w:r>
              <w:rPr>
                <w:rFonts w:hint="eastAsia" w:ascii="Times New Roman" w:hAnsi="Times New Roman" w:cs="Times New Roman"/>
                <w:color w:val="auto"/>
                <w:sz w:val="24"/>
                <w:szCs w:val="24"/>
                <w:lang w:eastAsia="zh-CN"/>
              </w:rPr>
              <w:t>”</w:t>
            </w:r>
            <w:r>
              <w:rPr>
                <w:rFonts w:hint="eastAsia" w:cs="Times New Roman"/>
                <w:color w:val="auto"/>
                <w:sz w:val="24"/>
                <w:szCs w:val="24"/>
                <w:lang w:eastAsia="zh-CN"/>
              </w:rPr>
              <w:t>中</w:t>
            </w:r>
            <w:r>
              <w:rPr>
                <w:color w:val="auto"/>
                <w:sz w:val="24"/>
              </w:rPr>
              <w:t>废水量按照90%计</w:t>
            </w:r>
            <w:r>
              <w:rPr>
                <w:rFonts w:hint="eastAsia"/>
                <w:color w:val="auto"/>
                <w:sz w:val="24"/>
                <w:lang w:eastAsia="zh-CN"/>
              </w:rPr>
              <w:t>”</w:t>
            </w:r>
            <w:r>
              <w:rPr>
                <w:rFonts w:hint="eastAsia" w:cs="Times New Roman"/>
                <w:color w:val="auto"/>
                <w:sz w:val="24"/>
                <w:szCs w:val="24"/>
                <w:lang w:eastAsia="zh-CN"/>
              </w:rPr>
              <w:t>）</w:t>
            </w:r>
            <w:r>
              <w:rPr>
                <w:rFonts w:hint="default" w:ascii="Times New Roman" w:hAnsi="Times New Roman" w:cs="Times New Roman"/>
                <w:color w:val="auto"/>
                <w:sz w:val="24"/>
                <w:szCs w:val="24"/>
              </w:rPr>
              <w:t>，则设备冲洗产生的废水量为</w:t>
            </w:r>
            <w:r>
              <w:rPr>
                <w:rFonts w:hint="eastAsia" w:cs="Times New Roman"/>
                <w:color w:val="auto"/>
                <w:sz w:val="24"/>
                <w:szCs w:val="24"/>
                <w:lang w:val="en-US" w:eastAsia="zh-CN"/>
              </w:rPr>
              <w:t>4050</w:t>
            </w:r>
            <w:r>
              <w:rPr>
                <w:rFonts w:hint="default" w:ascii="Times New Roman" w:hAnsi="Times New Roman" w:cs="Times New Roman"/>
                <w:color w:val="auto"/>
                <w:sz w:val="24"/>
                <w:szCs w:val="24"/>
              </w:rPr>
              <w:t>t/a。设备冲洗废水经隔油池处理后排入厂区污水处理站，经污水处理站处理达标后接管至涟水经济开发区西区污水处理厂。</w:t>
            </w:r>
          </w:p>
          <w:p w14:paraId="6DC09012">
            <w:pPr>
              <w:pStyle w:val="76"/>
              <w:keepNext/>
              <w:numPr>
                <w:ilvl w:val="0"/>
                <w:numId w:val="0"/>
              </w:numPr>
              <w:adjustRightInd w:val="0"/>
              <w:snapToGrid w:val="0"/>
              <w:spacing w:line="360" w:lineRule="auto"/>
              <w:ind w:left="480" w:leftChars="0"/>
              <w:jc w:val="both"/>
              <w:rPr>
                <w:rFonts w:hint="default" w:ascii="Times New Roman" w:hAnsi="Times New Roman" w:cs="Times New Roman"/>
                <w:color w:val="auto"/>
                <w:sz w:val="24"/>
                <w:szCs w:val="24"/>
              </w:rPr>
            </w:pPr>
            <w:r>
              <w:rPr>
                <w:rFonts w:hint="eastAsia" w:cs="Times New Roman"/>
                <w:color w:val="auto"/>
                <w:sz w:val="24"/>
                <w:szCs w:val="24"/>
                <w:lang w:val="en-US" w:eastAsia="zh-CN"/>
              </w:rPr>
              <w:t>3.</w:t>
            </w:r>
            <w:r>
              <w:rPr>
                <w:rFonts w:hint="default" w:ascii="Times New Roman" w:hAnsi="Times New Roman" w:cs="Times New Roman"/>
                <w:color w:val="auto"/>
                <w:sz w:val="24"/>
                <w:szCs w:val="24"/>
              </w:rPr>
              <w:t>生产车间地面清洁废水</w:t>
            </w:r>
          </w:p>
          <w:p w14:paraId="262AA902">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本项目使用高压水枪每天冲洗生产地面一次，生产车间的面积为</w:t>
            </w:r>
            <w:r>
              <w:rPr>
                <w:rFonts w:hint="eastAsia" w:cs="Times New Roman"/>
                <w:color w:val="auto"/>
                <w:sz w:val="24"/>
                <w:szCs w:val="24"/>
                <w:lang w:val="en-US" w:eastAsia="zh-CN"/>
              </w:rPr>
              <w:t>1380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，每天每平方米的用水量为0.899kg，一年工作300天，则生产车间的地面清洗用水</w:t>
            </w:r>
            <w:r>
              <w:rPr>
                <w:rFonts w:hint="eastAsia"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373</w:t>
            </w:r>
            <w:r>
              <w:rPr>
                <w:rFonts w:hint="default" w:ascii="Times New Roman" w:hAnsi="Times New Roman" w:eastAsia="宋体" w:cs="Times New Roman"/>
                <w:color w:val="auto"/>
                <w:sz w:val="24"/>
                <w:szCs w:val="24"/>
                <w:lang w:val="en-US" w:eastAsia="zh-CN"/>
              </w:rPr>
              <w:t>t/a。</w:t>
            </w:r>
            <w:r>
              <w:rPr>
                <w:rFonts w:hint="default" w:ascii="Times New Roman" w:hAnsi="Times New Roman" w:cs="Times New Roman"/>
                <w:color w:val="auto"/>
                <w:sz w:val="24"/>
                <w:szCs w:val="24"/>
              </w:rPr>
              <w:t>废水量按照90%计</w:t>
            </w:r>
            <w:r>
              <w:rPr>
                <w:rFonts w:hint="eastAsia" w:cs="Times New Roman"/>
                <w:color w:val="auto"/>
                <w:sz w:val="24"/>
                <w:szCs w:val="24"/>
                <w:lang w:eastAsia="zh-CN"/>
              </w:rPr>
              <w:t>（</w:t>
            </w:r>
            <w:r>
              <w:rPr>
                <w:rFonts w:hint="eastAsia" w:cs="Times New Roman"/>
                <w:color w:val="auto"/>
                <w:sz w:val="24"/>
                <w:szCs w:val="24"/>
                <w:lang w:val="en-US" w:eastAsia="zh-CN"/>
              </w:rPr>
              <w:t>90%</w:t>
            </w:r>
            <w:r>
              <w:rPr>
                <w:rFonts w:hint="default" w:ascii="Times New Roman" w:hAnsi="Times New Roman" w:cs="Times New Roman"/>
                <w:color w:val="auto"/>
                <w:sz w:val="24"/>
                <w:szCs w:val="24"/>
              </w:rPr>
              <w:t>根据厂家提供资料</w:t>
            </w:r>
            <w:r>
              <w:rPr>
                <w:rFonts w:hint="eastAsia" w:cs="Times New Roman"/>
                <w:color w:val="auto"/>
                <w:sz w:val="24"/>
                <w:szCs w:val="24"/>
                <w:lang w:eastAsia="zh-CN"/>
              </w:rPr>
              <w:t>及企业现有已批已验“</w:t>
            </w:r>
            <w:r>
              <w:rPr>
                <w:rFonts w:hint="eastAsia" w:ascii="Times New Roman" w:hAnsi="Times New Roman" w:cs="Times New Roman"/>
                <w:color w:val="auto"/>
                <w:sz w:val="24"/>
                <w:szCs w:val="24"/>
              </w:rPr>
              <w:t>年产1.5万吨预制凉菜智能制造（加工）项目、研发及检测中心建设项目</w:t>
            </w:r>
            <w:r>
              <w:rPr>
                <w:rFonts w:hint="eastAsia" w:ascii="Times New Roman" w:hAnsi="Times New Roman" w:cs="Times New Roman"/>
                <w:color w:val="auto"/>
                <w:sz w:val="24"/>
                <w:szCs w:val="24"/>
                <w:lang w:eastAsia="zh-CN"/>
              </w:rPr>
              <w:t>”</w:t>
            </w:r>
            <w:r>
              <w:rPr>
                <w:rFonts w:hint="eastAsia" w:cs="Times New Roman"/>
                <w:color w:val="auto"/>
                <w:sz w:val="24"/>
                <w:szCs w:val="24"/>
                <w:lang w:eastAsia="zh-CN"/>
              </w:rPr>
              <w:t>中</w:t>
            </w:r>
            <w:r>
              <w:rPr>
                <w:color w:val="auto"/>
                <w:sz w:val="24"/>
              </w:rPr>
              <w:t>废水量按照90%计</w:t>
            </w:r>
            <w:r>
              <w:rPr>
                <w:rFonts w:hint="eastAsia"/>
                <w:color w:val="auto"/>
                <w:sz w:val="24"/>
                <w:lang w:eastAsia="zh-CN"/>
              </w:rPr>
              <w:t>”</w:t>
            </w:r>
            <w:r>
              <w:rPr>
                <w:rFonts w:hint="eastAsia" w:cs="Times New Roman"/>
                <w:color w:val="auto"/>
                <w:sz w:val="24"/>
                <w:szCs w:val="24"/>
                <w:lang w:eastAsia="zh-CN"/>
              </w:rPr>
              <w:t>）</w:t>
            </w:r>
            <w:r>
              <w:rPr>
                <w:rFonts w:hint="default" w:ascii="Times New Roman" w:hAnsi="Times New Roman" w:cs="Times New Roman"/>
                <w:color w:val="auto"/>
                <w:sz w:val="24"/>
                <w:szCs w:val="24"/>
              </w:rPr>
              <w:t>，则地面清洗产生的废水量为</w:t>
            </w:r>
            <w:r>
              <w:rPr>
                <w:rFonts w:hint="eastAsia" w:cs="Times New Roman"/>
                <w:color w:val="auto"/>
                <w:sz w:val="24"/>
                <w:szCs w:val="24"/>
                <w:lang w:val="en-US" w:eastAsia="zh-CN"/>
              </w:rPr>
              <w:t>336</w:t>
            </w:r>
            <w:r>
              <w:rPr>
                <w:rFonts w:hint="default" w:ascii="Times New Roman" w:hAnsi="Times New Roman" w:cs="Times New Roman"/>
                <w:color w:val="auto"/>
                <w:sz w:val="24"/>
                <w:szCs w:val="24"/>
              </w:rPr>
              <w:t>t/a。生产车间地面清洁废水排入厂区污水处理站，经污水处理站处理达标后接管至涟水经济开发区西区污水处理厂。</w:t>
            </w:r>
          </w:p>
          <w:p w14:paraId="418B58FD">
            <w:pPr>
              <w:pStyle w:val="76"/>
              <w:keepNext/>
              <w:numPr>
                <w:ilvl w:val="0"/>
                <w:numId w:val="4"/>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蒸汽冷凝水</w:t>
            </w:r>
          </w:p>
          <w:p w14:paraId="5D338BFF">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项目在</w:t>
            </w:r>
            <w:r>
              <w:rPr>
                <w:rFonts w:hint="eastAsia" w:cs="Times New Roman"/>
                <w:color w:val="auto"/>
                <w:sz w:val="24"/>
                <w:szCs w:val="24"/>
                <w:lang w:eastAsia="zh-CN"/>
              </w:rPr>
              <w:t>漂烫</w:t>
            </w:r>
            <w:r>
              <w:rPr>
                <w:rFonts w:hint="default" w:ascii="Times New Roman" w:hAnsi="Times New Roman" w:cs="Times New Roman"/>
                <w:color w:val="auto"/>
                <w:sz w:val="24"/>
                <w:szCs w:val="24"/>
              </w:rPr>
              <w:t>工序使用管道蒸汽进行间接加热，每年使用的蒸汽量为</w:t>
            </w:r>
            <w:r>
              <w:rPr>
                <w:rFonts w:hint="eastAsia" w:cs="Times New Roman"/>
                <w:color w:val="auto"/>
                <w:sz w:val="24"/>
                <w:szCs w:val="24"/>
                <w:lang w:val="en-US" w:eastAsia="zh-CN"/>
              </w:rPr>
              <w:t>1500</w:t>
            </w:r>
            <w:r>
              <w:rPr>
                <w:rFonts w:hint="default" w:ascii="Times New Roman" w:hAnsi="Times New Roman" w:cs="Times New Roman"/>
                <w:color w:val="auto"/>
                <w:sz w:val="24"/>
                <w:szCs w:val="24"/>
              </w:rPr>
              <w:t>t。蒸汽冷凝水量按80%计，则产生的冷凝水量为</w:t>
            </w:r>
            <w:r>
              <w:rPr>
                <w:rFonts w:hint="eastAsia" w:cs="Times New Roman"/>
                <w:color w:val="auto"/>
                <w:sz w:val="24"/>
                <w:szCs w:val="24"/>
                <w:lang w:val="en-US" w:eastAsia="zh-CN"/>
              </w:rPr>
              <w:t>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00t/a。蒸汽产生的冷凝水回用于生产</w:t>
            </w:r>
            <w:r>
              <w:rPr>
                <w:rFonts w:hint="eastAsia" w:ascii="Times New Roman" w:hAnsi="Times New Roman" w:cs="Times New Roman"/>
                <w:color w:val="auto"/>
                <w:sz w:val="24"/>
                <w:szCs w:val="24"/>
                <w:lang w:eastAsia="zh-CN"/>
              </w:rPr>
              <w:t>中</w:t>
            </w:r>
            <w:r>
              <w:rPr>
                <w:rFonts w:hint="eastAsia" w:cs="Times New Roman"/>
                <w:color w:val="auto"/>
                <w:sz w:val="24"/>
                <w:szCs w:val="24"/>
                <w:lang w:eastAsia="zh-CN"/>
              </w:rPr>
              <w:t>漂烫工序</w:t>
            </w:r>
            <w:r>
              <w:rPr>
                <w:rFonts w:hint="default" w:ascii="Times New Roman" w:hAnsi="Times New Roman" w:cs="Times New Roman"/>
                <w:color w:val="auto"/>
                <w:sz w:val="24"/>
                <w:szCs w:val="24"/>
              </w:rPr>
              <w:t>蒸煮设备加热</w:t>
            </w:r>
            <w:r>
              <w:rPr>
                <w:rFonts w:hint="eastAsia" w:cs="Times New Roman"/>
                <w:color w:val="auto"/>
                <w:sz w:val="24"/>
                <w:szCs w:val="24"/>
                <w:lang w:eastAsia="zh-CN"/>
              </w:rPr>
              <w:t>（该环节不与食品接触，仅将收集的冷凝水与新鲜水混合后进入夹层管道给设备加热）</w:t>
            </w:r>
            <w:r>
              <w:rPr>
                <w:rFonts w:hint="default" w:ascii="Times New Roman" w:hAnsi="Times New Roman" w:cs="Times New Roman"/>
                <w:color w:val="auto"/>
                <w:sz w:val="24"/>
                <w:szCs w:val="24"/>
              </w:rPr>
              <w:t>。</w:t>
            </w:r>
          </w:p>
          <w:p w14:paraId="41833085">
            <w:pPr>
              <w:pStyle w:val="40"/>
              <w:spacing w:line="360" w:lineRule="auto"/>
              <w:ind w:left="0" w:leftChars="0" w:firstLine="480" w:firstLineChars="200"/>
              <w:rPr>
                <w:rFonts w:hint="eastAsia" w:ascii="Times New Roman" w:hAnsi="Times New Roman" w:eastAsia="宋体" w:cs="Times New Roman"/>
                <w:b w:val="0"/>
                <w:bCs w:val="0"/>
                <w:color w:val="auto"/>
                <w:kern w:val="2"/>
                <w:sz w:val="24"/>
                <w:szCs w:val="24"/>
                <w:lang w:val="en-US" w:eastAsia="zh-CN" w:bidi="ar-SA"/>
              </w:rPr>
            </w:pPr>
          </w:p>
          <w:p w14:paraId="2BE7A909">
            <w:pPr>
              <w:pStyle w:val="40"/>
              <w:spacing w:line="360" w:lineRule="auto"/>
              <w:ind w:left="0" w:leftChars="0" w:firstLine="0" w:firstLineChars="0"/>
              <w:rPr>
                <w:rFonts w:ascii="Times New Roman" w:hAnsi="Times New Roman" w:eastAsia="宋体" w:cs="Times New Roman"/>
                <w:b w:val="0"/>
                <w:bCs/>
                <w:color w:val="auto"/>
              </w:rPr>
            </w:pPr>
            <w:r>
              <w:rPr>
                <w:rFonts w:ascii="Times New Roman" w:hAnsi="Times New Roman" w:eastAsia="宋体" w:cs="Times New Roman"/>
                <w:b w:val="0"/>
                <w:bCs/>
                <w:color w:val="auto"/>
              </w:rPr>
              <w:object>
                <v:shape id="_x0000_i1025" o:spt="75" type="#_x0000_t75" style="height:271.15pt;width:420.9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14:paraId="46DECAD0">
            <w:pPr>
              <w:adjustRightInd w:val="0"/>
              <w:snapToGrid w:val="0"/>
              <w:spacing w:line="360" w:lineRule="auto"/>
              <w:jc w:val="center"/>
              <w:rPr>
                <w:color w:val="auto"/>
                <w:sz w:val="20"/>
                <w:szCs w:val="20"/>
              </w:rPr>
            </w:pPr>
            <w:r>
              <w:rPr>
                <w:rFonts w:hAnsi="宋体"/>
                <w:b/>
                <w:color w:val="auto"/>
                <w:sz w:val="24"/>
              </w:rPr>
              <w:t>图</w:t>
            </w:r>
            <w:r>
              <w:rPr>
                <w:b/>
                <w:color w:val="auto"/>
                <w:sz w:val="24"/>
              </w:rPr>
              <w:t>2-1</w:t>
            </w:r>
            <w:r>
              <w:rPr>
                <w:rFonts w:hint="eastAsia" w:hAnsi="宋体"/>
                <w:b/>
                <w:color w:val="auto"/>
                <w:sz w:val="24"/>
                <w:lang w:eastAsia="zh-CN"/>
              </w:rPr>
              <w:t>扩建</w:t>
            </w:r>
            <w:r>
              <w:rPr>
                <w:rFonts w:hint="eastAsia"/>
                <w:b/>
                <w:color w:val="auto"/>
                <w:sz w:val="24"/>
                <w:lang w:eastAsia="zh-CN"/>
              </w:rPr>
              <w:t>项目</w:t>
            </w:r>
            <w:r>
              <w:rPr>
                <w:rFonts w:hAnsi="宋体"/>
                <w:b/>
                <w:color w:val="auto"/>
                <w:sz w:val="24"/>
              </w:rPr>
              <w:t>水平衡图</w:t>
            </w:r>
            <w:r>
              <w:rPr>
                <w:rFonts w:hAnsi="宋体"/>
                <w:color w:val="auto"/>
                <w:sz w:val="20"/>
                <w:szCs w:val="20"/>
              </w:rPr>
              <w:t>单位：</w:t>
            </w:r>
            <w:r>
              <w:rPr>
                <w:color w:val="auto"/>
                <w:sz w:val="20"/>
                <w:szCs w:val="20"/>
              </w:rPr>
              <w:t>m</w:t>
            </w:r>
            <w:r>
              <w:rPr>
                <w:color w:val="auto"/>
                <w:sz w:val="20"/>
                <w:szCs w:val="20"/>
                <w:vertAlign w:val="superscript"/>
              </w:rPr>
              <w:t>3</w:t>
            </w:r>
            <w:r>
              <w:rPr>
                <w:color w:val="auto"/>
                <w:sz w:val="20"/>
                <w:szCs w:val="20"/>
              </w:rPr>
              <w:t>/a</w:t>
            </w:r>
          </w:p>
          <w:p w14:paraId="5F319590">
            <w:pPr>
              <w:adjustRightInd w:val="0"/>
              <w:snapToGrid w:val="0"/>
              <w:spacing w:line="360" w:lineRule="auto"/>
              <w:jc w:val="center"/>
              <w:rPr>
                <w:rFonts w:hint="default"/>
                <w:b/>
                <w:color w:val="auto"/>
                <w:sz w:val="24"/>
                <w:lang w:val="en-US"/>
              </w:rPr>
            </w:pPr>
            <w:r>
              <w:rPr>
                <w:color w:val="auto"/>
              </w:rPr>
              <w:object>
                <v:shape id="_x0000_i1026" o:spt="75" type="#_x0000_t75" style="height:329.35pt;width:413.05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14:paraId="67E8340E">
            <w:pPr>
              <w:adjustRightInd w:val="0"/>
              <w:snapToGrid w:val="0"/>
              <w:spacing w:line="360" w:lineRule="auto"/>
              <w:jc w:val="center"/>
              <w:rPr>
                <w:rFonts w:hint="default"/>
                <w:color w:val="auto"/>
                <w:lang w:val="en-US" w:eastAsia="zh-CN"/>
              </w:rPr>
            </w:pPr>
            <w:r>
              <w:rPr>
                <w:rFonts w:hint="eastAsia"/>
                <w:b/>
                <w:color w:val="auto"/>
                <w:sz w:val="24"/>
                <w:lang w:val="en-US" w:eastAsia="zh-CN"/>
              </w:rPr>
              <w:t>图2-2 扩建后全厂水平衡图</w:t>
            </w:r>
            <w:r>
              <w:rPr>
                <w:rFonts w:hAnsi="宋体"/>
                <w:color w:val="auto"/>
                <w:sz w:val="20"/>
                <w:szCs w:val="20"/>
              </w:rPr>
              <w:t>单位：</w:t>
            </w:r>
            <w:r>
              <w:rPr>
                <w:color w:val="auto"/>
                <w:sz w:val="20"/>
                <w:szCs w:val="20"/>
              </w:rPr>
              <w:t>m</w:t>
            </w:r>
            <w:r>
              <w:rPr>
                <w:color w:val="auto"/>
                <w:sz w:val="20"/>
                <w:szCs w:val="20"/>
                <w:vertAlign w:val="superscript"/>
              </w:rPr>
              <w:t>3</w:t>
            </w:r>
            <w:r>
              <w:rPr>
                <w:color w:val="auto"/>
                <w:sz w:val="20"/>
                <w:szCs w:val="20"/>
              </w:rPr>
              <w:t>/a</w:t>
            </w:r>
          </w:p>
        </w:tc>
      </w:tr>
    </w:tbl>
    <w:p w14:paraId="324EC0B4">
      <w:pPr>
        <w:pStyle w:val="29"/>
        <w:adjustRightInd w:val="0"/>
        <w:snapToGrid w:val="0"/>
        <w:spacing w:before="0" w:beforeAutospacing="0" w:after="0" w:afterAutospacing="0"/>
        <w:jc w:val="center"/>
        <w:rPr>
          <w:rFonts w:ascii="Times New Roman" w:hAnsi="Times New Roman"/>
          <w:b/>
          <w:bCs/>
          <w:color w:val="auto"/>
          <w:sz w:val="21"/>
          <w:szCs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7"/>
      </w:tblGrid>
      <w:tr w14:paraId="4DCA2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8" w:hRule="atLeast"/>
          <w:jc w:val="center"/>
        </w:trPr>
        <w:tc>
          <w:tcPr>
            <w:tcW w:w="362" w:type="dxa"/>
            <w:vAlign w:val="center"/>
          </w:tcPr>
          <w:p w14:paraId="6433C016">
            <w:pPr>
              <w:pStyle w:val="29"/>
              <w:adjustRightInd w:val="0"/>
              <w:snapToGrid w:val="0"/>
              <w:spacing w:before="0" w:beforeAutospacing="0" w:after="0" w:afterAutospacing="0"/>
              <w:jc w:val="center"/>
              <w:rPr>
                <w:rFonts w:ascii="Times New Roman" w:hAnsi="Times New Roman"/>
                <w:b/>
                <w:bCs/>
                <w:color w:val="auto"/>
                <w:sz w:val="21"/>
                <w:szCs w:val="21"/>
              </w:rPr>
            </w:pPr>
            <w:r>
              <w:rPr>
                <w:rFonts w:ascii="Times New Roman"/>
                <w:b/>
                <w:bCs/>
                <w:color w:val="auto"/>
                <w:sz w:val="21"/>
                <w:szCs w:val="21"/>
              </w:rPr>
              <w:t>工艺流程和产排污环节</w:t>
            </w:r>
          </w:p>
        </w:tc>
        <w:tc>
          <w:tcPr>
            <w:tcW w:w="8698" w:type="dxa"/>
          </w:tcPr>
          <w:p w14:paraId="033BC90A">
            <w:pPr>
              <w:widowControl/>
              <w:adjustRightInd w:val="0"/>
              <w:snapToGrid w:val="0"/>
              <w:spacing w:before="120" w:beforeLines="50" w:line="360" w:lineRule="auto"/>
              <w:ind w:firstLine="482" w:firstLineChars="200"/>
              <w:jc w:val="left"/>
              <w:rPr>
                <w:b/>
                <w:bCs/>
                <w:color w:val="auto"/>
                <w:kern w:val="0"/>
                <w:sz w:val="24"/>
              </w:rPr>
            </w:pPr>
            <w:r>
              <w:rPr>
                <w:b/>
                <w:bCs/>
                <w:color w:val="auto"/>
                <w:kern w:val="0"/>
                <w:sz w:val="24"/>
              </w:rPr>
              <w:t>1.</w:t>
            </w:r>
            <w:r>
              <w:rPr>
                <w:rFonts w:hAnsi="宋体"/>
                <w:b/>
                <w:bCs/>
                <w:color w:val="auto"/>
                <w:kern w:val="0"/>
                <w:sz w:val="24"/>
              </w:rPr>
              <w:t>工艺流程和产排污环节</w:t>
            </w:r>
          </w:p>
          <w:p w14:paraId="16EF63F0">
            <w:pPr>
              <w:adjustRightInd w:val="0"/>
              <w:snapToGrid w:val="0"/>
              <w:ind w:firstLine="482" w:firstLineChars="200"/>
              <w:rPr>
                <w:b/>
                <w:color w:val="auto"/>
                <w:sz w:val="24"/>
              </w:rPr>
            </w:pPr>
            <w:r>
              <w:rPr>
                <w:rFonts w:hint="eastAsia"/>
                <w:b/>
                <w:color w:val="auto"/>
                <w:sz w:val="24"/>
                <w:lang w:eastAsia="zh-CN"/>
              </w:rPr>
              <w:t>1.</w:t>
            </w:r>
            <w:r>
              <w:rPr>
                <w:b/>
                <w:color w:val="auto"/>
                <w:sz w:val="24"/>
              </w:rPr>
              <w:t>生产工艺流程图</w:t>
            </w:r>
          </w:p>
          <w:p w14:paraId="2E923FBE">
            <w:pPr>
              <w:pStyle w:val="45"/>
              <w:spacing w:before="24" w:after="24" w:line="360" w:lineRule="auto"/>
              <w:ind w:firstLine="482" w:firstLineChars="200"/>
              <w:jc w:val="left"/>
              <w:rPr>
                <w:rFonts w:ascii="Times New Roman" w:hAnsi="Times New Roman" w:eastAsia="宋体" w:cs="Times New Roman"/>
                <w:b/>
                <w:color w:val="auto"/>
                <w:sz w:val="24"/>
              </w:rPr>
            </w:pPr>
            <w:r>
              <w:rPr>
                <w:rFonts w:ascii="Times New Roman" w:hAnsi="Times New Roman" w:eastAsia="宋体" w:cs="Times New Roman"/>
                <w:b/>
                <w:color w:val="auto"/>
                <w:sz w:val="24"/>
              </w:rPr>
              <w:t>（1）</w:t>
            </w:r>
            <w:r>
              <w:rPr>
                <w:rFonts w:hint="eastAsia" w:ascii="Times New Roman" w:cs="Times New Roman"/>
                <w:b/>
                <w:color w:val="auto"/>
                <w:sz w:val="24"/>
                <w:lang w:eastAsia="zh-CN"/>
              </w:rPr>
              <w:t>速冻调味裙带菜生产线</w:t>
            </w:r>
            <w:r>
              <w:rPr>
                <w:rFonts w:ascii="Times New Roman" w:hAnsi="Times New Roman" w:eastAsia="宋体" w:cs="Times New Roman"/>
                <w:b/>
                <w:color w:val="auto"/>
                <w:sz w:val="24"/>
              </w:rPr>
              <w:t>生产工艺</w:t>
            </w:r>
          </w:p>
          <w:p w14:paraId="583DE2A3">
            <w:pPr>
              <w:pStyle w:val="45"/>
              <w:spacing w:before="24" w:after="2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object>
                <v:shape id="_x0000_i1027" o:spt="75" type="#_x0000_t75" style="height:451.5pt;width:249pt;" o:ole="t" filled="f" o:preferrelative="t" stroked="f" coordsize="21600,21600">
                  <v:path/>
                  <v:fill on="f" focussize="0,0"/>
                  <v:stroke on="f"/>
                  <v:imagedata r:id="rId16" o:title=""/>
                  <o:lock v:ext="edit" aspectratio="f"/>
                  <w10:wrap type="none"/>
                  <w10:anchorlock/>
                </v:shape>
                <o:OLEObject Type="Embed" ProgID="Visio.Drawing.15" ShapeID="_x0000_i1027" DrawAspect="Content" ObjectID="_1468075727" r:id="rId15">
                  <o:LockedField>false</o:LockedField>
                </o:OLEObject>
              </w:object>
            </w:r>
          </w:p>
          <w:p w14:paraId="2D15993C">
            <w:pPr>
              <w:pStyle w:val="45"/>
              <w:spacing w:before="24" w:after="24"/>
              <w:rPr>
                <w:rFonts w:ascii="Times New Roman" w:hAnsi="Times New Roman" w:eastAsia="宋体" w:cs="Times New Roman"/>
                <w:b/>
                <w:color w:val="auto"/>
                <w:sz w:val="24"/>
              </w:rPr>
            </w:pPr>
            <w:r>
              <w:rPr>
                <w:rFonts w:ascii="Times New Roman" w:hAnsi="Times New Roman" w:eastAsia="宋体" w:cs="Times New Roman"/>
                <w:b/>
                <w:color w:val="auto"/>
                <w:sz w:val="24"/>
              </w:rPr>
              <w:t>图2-</w:t>
            </w:r>
            <w:r>
              <w:rPr>
                <w:rFonts w:hint="eastAsia" w:ascii="Times New Roman" w:cs="Times New Roman"/>
                <w:b/>
                <w:color w:val="auto"/>
                <w:sz w:val="24"/>
                <w:lang w:val="en-US" w:eastAsia="zh-CN"/>
              </w:rPr>
              <w:t>3</w:t>
            </w:r>
            <w:r>
              <w:rPr>
                <w:rFonts w:ascii="Times New Roman" w:hAnsi="Times New Roman" w:eastAsia="宋体" w:cs="Times New Roman"/>
                <w:b/>
                <w:color w:val="auto"/>
                <w:sz w:val="24"/>
              </w:rPr>
              <w:t xml:space="preserve">  </w:t>
            </w:r>
            <w:r>
              <w:rPr>
                <w:rFonts w:hint="eastAsia" w:ascii="Times New Roman" w:cs="Times New Roman"/>
                <w:b/>
                <w:color w:val="auto"/>
                <w:sz w:val="24"/>
                <w:lang w:eastAsia="zh-CN"/>
              </w:rPr>
              <w:t>速冻调味裙带菜</w:t>
            </w:r>
            <w:r>
              <w:rPr>
                <w:rFonts w:ascii="Times New Roman" w:hAnsi="Times New Roman" w:eastAsia="宋体" w:cs="Times New Roman"/>
                <w:b/>
                <w:color w:val="auto"/>
                <w:sz w:val="24"/>
              </w:rPr>
              <w:t>生产工艺流程及产污环节图</w:t>
            </w:r>
          </w:p>
          <w:p w14:paraId="594F90B1">
            <w:pPr>
              <w:pStyle w:val="45"/>
              <w:spacing w:beforeLines="0" w:afterLines="0" w:line="360" w:lineRule="auto"/>
              <w:ind w:firstLine="480" w:firstLineChars="200"/>
              <w:jc w:val="both"/>
              <w:rPr>
                <w:rFonts w:hint="eastAsia" w:ascii="Times New Roman" w:cs="Times New Roman"/>
                <w:color w:val="auto"/>
                <w:sz w:val="24"/>
                <w:lang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1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①</w:t>
            </w:r>
            <w:r>
              <w:rPr>
                <w:rFonts w:ascii="Times New Roman" w:hAnsi="Times New Roman" w:eastAsia="宋体" w:cs="Times New Roman"/>
                <w:color w:val="auto"/>
                <w:sz w:val="24"/>
              </w:rPr>
              <w:fldChar w:fldCharType="end"/>
            </w:r>
            <w:r>
              <w:rPr>
                <w:rFonts w:hint="eastAsia" w:ascii="Times New Roman" w:cs="Times New Roman"/>
                <w:color w:val="auto"/>
                <w:sz w:val="24"/>
                <w:lang w:eastAsia="zh-CN"/>
              </w:rPr>
              <w:t>原料解冻</w:t>
            </w:r>
          </w:p>
          <w:p w14:paraId="57929384">
            <w:pPr>
              <w:pStyle w:val="45"/>
              <w:spacing w:beforeLines="0" w:afterLines="0"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自然解冻</w:t>
            </w:r>
            <w:r>
              <w:rPr>
                <w:rFonts w:hint="default" w:ascii="Times New Roman" w:hAnsi="Times New Roman" w:eastAsia="宋体" w:cs="Times New Roman"/>
                <w:color w:val="auto"/>
                <w:sz w:val="24"/>
              </w:rPr>
              <w:t>：</w:t>
            </w:r>
            <w:r>
              <w:rPr>
                <w:rFonts w:hint="eastAsia" w:ascii="Times New Roman" w:cs="Times New Roman"/>
                <w:color w:val="auto"/>
                <w:sz w:val="24"/>
                <w:lang w:eastAsia="zh-CN"/>
              </w:rPr>
              <w:t>将盐渍裙带菜通过上料系统输送到</w:t>
            </w:r>
            <w:r>
              <w:rPr>
                <w:rFonts w:hint="default" w:ascii="Times New Roman" w:hAnsi="Times New Roman" w:eastAsia="宋体" w:cs="Times New Roman"/>
                <w:color w:val="auto"/>
                <w:sz w:val="24"/>
              </w:rPr>
              <w:t>一道</w:t>
            </w:r>
            <w:r>
              <w:rPr>
                <w:rFonts w:hint="eastAsia" w:ascii="Times New Roman" w:cs="Times New Roman"/>
                <w:color w:val="auto"/>
                <w:sz w:val="24"/>
                <w:lang w:eastAsia="zh-CN"/>
              </w:rPr>
              <w:t>解冻水池</w:t>
            </w:r>
            <w:r>
              <w:rPr>
                <w:rFonts w:hint="default" w:ascii="Times New Roman" w:hAnsi="Times New Roman" w:eastAsia="宋体" w:cs="Times New Roman"/>
                <w:color w:val="auto"/>
                <w:sz w:val="24"/>
              </w:rPr>
              <w:t>中注水，投料，鼓泡清洗。</w:t>
            </w:r>
            <w:r>
              <w:rPr>
                <w:rFonts w:hint="eastAsia" w:ascii="Times New Roman" w:hAnsi="Times New Roman" w:eastAsia="宋体" w:cs="Times New Roman"/>
                <w:color w:val="auto"/>
                <w:sz w:val="24"/>
                <w:lang w:eastAsia="zh-CN"/>
              </w:rPr>
              <w:t>此过程会产生</w:t>
            </w:r>
            <w:r>
              <w:rPr>
                <w:rFonts w:hint="eastAsia" w:ascii="Times New Roman" w:cs="Times New Roman"/>
                <w:color w:val="auto"/>
                <w:sz w:val="24"/>
                <w:lang w:eastAsia="zh-CN"/>
              </w:rPr>
              <w:t>清洗</w:t>
            </w:r>
            <w:r>
              <w:rPr>
                <w:rFonts w:hint="eastAsia" w:ascii="Times New Roman" w:hAnsi="Times New Roman" w:eastAsia="宋体" w:cs="Times New Roman"/>
                <w:color w:val="auto"/>
                <w:sz w:val="24"/>
                <w:lang w:eastAsia="zh-CN"/>
              </w:rPr>
              <w:t>废水</w:t>
            </w:r>
            <w:r>
              <w:rPr>
                <w:rFonts w:hint="eastAsia" w:ascii="Times New Roman" w:hAnsi="Times New Roman" w:eastAsia="宋体" w:cs="Times New Roman"/>
                <w:color w:val="auto"/>
                <w:sz w:val="24"/>
                <w:lang w:val="en-US" w:eastAsia="zh-CN"/>
              </w:rPr>
              <w:t>W1-1</w:t>
            </w:r>
            <w:r>
              <w:rPr>
                <w:rFonts w:hint="eastAsia" w:ascii="Times New Roman" w:cs="Times New Roman"/>
                <w:color w:val="auto"/>
                <w:sz w:val="24"/>
                <w:lang w:val="en-US" w:eastAsia="zh-CN"/>
              </w:rPr>
              <w:t>、噪声N；</w:t>
            </w:r>
          </w:p>
          <w:p w14:paraId="08556194">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2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②</w:t>
            </w:r>
            <w:r>
              <w:rPr>
                <w:rFonts w:ascii="Times New Roman" w:hAnsi="Times New Roman" w:eastAsia="宋体" w:cs="Times New Roman"/>
                <w:color w:val="auto"/>
                <w:sz w:val="24"/>
              </w:rPr>
              <w:fldChar w:fldCharType="end"/>
            </w:r>
            <w:r>
              <w:rPr>
                <w:rFonts w:hint="eastAsia" w:ascii="Times New Roman" w:hAnsi="Times New Roman" w:eastAsia="宋体" w:cs="Times New Roman"/>
                <w:color w:val="auto"/>
                <w:sz w:val="24"/>
              </w:rPr>
              <w:t>消毒</w:t>
            </w:r>
          </w:p>
          <w:p w14:paraId="68FCE55A">
            <w:pPr>
              <w:pStyle w:val="45"/>
              <w:spacing w:beforeLines="0" w:afterLines="0" w:line="360" w:lineRule="auto"/>
              <w:ind w:firstLine="480" w:firstLineChars="200"/>
              <w:jc w:val="both"/>
              <w:rPr>
                <w:rFonts w:hint="eastAsia" w:ascii="Times New Roman" w:cs="Times New Roman"/>
                <w:color w:val="auto"/>
                <w:sz w:val="24"/>
                <w:lang w:eastAsia="zh-CN"/>
              </w:rPr>
            </w:pPr>
            <w:r>
              <w:rPr>
                <w:rFonts w:hint="eastAsia" w:ascii="Times New Roman" w:cs="Times New Roman"/>
                <w:color w:val="auto"/>
                <w:sz w:val="24"/>
                <w:lang w:eastAsia="zh-CN"/>
              </w:rPr>
              <w:t>二道鼓泡清洗机加完水后，鼓泡，添加约600mL的次氯酸钠消毒液，检测水中余氯浓度在10-20ppm，投入裙带菜，消毒至少10分钟；此过程</w:t>
            </w:r>
            <w:r>
              <w:rPr>
                <w:rFonts w:hint="eastAsia" w:ascii="Times New Roman" w:cs="Times New Roman"/>
                <w:color w:val="auto"/>
                <w:sz w:val="24"/>
                <w:lang w:val="en-US" w:eastAsia="zh-CN"/>
              </w:rPr>
              <w:t>消毒废水W2-1</w:t>
            </w:r>
            <w:r>
              <w:rPr>
                <w:rFonts w:hint="eastAsia" w:ascii="Times New Roman" w:cs="Times New Roman"/>
                <w:color w:val="auto"/>
                <w:sz w:val="24"/>
                <w:lang w:eastAsia="zh-CN"/>
              </w:rPr>
              <w:t>。</w:t>
            </w:r>
          </w:p>
          <w:p w14:paraId="2371C249">
            <w:pPr>
              <w:pStyle w:val="45"/>
              <w:spacing w:beforeLines="0" w:afterLines="0"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cs="Times New Roman"/>
                <w:color w:val="auto"/>
                <w:sz w:val="24"/>
                <w:lang w:eastAsia="zh-CN"/>
              </w:rPr>
              <w:t>注：</w:t>
            </w:r>
            <w:r>
              <w:rPr>
                <w:rFonts w:hint="default" w:ascii="Times New Roman" w:hAnsi="Times New Roman" w:eastAsia="宋体" w:cs="Times New Roman"/>
                <w:color w:val="auto"/>
                <w:sz w:val="24"/>
                <w:szCs w:val="24"/>
                <w:lang w:eastAsia="zh-CN"/>
              </w:rPr>
              <w:t>此时水溶液呈弱碱性，次氯酸钠遇水发生水解生成次氯酸</w:t>
            </w:r>
            <w:r>
              <w:rPr>
                <w:rFonts w:hint="eastAsia" w:asci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NaC1</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+H</w:t>
            </w:r>
            <w:r>
              <w:rPr>
                <w:rFonts w:hint="default" w:ascii="Times New Roman" w:hAnsi="Times New Roman" w:eastAsia="宋体" w:cs="Times New Roman"/>
                <w:color w:val="auto"/>
                <w:sz w:val="24"/>
                <w:szCs w:val="24"/>
                <w:lang w:val="en-US" w:eastAsia="zh-CN"/>
              </w:rPr>
              <w:t>2O⇌</w:t>
            </w:r>
            <w:r>
              <w:rPr>
                <w:rFonts w:hint="default" w:ascii="Times New Roman" w:hAnsi="Times New Roman" w:eastAsia="宋体" w:cs="Times New Roman"/>
                <w:color w:val="auto"/>
                <w:sz w:val="24"/>
                <w:szCs w:val="24"/>
                <w:lang w:eastAsia="zh-CN"/>
              </w:rPr>
              <w:t>HC1</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+Na</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H</w:t>
            </w:r>
            <w:r>
              <w:rPr>
                <w:rFonts w:hint="eastAsia" w:asci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，这个环境下，次氯酸</w:t>
            </w:r>
            <w:r>
              <w:rPr>
                <w:rFonts w:hint="eastAsia" w:asci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HCIO</w:t>
            </w:r>
            <w:r>
              <w:rPr>
                <w:rFonts w:hint="eastAsia" w:asci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会缓慢分解成盐酸和氧气</w:t>
            </w:r>
            <w:r>
              <w:rPr>
                <w:rFonts w:hint="eastAsia" w:asci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2HC1</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→2HC1+</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2</w:t>
            </w:r>
            <w:r>
              <w:rPr>
                <w:rFonts w:hint="eastAsia" w:ascii="Times New Roman" w:cs="Times New Roman"/>
                <w:color w:val="auto"/>
                <w:sz w:val="24"/>
                <w:szCs w:val="24"/>
                <w:vertAlign w:val="subscript"/>
                <w:lang w:val="en-US" w:eastAsia="zh-CN"/>
              </w:rPr>
              <w:t>）</w:t>
            </w:r>
            <w:r>
              <w:rPr>
                <w:rFonts w:hint="default" w:ascii="Times New Roman" w:hAnsi="Times New Roman" w:eastAsia="宋体" w:cs="Times New Roman"/>
                <w:color w:val="auto"/>
                <w:sz w:val="24"/>
                <w:szCs w:val="24"/>
                <w:lang w:eastAsia="zh-CN"/>
              </w:rPr>
              <w:t>，生成的盐酸（HCl）会与剩余的次氯酸钠或生成的氢氧化钠反应，最终形成氯化钠（食盐）和水（HCl+NaOH→NaCl+H</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O）。此过程基本不会有</w:t>
            </w:r>
            <w:r>
              <w:rPr>
                <w:rFonts w:hint="default" w:ascii="Times New Roman" w:hAnsi="Times New Roman" w:eastAsia="宋体" w:cs="Times New Roman"/>
                <w:color w:val="auto"/>
                <w:sz w:val="24"/>
                <w:szCs w:val="24"/>
                <w:lang w:val="en-US" w:eastAsia="zh-CN"/>
              </w:rPr>
              <w:t>HCl或者氯气</w:t>
            </w:r>
            <w:r>
              <w:rPr>
                <w:rFonts w:hint="eastAsia" w:ascii="Times New Roman" w:cs="Times New Roman"/>
                <w:color w:val="auto"/>
                <w:sz w:val="24"/>
                <w:szCs w:val="24"/>
                <w:lang w:val="en-US" w:eastAsia="zh-CN"/>
              </w:rPr>
              <w:t>逸</w:t>
            </w:r>
            <w:r>
              <w:rPr>
                <w:rFonts w:hint="default" w:ascii="Times New Roman" w:hAnsi="Times New Roman" w:eastAsia="宋体" w:cs="Times New Roman"/>
                <w:color w:val="auto"/>
                <w:sz w:val="24"/>
                <w:szCs w:val="24"/>
                <w:lang w:val="en-US" w:eastAsia="zh-CN"/>
              </w:rPr>
              <w:t>出。</w:t>
            </w:r>
          </w:p>
          <w:p w14:paraId="2473C922">
            <w:pPr>
              <w:pStyle w:val="45"/>
              <w:spacing w:beforeLines="0" w:afterLines="0" w:line="360" w:lineRule="auto"/>
              <w:ind w:firstLine="480" w:firstLineChars="200"/>
              <w:jc w:val="both"/>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3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③</w:t>
            </w:r>
            <w:r>
              <w:rPr>
                <w:rFonts w:ascii="Times New Roman" w:hAnsi="Times New Roman" w:eastAsia="宋体" w:cs="Times New Roman"/>
                <w:color w:val="auto"/>
                <w:sz w:val="24"/>
              </w:rPr>
              <w:fldChar w:fldCharType="end"/>
            </w:r>
            <w:r>
              <w:rPr>
                <w:rFonts w:hint="eastAsia" w:ascii="Times New Roman" w:cs="Times New Roman"/>
                <w:color w:val="auto"/>
                <w:sz w:val="24"/>
                <w:lang w:eastAsia="zh-CN"/>
              </w:rPr>
              <w:t>清洗</w:t>
            </w:r>
          </w:p>
          <w:p w14:paraId="0065BC0E">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Times New Roman" w:cs="Times New Roman"/>
                <w:color w:val="auto"/>
                <w:sz w:val="24"/>
                <w:lang w:eastAsia="zh-CN"/>
              </w:rPr>
              <w:t>经过消毒后，</w:t>
            </w:r>
            <w:r>
              <w:rPr>
                <w:rFonts w:hint="eastAsia" w:ascii="Times New Roman" w:hAnsi="Times New Roman" w:eastAsia="宋体" w:cs="Times New Roman"/>
                <w:color w:val="auto"/>
                <w:sz w:val="24"/>
              </w:rPr>
              <w:t>放水后</w:t>
            </w:r>
            <w:r>
              <w:rPr>
                <w:rFonts w:hint="eastAsia" w:ascii="Times New Roman" w:cs="Times New Roman"/>
                <w:color w:val="auto"/>
                <w:sz w:val="24"/>
                <w:lang w:eastAsia="zh-CN"/>
              </w:rPr>
              <w:t>清洗机中</w:t>
            </w:r>
            <w:r>
              <w:rPr>
                <w:rFonts w:hint="eastAsia" w:ascii="Times New Roman" w:hAnsi="Times New Roman" w:eastAsia="宋体" w:cs="Times New Roman"/>
                <w:color w:val="auto"/>
                <w:sz w:val="24"/>
              </w:rPr>
              <w:t>再次注入水鼓泡清洗</w:t>
            </w:r>
            <w:r>
              <w:rPr>
                <w:rFonts w:ascii="Times New Roman" w:hAnsi="Times New Roman" w:eastAsia="宋体" w:cs="Times New Roman"/>
                <w:color w:val="auto"/>
                <w:sz w:val="24"/>
              </w:rPr>
              <w:t>。此过程会产生</w:t>
            </w:r>
            <w:r>
              <w:rPr>
                <w:rFonts w:hint="eastAsia" w:ascii="Times New Roman" w:cs="Times New Roman"/>
                <w:color w:val="auto"/>
                <w:sz w:val="24"/>
                <w:lang w:eastAsia="zh-CN"/>
              </w:rPr>
              <w:t>清洗废水</w:t>
            </w:r>
            <w:r>
              <w:rPr>
                <w:rFonts w:hint="eastAsia" w:ascii="Times New Roman" w:cs="Times New Roman"/>
                <w:color w:val="auto"/>
                <w:sz w:val="24"/>
                <w:lang w:val="en-US" w:eastAsia="zh-CN"/>
              </w:rPr>
              <w:t>W1-2</w:t>
            </w:r>
            <w:r>
              <w:rPr>
                <w:rFonts w:ascii="Times New Roman" w:hAnsi="Times New Roman" w:eastAsia="宋体" w:cs="Times New Roman"/>
                <w:color w:val="auto"/>
                <w:sz w:val="24"/>
              </w:rPr>
              <w:t>。</w:t>
            </w:r>
          </w:p>
          <w:p w14:paraId="3BE8562B">
            <w:pPr>
              <w:pStyle w:val="45"/>
              <w:spacing w:beforeLines="0" w:afterLines="0" w:line="360" w:lineRule="auto"/>
              <w:ind w:firstLine="480" w:firstLineChars="200"/>
              <w:jc w:val="both"/>
              <w:rPr>
                <w:rFonts w:hint="eastAsia" w:ascii="Times New Roman" w:cs="Times New Roman"/>
                <w:color w:val="auto"/>
                <w:sz w:val="24"/>
                <w:lang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4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④</w:t>
            </w:r>
            <w:r>
              <w:rPr>
                <w:rFonts w:ascii="Times New Roman" w:hAnsi="Times New Roman" w:eastAsia="宋体" w:cs="Times New Roman"/>
                <w:color w:val="auto"/>
                <w:sz w:val="24"/>
              </w:rPr>
              <w:fldChar w:fldCharType="end"/>
            </w:r>
            <w:r>
              <w:rPr>
                <w:rFonts w:hint="eastAsia" w:ascii="Times New Roman" w:cs="Times New Roman"/>
                <w:color w:val="auto"/>
                <w:sz w:val="24"/>
                <w:lang w:eastAsia="zh-CN"/>
              </w:rPr>
              <w:t>挑拣</w:t>
            </w:r>
          </w:p>
          <w:p w14:paraId="5046594E">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人工</w:t>
            </w:r>
            <w:r>
              <w:rPr>
                <w:rFonts w:hint="eastAsia" w:ascii="Times New Roman" w:cs="Times New Roman"/>
                <w:color w:val="auto"/>
                <w:sz w:val="24"/>
                <w:lang w:eastAsia="zh-CN"/>
              </w:rPr>
              <w:t>在解冻水池挑拣平台</w:t>
            </w:r>
            <w:r>
              <w:rPr>
                <w:rFonts w:hint="eastAsia" w:ascii="Times New Roman" w:hAnsi="Times New Roman" w:eastAsia="宋体" w:cs="Times New Roman"/>
                <w:color w:val="auto"/>
                <w:sz w:val="24"/>
                <w:lang w:eastAsia="zh-CN"/>
              </w:rPr>
              <w:t>对原料进行挑拣，包括石子、头发等外源性异物，并对裙带菜中不符合要求的梗丝进行挑拣。同时用</w:t>
            </w:r>
            <w:r>
              <w:rPr>
                <w:rFonts w:hint="eastAsia" w:ascii="Times New Roman" w:hAnsi="Times New Roman" w:eastAsia="宋体" w:cs="Times New Roman"/>
                <w:color w:val="auto"/>
                <w:sz w:val="24"/>
                <w:lang w:val="en-US" w:eastAsia="zh-CN"/>
              </w:rPr>
              <w:t>金属检测机对裙带菜进行检测，检测其中异物</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此过程会产生</w:t>
            </w:r>
            <w:r>
              <w:rPr>
                <w:rFonts w:hint="eastAsia" w:ascii="Times New Roman" w:cs="Times New Roman"/>
                <w:color w:val="auto"/>
                <w:sz w:val="24"/>
                <w:lang w:val="en-US" w:eastAsia="zh-CN"/>
              </w:rPr>
              <w:t>S1-1废杂物</w:t>
            </w:r>
            <w:r>
              <w:rPr>
                <w:rFonts w:ascii="Times New Roman" w:hAnsi="Times New Roman" w:eastAsia="宋体" w:cs="Times New Roman"/>
                <w:color w:val="auto"/>
                <w:sz w:val="24"/>
              </w:rPr>
              <w:t>。</w:t>
            </w:r>
          </w:p>
          <w:p w14:paraId="7AD27F53">
            <w:pPr>
              <w:pStyle w:val="45"/>
              <w:spacing w:beforeLines="0" w:afterLines="0" w:line="360" w:lineRule="auto"/>
              <w:ind w:firstLine="480" w:firstLineChars="200"/>
              <w:jc w:val="both"/>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5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⑤</w:t>
            </w:r>
            <w:r>
              <w:rPr>
                <w:rFonts w:ascii="Times New Roman" w:hAnsi="Times New Roman" w:eastAsia="宋体" w:cs="Times New Roman"/>
                <w:color w:val="auto"/>
                <w:sz w:val="24"/>
              </w:rPr>
              <w:fldChar w:fldCharType="end"/>
            </w:r>
            <w:r>
              <w:rPr>
                <w:rFonts w:hint="eastAsia" w:ascii="Times New Roman" w:cs="Times New Roman"/>
                <w:color w:val="auto"/>
                <w:sz w:val="24"/>
                <w:lang w:eastAsia="zh-CN"/>
              </w:rPr>
              <w:t>控水</w:t>
            </w:r>
          </w:p>
          <w:p w14:paraId="32D2B655">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根据产品水分含量，适当调整压水皮带松紧度</w:t>
            </w:r>
            <w:r>
              <w:rPr>
                <w:rFonts w:hint="eastAsia" w:ascii="Times New Roman" w:cs="Times New Roman"/>
                <w:color w:val="auto"/>
                <w:sz w:val="24"/>
                <w:lang w:eastAsia="zh-CN"/>
              </w:rPr>
              <w:t>通过振动沥水机进行控水</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此过程会产生机械噪声N1</w:t>
            </w:r>
            <w:r>
              <w:rPr>
                <w:rFonts w:hint="eastAsia" w:ascii="Times New Roman" w:cs="Times New Roman"/>
                <w:color w:val="auto"/>
                <w:sz w:val="24"/>
                <w:lang w:eastAsia="zh-CN"/>
              </w:rPr>
              <w:t>、清洗废水</w:t>
            </w:r>
            <w:r>
              <w:rPr>
                <w:rFonts w:hint="eastAsia" w:ascii="Times New Roman" w:cs="Times New Roman"/>
                <w:color w:val="auto"/>
                <w:sz w:val="24"/>
                <w:lang w:val="en-US" w:eastAsia="zh-CN"/>
              </w:rPr>
              <w:t>W1-3</w:t>
            </w:r>
            <w:r>
              <w:rPr>
                <w:rFonts w:hint="eastAsia" w:ascii="Times New Roman" w:cs="Times New Roman"/>
                <w:color w:val="auto"/>
                <w:sz w:val="24"/>
                <w:lang w:eastAsia="zh-CN"/>
              </w:rPr>
              <w:t>。</w:t>
            </w:r>
          </w:p>
          <w:p w14:paraId="2CD9FCE1">
            <w:pPr>
              <w:pStyle w:val="45"/>
              <w:spacing w:beforeLines="0" w:afterLines="0" w:line="360" w:lineRule="auto"/>
              <w:ind w:firstLine="480" w:firstLineChars="200"/>
              <w:jc w:val="both"/>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6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⑥</w:t>
            </w:r>
            <w:r>
              <w:rPr>
                <w:rFonts w:ascii="Times New Roman" w:hAnsi="Times New Roman" w:eastAsia="宋体" w:cs="Times New Roman"/>
                <w:color w:val="auto"/>
                <w:sz w:val="24"/>
              </w:rPr>
              <w:fldChar w:fldCharType="end"/>
            </w:r>
            <w:r>
              <w:rPr>
                <w:rFonts w:hint="eastAsia" w:ascii="Times New Roman" w:cs="Times New Roman"/>
                <w:color w:val="auto"/>
                <w:sz w:val="24"/>
                <w:lang w:eastAsia="zh-CN"/>
              </w:rPr>
              <w:t>调味</w:t>
            </w:r>
          </w:p>
          <w:p w14:paraId="641476A2">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按配方重量（重量偏差≤1%），添加</w:t>
            </w:r>
            <w:r>
              <w:rPr>
                <w:rFonts w:hint="eastAsia" w:ascii="Times New Roman" w:cs="Times New Roman"/>
                <w:color w:val="auto"/>
                <w:sz w:val="24"/>
                <w:lang w:eastAsia="zh-CN"/>
              </w:rPr>
              <w:t>盐、糖、香油等调味料</w:t>
            </w:r>
            <w:r>
              <w:rPr>
                <w:rFonts w:hint="eastAsia" w:ascii="Times New Roman" w:hAnsi="Times New Roman" w:eastAsia="宋体" w:cs="Times New Roman"/>
                <w:color w:val="auto"/>
                <w:sz w:val="24"/>
              </w:rPr>
              <w:t>，</w:t>
            </w:r>
            <w:r>
              <w:rPr>
                <w:rFonts w:hint="eastAsia" w:ascii="Times New Roman" w:cs="Times New Roman"/>
                <w:color w:val="auto"/>
                <w:sz w:val="24"/>
                <w:lang w:eastAsia="zh-CN"/>
              </w:rPr>
              <w:t>在自动卧式搅拌机中</w:t>
            </w:r>
            <w:r>
              <w:rPr>
                <w:rFonts w:hint="eastAsia" w:ascii="Times New Roman" w:hAnsi="Times New Roman" w:eastAsia="宋体" w:cs="Times New Roman"/>
                <w:color w:val="auto"/>
                <w:sz w:val="24"/>
              </w:rPr>
              <w:t>搅拌40</w:t>
            </w:r>
            <w:r>
              <w:rPr>
                <w:rFonts w:hint="eastAsia" w:ascii="Times New Roman" w:cs="Times New Roman"/>
                <w:color w:val="auto"/>
                <w:sz w:val="24"/>
                <w:lang w:eastAsia="zh-CN"/>
              </w:rPr>
              <w:t>～</w:t>
            </w:r>
            <w:r>
              <w:rPr>
                <w:rFonts w:hint="eastAsia" w:ascii="Times New Roman" w:hAnsi="Times New Roman" w:eastAsia="宋体" w:cs="Times New Roman"/>
                <w:color w:val="auto"/>
                <w:sz w:val="24"/>
              </w:rPr>
              <w:t>50min</w:t>
            </w:r>
            <w:r>
              <w:rPr>
                <w:rFonts w:ascii="Times New Roman" w:hAnsi="Times New Roman" w:eastAsia="宋体" w:cs="Times New Roman"/>
                <w:color w:val="auto"/>
                <w:sz w:val="24"/>
              </w:rPr>
              <w:t>。</w:t>
            </w:r>
          </w:p>
          <w:p w14:paraId="6B69111C">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7 \* GB3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⑦</w:t>
            </w:r>
            <w:r>
              <w:rPr>
                <w:rFonts w:ascii="Times New Roman" w:hAnsi="Times New Roman" w:eastAsia="宋体" w:cs="Times New Roman"/>
                <w:color w:val="auto"/>
                <w:sz w:val="24"/>
              </w:rPr>
              <w:fldChar w:fldCharType="end"/>
            </w:r>
            <w:r>
              <w:rPr>
                <w:rFonts w:hint="eastAsia" w:ascii="Times New Roman" w:cs="Times New Roman"/>
                <w:color w:val="auto"/>
                <w:sz w:val="24"/>
                <w:lang w:eastAsia="zh-CN"/>
              </w:rPr>
              <w:t>内包装</w:t>
            </w:r>
          </w:p>
          <w:p w14:paraId="528D3034">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eastAsia" w:ascii="Times New Roman" w:cs="Times New Roman"/>
                <w:color w:val="auto"/>
                <w:sz w:val="24"/>
                <w:lang w:eastAsia="zh-CN"/>
              </w:rPr>
              <w:t>用电子秤</w:t>
            </w:r>
            <w:r>
              <w:rPr>
                <w:rFonts w:hint="default" w:ascii="Times New Roman" w:hAnsi="Times New Roman" w:eastAsia="宋体" w:cs="Times New Roman"/>
                <w:color w:val="auto"/>
                <w:sz w:val="24"/>
              </w:rPr>
              <w:t>对调味后的</w:t>
            </w:r>
            <w:r>
              <w:rPr>
                <w:rFonts w:hint="eastAsia" w:ascii="Times New Roman" w:cs="Times New Roman"/>
                <w:color w:val="auto"/>
                <w:sz w:val="24"/>
                <w:lang w:eastAsia="zh-CN"/>
              </w:rPr>
              <w:t>裙带菜</w:t>
            </w:r>
            <w:r>
              <w:rPr>
                <w:rFonts w:hint="default" w:ascii="Times New Roman" w:hAnsi="Times New Roman" w:eastAsia="宋体" w:cs="Times New Roman"/>
                <w:color w:val="auto"/>
                <w:sz w:val="24"/>
              </w:rPr>
              <w:t>进行分份。称重后的</w:t>
            </w:r>
            <w:r>
              <w:rPr>
                <w:rFonts w:hint="eastAsia" w:ascii="Times New Roman" w:cs="Times New Roman"/>
                <w:color w:val="auto"/>
                <w:sz w:val="24"/>
                <w:lang w:eastAsia="zh-CN"/>
              </w:rPr>
              <w:t>产品</w:t>
            </w:r>
            <w:r>
              <w:rPr>
                <w:rFonts w:hint="default" w:ascii="Times New Roman" w:hAnsi="Times New Roman" w:eastAsia="宋体" w:cs="Times New Roman"/>
                <w:color w:val="auto"/>
                <w:sz w:val="24"/>
              </w:rPr>
              <w:t>进入给袋式全自动包装机，该设备自动取袋、开袋、充填，延长产品保质期，最后经热封口输出密封包装品。随后，密封包装品依次通过两道安全检测关卡。首先经过金属探测仪，灵敏识别并自动剔除含有铁金属（φ≥1.0mm）或非铁金属（φ≥1.5mm）杂质的产品。紧接着，产品通过X光机检测仪，该设备利用低强度X射线成像，可高效探测并剔除密度异于产品本身的各类微小异物。</w:t>
            </w:r>
            <w:r>
              <w:rPr>
                <w:rFonts w:ascii="Times New Roman" w:hAnsi="Times New Roman" w:eastAsia="宋体" w:cs="Times New Roman"/>
                <w:color w:val="auto"/>
                <w:sz w:val="24"/>
              </w:rPr>
              <w:t>此过程会产生</w:t>
            </w:r>
            <w:r>
              <w:rPr>
                <w:rFonts w:hint="eastAsia" w:ascii="Times New Roman" w:cs="Times New Roman"/>
                <w:color w:val="auto"/>
                <w:sz w:val="24"/>
                <w:lang w:val="en-US" w:eastAsia="zh-CN"/>
              </w:rPr>
              <w:t>S2不合格品</w:t>
            </w:r>
            <w:r>
              <w:rPr>
                <w:rFonts w:ascii="Times New Roman" w:hAnsi="Times New Roman" w:eastAsia="宋体" w:cs="Times New Roman"/>
                <w:color w:val="auto"/>
                <w:sz w:val="24"/>
              </w:rPr>
              <w:t>。</w:t>
            </w:r>
          </w:p>
          <w:p w14:paraId="644DE952">
            <w:pPr>
              <w:pStyle w:val="45"/>
              <w:spacing w:beforeLines="0" w:afterLines="0" w:line="360" w:lineRule="auto"/>
              <w:ind w:firstLine="480" w:firstLineChars="200"/>
              <w:jc w:val="both"/>
              <w:rPr>
                <w:rFonts w:hint="eastAsia" w:ascii="Times New Roman" w:hAnsi="Times New Roman" w:eastAsia="微软雅黑" w:cs="Times New Roman"/>
                <w:color w:val="auto"/>
                <w:sz w:val="24"/>
                <w:lang w:eastAsia="zh-CN"/>
              </w:rPr>
            </w:pPr>
            <w:r>
              <w:rPr>
                <w:rFonts w:hint="eastAsia" w:ascii="微软雅黑" w:hAnsi="微软雅黑" w:eastAsia="微软雅黑" w:cs="微软雅黑"/>
                <w:color w:val="auto"/>
                <w:sz w:val="24"/>
              </w:rPr>
              <w:t>⑧</w:t>
            </w:r>
            <w:r>
              <w:rPr>
                <w:rFonts w:hint="eastAsia" w:ascii="Times New Roman" w:cs="Times New Roman"/>
                <w:color w:val="auto"/>
                <w:sz w:val="24"/>
                <w:lang w:eastAsia="zh-CN"/>
              </w:rPr>
              <w:t>速冻</w:t>
            </w:r>
          </w:p>
          <w:p w14:paraId="2F861B29">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将合格产品迅速通过</w:t>
            </w:r>
            <w:r>
              <w:rPr>
                <w:rFonts w:hint="eastAsia" w:ascii="Times New Roman" w:cs="Times New Roman"/>
                <w:color w:val="auto"/>
                <w:sz w:val="24"/>
                <w:lang w:eastAsia="zh-CN"/>
              </w:rPr>
              <w:t>双螺旋速冻装置</w:t>
            </w:r>
            <w:r>
              <w:rPr>
                <w:rFonts w:hint="eastAsia" w:ascii="Times New Roman" w:hAnsi="Times New Roman" w:eastAsia="宋体" w:cs="Times New Roman"/>
                <w:color w:val="auto"/>
                <w:sz w:val="24"/>
                <w:lang w:eastAsia="zh-CN"/>
              </w:rPr>
              <w:t>，使其快速冻结，锁鲜保藏</w:t>
            </w:r>
            <w:r>
              <w:rPr>
                <w:rFonts w:hint="default" w:ascii="Times New Roman" w:hAnsi="Times New Roman" w:eastAsia="宋体" w:cs="Times New Roman"/>
                <w:color w:val="auto"/>
                <w:sz w:val="24"/>
              </w:rPr>
              <w:t>。</w:t>
            </w:r>
          </w:p>
          <w:p w14:paraId="2DD86393">
            <w:pPr>
              <w:pStyle w:val="45"/>
              <w:spacing w:beforeLines="0" w:afterLines="0" w:line="360" w:lineRule="auto"/>
              <w:ind w:firstLine="480" w:firstLineChars="200"/>
              <w:jc w:val="both"/>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⑨</w:t>
            </w:r>
            <w:r>
              <w:rPr>
                <w:rFonts w:hint="eastAsia" w:ascii="Times New Roman" w:cs="Times New Roman"/>
                <w:color w:val="auto"/>
                <w:sz w:val="24"/>
                <w:lang w:eastAsia="zh-CN"/>
              </w:rPr>
              <w:t>外包装</w:t>
            </w:r>
          </w:p>
          <w:p w14:paraId="6D257A6D">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Times New Roman" w:cs="Times New Roman"/>
                <w:color w:val="auto"/>
                <w:sz w:val="24"/>
                <w:lang w:eastAsia="zh-CN"/>
              </w:rPr>
              <w:t>根据产品标准要求装箱，并整箱检重贴标。</w:t>
            </w:r>
          </w:p>
          <w:p w14:paraId="3E70C8B4">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⑩冷藏</w:t>
            </w:r>
          </w:p>
          <w:p w14:paraId="22BF2A98">
            <w:pPr>
              <w:pStyle w:val="45"/>
              <w:spacing w:beforeLines="0" w:afterLines="0" w:line="360" w:lineRule="auto"/>
              <w:ind w:firstLine="480" w:firstLineChars="200"/>
              <w:jc w:val="both"/>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即送入≤-18℃的冷冻库中贮存</w:t>
            </w:r>
            <w:r>
              <w:rPr>
                <w:rFonts w:hint="eastAsia" w:ascii="Times New Roman" w:cs="Times New Roman"/>
                <w:color w:val="auto"/>
                <w:sz w:val="24"/>
                <w:lang w:eastAsia="zh-CN"/>
              </w:rPr>
              <w:t>。</w:t>
            </w:r>
          </w:p>
          <w:p w14:paraId="7A58FB75">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⑪发运</w:t>
            </w:r>
          </w:p>
          <w:p w14:paraId="71F424CD">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冷链物流：冷藏车预冷至-18℃后装货，全程温度监控并记录。</w:t>
            </w:r>
          </w:p>
          <w:p w14:paraId="29529F59">
            <w:pPr>
              <w:pStyle w:val="45"/>
              <w:spacing w:before="24" w:after="24" w:line="360" w:lineRule="auto"/>
              <w:ind w:firstLine="482" w:firstLineChars="200"/>
              <w:jc w:val="left"/>
              <w:rPr>
                <w:rFonts w:ascii="Times New Roman" w:hAnsi="Times New Roman" w:eastAsia="宋体" w:cs="Times New Roman"/>
                <w:b/>
                <w:color w:val="auto"/>
                <w:sz w:val="24"/>
              </w:rPr>
            </w:pPr>
          </w:p>
          <w:p w14:paraId="71EB382B">
            <w:pPr>
              <w:pStyle w:val="45"/>
              <w:spacing w:before="24" w:after="24" w:line="360" w:lineRule="auto"/>
              <w:ind w:firstLine="482" w:firstLineChars="200"/>
              <w:jc w:val="left"/>
              <w:rPr>
                <w:rFonts w:ascii="Times New Roman" w:hAnsi="Times New Roman" w:eastAsia="宋体" w:cs="Times New Roman"/>
                <w:b/>
                <w:color w:val="auto"/>
                <w:sz w:val="24"/>
              </w:rPr>
            </w:pPr>
          </w:p>
          <w:p w14:paraId="0E3F00CE">
            <w:pPr>
              <w:pStyle w:val="45"/>
              <w:spacing w:before="24" w:after="24" w:line="360" w:lineRule="auto"/>
              <w:ind w:firstLine="482" w:firstLineChars="200"/>
              <w:jc w:val="left"/>
              <w:rPr>
                <w:rFonts w:ascii="Times New Roman" w:hAnsi="Times New Roman" w:eastAsia="宋体" w:cs="Times New Roman"/>
                <w:b/>
                <w:color w:val="auto"/>
                <w:sz w:val="24"/>
              </w:rPr>
            </w:pPr>
          </w:p>
          <w:p w14:paraId="76417C2E">
            <w:pPr>
              <w:pStyle w:val="45"/>
              <w:spacing w:before="24" w:after="24" w:line="360" w:lineRule="auto"/>
              <w:ind w:firstLine="482" w:firstLineChars="200"/>
              <w:jc w:val="left"/>
              <w:rPr>
                <w:rFonts w:ascii="Times New Roman" w:hAnsi="Times New Roman" w:eastAsia="宋体" w:cs="Times New Roman"/>
                <w:b/>
                <w:color w:val="auto"/>
                <w:sz w:val="24"/>
              </w:rPr>
            </w:pPr>
          </w:p>
          <w:p w14:paraId="7A156DAC">
            <w:pPr>
              <w:pStyle w:val="45"/>
              <w:spacing w:before="24" w:after="24" w:line="360" w:lineRule="auto"/>
              <w:ind w:firstLine="482" w:firstLineChars="200"/>
              <w:jc w:val="left"/>
              <w:rPr>
                <w:rFonts w:ascii="Times New Roman" w:hAnsi="Times New Roman" w:eastAsia="宋体" w:cs="Times New Roman"/>
                <w:b/>
                <w:color w:val="auto"/>
                <w:sz w:val="24"/>
              </w:rPr>
            </w:pPr>
          </w:p>
          <w:p w14:paraId="2E553E9C">
            <w:pPr>
              <w:pStyle w:val="45"/>
              <w:spacing w:before="24" w:after="24" w:line="360" w:lineRule="auto"/>
              <w:ind w:firstLine="482" w:firstLineChars="200"/>
              <w:jc w:val="left"/>
              <w:rPr>
                <w:rFonts w:ascii="Times New Roman" w:hAnsi="Times New Roman" w:eastAsia="宋体" w:cs="Times New Roman"/>
                <w:b/>
                <w:color w:val="auto"/>
                <w:sz w:val="24"/>
              </w:rPr>
            </w:pPr>
          </w:p>
          <w:p w14:paraId="47A15F21">
            <w:pPr>
              <w:pStyle w:val="45"/>
              <w:spacing w:before="24" w:after="24" w:line="360" w:lineRule="auto"/>
              <w:ind w:firstLine="482" w:firstLineChars="200"/>
              <w:jc w:val="left"/>
              <w:rPr>
                <w:rFonts w:ascii="Times New Roman" w:hAnsi="Times New Roman" w:eastAsia="宋体" w:cs="Times New Roman"/>
                <w:b/>
                <w:color w:val="auto"/>
                <w:sz w:val="24"/>
              </w:rPr>
            </w:pPr>
          </w:p>
          <w:p w14:paraId="5B321F0F">
            <w:pPr>
              <w:pStyle w:val="45"/>
              <w:spacing w:before="24" w:after="24" w:line="360" w:lineRule="auto"/>
              <w:ind w:firstLine="482" w:firstLineChars="200"/>
              <w:jc w:val="left"/>
              <w:rPr>
                <w:rFonts w:ascii="Times New Roman" w:hAnsi="Times New Roman" w:eastAsia="宋体" w:cs="Times New Roman"/>
                <w:b/>
                <w:color w:val="auto"/>
                <w:sz w:val="24"/>
              </w:rPr>
            </w:pPr>
          </w:p>
          <w:p w14:paraId="7C4BA076">
            <w:pPr>
              <w:pStyle w:val="45"/>
              <w:spacing w:before="24" w:after="24" w:line="360" w:lineRule="auto"/>
              <w:ind w:firstLine="482" w:firstLineChars="200"/>
              <w:jc w:val="left"/>
              <w:rPr>
                <w:rFonts w:ascii="Times New Roman" w:hAnsi="Times New Roman" w:eastAsia="宋体" w:cs="Times New Roman"/>
                <w:b/>
                <w:color w:val="auto"/>
                <w:sz w:val="24"/>
              </w:rPr>
            </w:pPr>
          </w:p>
          <w:p w14:paraId="3D14F254">
            <w:pPr>
              <w:pStyle w:val="45"/>
              <w:spacing w:before="24" w:after="24" w:line="360" w:lineRule="auto"/>
              <w:ind w:firstLine="482" w:firstLineChars="200"/>
              <w:jc w:val="left"/>
              <w:rPr>
                <w:rFonts w:ascii="Times New Roman" w:hAnsi="Times New Roman" w:eastAsia="宋体" w:cs="Times New Roman"/>
                <w:b/>
                <w:color w:val="auto"/>
                <w:sz w:val="24"/>
              </w:rPr>
            </w:pPr>
          </w:p>
          <w:p w14:paraId="40DAA1FF">
            <w:pPr>
              <w:pStyle w:val="45"/>
              <w:spacing w:before="24" w:after="24" w:line="360" w:lineRule="auto"/>
              <w:ind w:firstLine="482" w:firstLineChars="200"/>
              <w:jc w:val="left"/>
              <w:rPr>
                <w:rFonts w:ascii="Times New Roman" w:hAnsi="Times New Roman" w:eastAsia="宋体" w:cs="Times New Roman"/>
                <w:b/>
                <w:color w:val="auto"/>
                <w:sz w:val="24"/>
              </w:rPr>
            </w:pPr>
          </w:p>
          <w:p w14:paraId="1347662E">
            <w:pPr>
              <w:pStyle w:val="45"/>
              <w:spacing w:before="24" w:after="24" w:line="360" w:lineRule="auto"/>
              <w:ind w:firstLine="482" w:firstLineChars="200"/>
              <w:jc w:val="left"/>
              <w:rPr>
                <w:rFonts w:ascii="Times New Roman" w:hAnsi="Times New Roman" w:eastAsia="宋体" w:cs="Times New Roman"/>
                <w:b/>
                <w:color w:val="auto"/>
                <w:sz w:val="24"/>
              </w:rPr>
            </w:pPr>
          </w:p>
          <w:p w14:paraId="57CE5D09">
            <w:pPr>
              <w:pStyle w:val="45"/>
              <w:spacing w:before="24" w:after="24" w:line="360" w:lineRule="auto"/>
              <w:ind w:firstLine="482" w:firstLineChars="200"/>
              <w:jc w:val="left"/>
              <w:rPr>
                <w:rFonts w:ascii="Times New Roman" w:hAnsi="Times New Roman" w:eastAsia="宋体" w:cs="Times New Roman"/>
                <w:b/>
                <w:color w:val="auto"/>
                <w:sz w:val="24"/>
              </w:rPr>
            </w:pPr>
          </w:p>
          <w:p w14:paraId="07F25C00">
            <w:pPr>
              <w:pStyle w:val="45"/>
              <w:spacing w:before="24" w:after="24" w:line="360" w:lineRule="auto"/>
              <w:ind w:firstLine="482" w:firstLineChars="200"/>
              <w:jc w:val="left"/>
              <w:rPr>
                <w:rFonts w:ascii="Times New Roman" w:hAnsi="Times New Roman" w:eastAsia="宋体" w:cs="Times New Roman"/>
                <w:b/>
                <w:color w:val="auto"/>
                <w:sz w:val="24"/>
              </w:rPr>
            </w:pPr>
          </w:p>
          <w:p w14:paraId="5C13CE84">
            <w:pPr>
              <w:pStyle w:val="45"/>
              <w:spacing w:before="24" w:after="24" w:line="360" w:lineRule="auto"/>
              <w:ind w:firstLine="482" w:firstLineChars="200"/>
              <w:jc w:val="left"/>
              <w:rPr>
                <w:rFonts w:ascii="Times New Roman" w:hAnsi="Times New Roman" w:eastAsia="宋体" w:cs="Times New Roman"/>
                <w:b/>
                <w:color w:val="auto"/>
                <w:sz w:val="24"/>
              </w:rPr>
            </w:pPr>
          </w:p>
          <w:p w14:paraId="0336EA46">
            <w:pPr>
              <w:pStyle w:val="45"/>
              <w:spacing w:before="24" w:after="24" w:line="360" w:lineRule="auto"/>
              <w:ind w:firstLine="482" w:firstLineChars="200"/>
              <w:jc w:val="left"/>
              <w:rPr>
                <w:rFonts w:ascii="Times New Roman" w:hAnsi="Times New Roman" w:eastAsia="宋体" w:cs="Times New Roman"/>
                <w:b/>
                <w:color w:val="auto"/>
                <w:sz w:val="24"/>
              </w:rPr>
            </w:pPr>
          </w:p>
          <w:p w14:paraId="67603CC8">
            <w:pPr>
              <w:pStyle w:val="45"/>
              <w:spacing w:before="24" w:after="24" w:line="360" w:lineRule="auto"/>
              <w:ind w:firstLine="482" w:firstLineChars="200"/>
              <w:jc w:val="left"/>
              <w:rPr>
                <w:rFonts w:ascii="Times New Roman" w:hAnsi="Times New Roman" w:eastAsia="宋体" w:cs="Times New Roman"/>
                <w:b/>
                <w:color w:val="auto"/>
                <w:sz w:val="24"/>
              </w:rPr>
            </w:pPr>
          </w:p>
          <w:p w14:paraId="1E1A4FC8">
            <w:pPr>
              <w:pStyle w:val="45"/>
              <w:spacing w:before="24" w:after="24" w:line="360" w:lineRule="auto"/>
              <w:ind w:firstLine="482" w:firstLineChars="200"/>
              <w:jc w:val="left"/>
              <w:rPr>
                <w:rFonts w:ascii="Times New Roman" w:hAnsi="Times New Roman" w:eastAsia="宋体" w:cs="Times New Roman"/>
                <w:b/>
                <w:color w:val="auto"/>
                <w:sz w:val="24"/>
              </w:rPr>
            </w:pPr>
          </w:p>
          <w:p w14:paraId="0FD739D0">
            <w:pPr>
              <w:pStyle w:val="45"/>
              <w:spacing w:before="24" w:after="24" w:line="360" w:lineRule="auto"/>
              <w:jc w:val="left"/>
              <w:rPr>
                <w:rFonts w:ascii="Times New Roman" w:hAnsi="Times New Roman" w:eastAsia="宋体" w:cs="Times New Roman"/>
                <w:b/>
                <w:color w:val="auto"/>
                <w:sz w:val="24"/>
              </w:rPr>
            </w:pPr>
          </w:p>
          <w:p w14:paraId="76C7832A">
            <w:pPr>
              <w:pStyle w:val="45"/>
              <w:spacing w:before="24" w:after="24" w:line="360" w:lineRule="auto"/>
              <w:ind w:firstLine="482" w:firstLineChars="200"/>
              <w:jc w:val="left"/>
              <w:rPr>
                <w:rFonts w:ascii="Times New Roman" w:hAnsi="Times New Roman" w:eastAsia="宋体" w:cs="Times New Roman"/>
                <w:b/>
                <w:color w:val="auto"/>
                <w:sz w:val="24"/>
              </w:rPr>
            </w:pPr>
          </w:p>
          <w:p w14:paraId="77E28996">
            <w:pPr>
              <w:pStyle w:val="45"/>
              <w:spacing w:before="24" w:after="24" w:line="360" w:lineRule="auto"/>
              <w:ind w:firstLine="482" w:firstLineChars="200"/>
              <w:jc w:val="left"/>
              <w:rPr>
                <w:rFonts w:ascii="Times New Roman" w:hAnsi="Times New Roman" w:eastAsia="宋体" w:cs="Times New Roman"/>
                <w:b/>
                <w:color w:val="auto"/>
                <w:sz w:val="24"/>
              </w:rPr>
            </w:pPr>
            <w:r>
              <w:rPr>
                <w:rFonts w:ascii="Times New Roman" w:hAnsi="Times New Roman" w:eastAsia="宋体" w:cs="Times New Roman"/>
                <w:b/>
                <w:color w:val="auto"/>
                <w:sz w:val="24"/>
              </w:rPr>
              <w:t>（2）</w:t>
            </w:r>
            <w:r>
              <w:rPr>
                <w:rFonts w:hint="eastAsia" w:ascii="Times New Roman" w:cs="Times New Roman"/>
                <w:b/>
                <w:color w:val="auto"/>
                <w:sz w:val="24"/>
                <w:lang w:eastAsia="zh-CN"/>
              </w:rPr>
              <w:t>鱼皮</w:t>
            </w:r>
            <w:r>
              <w:rPr>
                <w:rFonts w:ascii="Times New Roman" w:hAnsi="Times New Roman" w:eastAsia="宋体" w:cs="Times New Roman"/>
                <w:b/>
                <w:color w:val="auto"/>
                <w:sz w:val="24"/>
              </w:rPr>
              <w:t>生产</w:t>
            </w:r>
            <w:r>
              <w:rPr>
                <w:rFonts w:hint="eastAsia" w:ascii="Times New Roman" w:cs="Times New Roman"/>
                <w:b/>
                <w:color w:val="auto"/>
                <w:sz w:val="24"/>
                <w:lang w:eastAsia="zh-CN"/>
              </w:rPr>
              <w:t>线</w:t>
            </w:r>
            <w:r>
              <w:rPr>
                <w:rFonts w:ascii="Times New Roman" w:hAnsi="Times New Roman" w:eastAsia="宋体" w:cs="Times New Roman"/>
                <w:b/>
                <w:color w:val="auto"/>
                <w:sz w:val="24"/>
              </w:rPr>
              <w:t>工艺</w:t>
            </w:r>
          </w:p>
          <w:p w14:paraId="67B982FF">
            <w:pPr>
              <w:pStyle w:val="45"/>
              <w:spacing w:beforeLines="0" w:afterLines="0" w:line="240" w:lineRule="auto"/>
              <w:jc w:val="center"/>
              <w:rPr>
                <w:rFonts w:ascii="Times New Roman" w:hAnsi="Times New Roman" w:eastAsia="宋体" w:cs="Times New Roman"/>
                <w:color w:val="auto"/>
              </w:rPr>
            </w:pPr>
            <w:r>
              <w:rPr>
                <w:rFonts w:ascii="Times New Roman" w:hAnsi="Times New Roman" w:eastAsia="宋体" w:cs="Times New Roman"/>
                <w:color w:val="auto"/>
              </w:rPr>
              <w:object>
                <v:shape id="_x0000_i1028" o:spt="75" type="#_x0000_t75" style="height:595.5pt;width:271.5pt;" o:ole="t" filled="f" o:preferrelative="t" stroked="f" coordsize="21600,21600">
                  <v:path/>
                  <v:fill on="f" focussize="0,0"/>
                  <v:stroke on="f"/>
                  <v:imagedata r:id="rId18" o:title=""/>
                  <o:lock v:ext="edit" aspectratio="f"/>
                  <w10:wrap type="none"/>
                  <w10:anchorlock/>
                </v:shape>
                <o:OLEObject Type="Embed" ProgID="Visio.Drawing.15" ShapeID="_x0000_i1028" DrawAspect="Content" ObjectID="_1468075728" r:id="rId17">
                  <o:LockedField>false</o:LockedField>
                </o:OLEObject>
              </w:object>
            </w:r>
          </w:p>
          <w:p w14:paraId="29800BDA">
            <w:pPr>
              <w:pStyle w:val="45"/>
              <w:spacing w:beforeLines="0" w:afterLines="0" w:line="240" w:lineRule="auto"/>
              <w:rPr>
                <w:rFonts w:ascii="Times New Roman" w:hAnsi="Times New Roman" w:eastAsia="宋体" w:cs="Times New Roman"/>
                <w:b/>
                <w:color w:val="auto"/>
                <w:sz w:val="24"/>
              </w:rPr>
            </w:pPr>
            <w:r>
              <w:rPr>
                <w:rFonts w:ascii="Times New Roman" w:hAnsi="Times New Roman" w:eastAsia="宋体" w:cs="Times New Roman"/>
                <w:b/>
                <w:color w:val="auto"/>
                <w:sz w:val="24"/>
              </w:rPr>
              <w:t>图2-</w:t>
            </w:r>
            <w:r>
              <w:rPr>
                <w:rFonts w:hint="eastAsia" w:ascii="Times New Roman" w:cs="Times New Roman"/>
                <w:b/>
                <w:color w:val="auto"/>
                <w:sz w:val="24"/>
                <w:lang w:val="en-US" w:eastAsia="zh-CN"/>
              </w:rPr>
              <w:t>4</w:t>
            </w:r>
            <w:r>
              <w:rPr>
                <w:rFonts w:ascii="Times New Roman" w:hAnsi="Times New Roman" w:eastAsia="宋体" w:cs="Times New Roman"/>
                <w:b/>
                <w:color w:val="auto"/>
                <w:sz w:val="24"/>
              </w:rPr>
              <w:t xml:space="preserve">  </w:t>
            </w:r>
            <w:r>
              <w:rPr>
                <w:rFonts w:hint="eastAsia" w:ascii="Times New Roman" w:cs="Times New Roman"/>
                <w:b/>
                <w:color w:val="auto"/>
                <w:sz w:val="24"/>
                <w:lang w:eastAsia="zh-CN"/>
              </w:rPr>
              <w:t>鱼皮</w:t>
            </w:r>
            <w:r>
              <w:rPr>
                <w:rFonts w:ascii="Times New Roman" w:hAnsi="Times New Roman" w:eastAsia="宋体" w:cs="Times New Roman"/>
                <w:b/>
                <w:color w:val="auto"/>
                <w:sz w:val="24"/>
              </w:rPr>
              <w:t>生产工艺流程及产污环节图</w:t>
            </w:r>
          </w:p>
          <w:p w14:paraId="214DFA77">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 原料解冻</w:t>
            </w:r>
          </w:p>
          <w:p w14:paraId="2324B2D5">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ascii="Times New Roman" w:hAnsi="Times New Roman" w:eastAsia="宋体" w:cs="Times New Roman"/>
                <w:color w:val="auto"/>
                <w:sz w:val="24"/>
              </w:rPr>
            </w:pPr>
            <w:r>
              <w:rPr>
                <w:rFonts w:hint="eastAsia" w:ascii="Times New Roman" w:cs="Times New Roman"/>
                <w:color w:val="auto"/>
                <w:sz w:val="24"/>
                <w:lang w:eastAsia="zh-CN"/>
              </w:rPr>
              <w:t>对于采买生质冷冻的罗非鱼皮经上料系统进入经</w:t>
            </w:r>
            <w:r>
              <w:rPr>
                <w:rFonts w:hint="default" w:ascii="Times New Roman" w:hAnsi="Times New Roman" w:eastAsia="宋体" w:cs="Times New Roman"/>
                <w:color w:val="auto"/>
                <w:sz w:val="24"/>
              </w:rPr>
              <w:t>常温</w:t>
            </w:r>
            <w:r>
              <w:rPr>
                <w:rFonts w:hint="eastAsia" w:ascii="Times New Roman" w:cs="Times New Roman"/>
                <w:color w:val="auto"/>
                <w:sz w:val="24"/>
                <w:lang w:eastAsia="zh-CN"/>
              </w:rPr>
              <w:t>解冻水池</w:t>
            </w:r>
            <w:r>
              <w:rPr>
                <w:rFonts w:hint="default" w:ascii="Times New Roman" w:hAnsi="Times New Roman" w:eastAsia="宋体" w:cs="Times New Roman"/>
                <w:color w:val="auto"/>
                <w:sz w:val="24"/>
              </w:rPr>
              <w:t>解冻不超过24小时，解冻至鱼皮散开，中心无冰块。</w:t>
            </w:r>
            <w:r>
              <w:rPr>
                <w:rFonts w:hint="eastAsia" w:ascii="Times New Roman" w:hAnsi="Times New Roman" w:eastAsia="宋体" w:cs="Times New Roman"/>
                <w:color w:val="auto"/>
                <w:sz w:val="24"/>
              </w:rPr>
              <w:t>此过程会产生</w:t>
            </w:r>
            <w:r>
              <w:rPr>
                <w:rFonts w:hint="eastAsia" w:ascii="Times New Roman" w:cs="Times New Roman"/>
                <w:color w:val="auto"/>
                <w:sz w:val="24"/>
                <w:lang w:eastAsia="zh-CN"/>
              </w:rPr>
              <w:t>解冻废水</w:t>
            </w:r>
            <w:r>
              <w:rPr>
                <w:rFonts w:hint="eastAsia" w:ascii="Times New Roman" w:cs="Times New Roman"/>
                <w:color w:val="auto"/>
                <w:sz w:val="24"/>
                <w:lang w:val="en-US" w:eastAsia="zh-CN"/>
              </w:rPr>
              <w:t>W3-1</w:t>
            </w:r>
            <w:r>
              <w:rPr>
                <w:rFonts w:hint="eastAsia" w:ascii="Times New Roman" w:hAnsi="Times New Roman" w:eastAsia="宋体" w:cs="Times New Roman"/>
                <w:color w:val="auto"/>
                <w:sz w:val="24"/>
              </w:rPr>
              <w:t>。</w:t>
            </w:r>
          </w:p>
          <w:p w14:paraId="14581A60">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w:t>
            </w:r>
            <w:r>
              <w:rPr>
                <w:rFonts w:hint="eastAsia" w:ascii="Times New Roman" w:cs="Times New Roman"/>
                <w:color w:val="auto"/>
                <w:sz w:val="24"/>
                <w:lang w:eastAsia="zh-CN"/>
              </w:rPr>
              <w:t>挑拣</w:t>
            </w:r>
          </w:p>
          <w:p w14:paraId="54E2196A">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人工或</w:t>
            </w:r>
            <w:r>
              <w:rPr>
                <w:rFonts w:hint="eastAsia" w:ascii="Times New Roman" w:cs="Times New Roman"/>
                <w:color w:val="auto"/>
                <w:sz w:val="24"/>
                <w:lang w:eastAsia="zh-CN"/>
              </w:rPr>
              <w:t>利用人工去鳞除杂输送机进行</w:t>
            </w:r>
            <w:r>
              <w:rPr>
                <w:rFonts w:hint="default" w:ascii="Times New Roman" w:hAnsi="Times New Roman" w:eastAsia="宋体" w:cs="Times New Roman"/>
                <w:color w:val="auto"/>
                <w:sz w:val="24"/>
              </w:rPr>
              <w:t>剔除解冻后鱼皮中夹带的杂质、残留鳞片、变质或不合格部分。</w:t>
            </w:r>
            <w:r>
              <w:rPr>
                <w:rFonts w:hint="eastAsia" w:ascii="Times New Roman" w:hAnsi="Times New Roman" w:eastAsia="宋体" w:cs="Times New Roman"/>
                <w:color w:val="auto"/>
                <w:sz w:val="24"/>
              </w:rPr>
              <w:t>此过程会产生</w:t>
            </w:r>
            <w:r>
              <w:rPr>
                <w:rFonts w:hint="eastAsia" w:ascii="Times New Roman" w:hAnsi="Times New Roman" w:eastAsia="宋体" w:cs="Times New Roman"/>
                <w:color w:val="auto"/>
                <w:sz w:val="24"/>
                <w:lang w:val="en-US" w:eastAsia="zh-CN"/>
              </w:rPr>
              <w:t>S1-2废</w:t>
            </w:r>
            <w:r>
              <w:rPr>
                <w:rFonts w:hint="eastAsia" w:ascii="Times New Roman" w:cs="Times New Roman"/>
                <w:color w:val="auto"/>
                <w:sz w:val="24"/>
                <w:lang w:val="en-US" w:eastAsia="zh-CN"/>
              </w:rPr>
              <w:t>杂物</w:t>
            </w:r>
            <w:r>
              <w:rPr>
                <w:rFonts w:hint="eastAsia" w:ascii="Times New Roman" w:hAnsi="Times New Roman" w:eastAsia="宋体" w:cs="Times New Roman"/>
                <w:color w:val="auto"/>
                <w:sz w:val="24"/>
              </w:rPr>
              <w:t>。</w:t>
            </w:r>
          </w:p>
          <w:p w14:paraId="7826BC0C">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3.</w:t>
            </w:r>
            <w:r>
              <w:rPr>
                <w:rFonts w:hint="eastAsia" w:ascii="Times New Roman" w:cs="Times New Roman"/>
                <w:color w:val="auto"/>
                <w:sz w:val="24"/>
                <w:lang w:eastAsia="zh-CN"/>
              </w:rPr>
              <w:t>泡发</w:t>
            </w:r>
          </w:p>
          <w:p w14:paraId="32DA2184">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rPr>
            </w:pPr>
            <w:r>
              <w:rPr>
                <w:rFonts w:hint="eastAsia" w:ascii="Times New Roman" w:cs="Times New Roman"/>
                <w:color w:val="auto"/>
                <w:sz w:val="24"/>
                <w:lang w:eastAsia="zh-CN"/>
              </w:rPr>
              <w:t>在冰水鼓泡冷却机中</w:t>
            </w:r>
            <w:r>
              <w:rPr>
                <w:rFonts w:hint="eastAsia" w:ascii="Times New Roman" w:hAnsi="Times New Roman" w:eastAsia="宋体" w:cs="Times New Roman"/>
                <w:color w:val="auto"/>
                <w:sz w:val="24"/>
                <w:lang w:eastAsia="zh-CN"/>
              </w:rPr>
              <w:t>用新鲜水对鱼皮进行</w:t>
            </w:r>
            <w:r>
              <w:rPr>
                <w:rFonts w:hint="default" w:ascii="Times New Roman" w:hAnsi="Times New Roman" w:eastAsia="宋体" w:cs="Times New Roman"/>
                <w:color w:val="auto"/>
                <w:sz w:val="24"/>
              </w:rPr>
              <w:t>泡发30</w:t>
            </w:r>
            <w:r>
              <w:rPr>
                <w:rFonts w:hint="eastAsia" w:ascii="Times New Roman" w:cs="Times New Roman"/>
                <w:color w:val="auto"/>
                <w:sz w:val="24"/>
                <w:lang w:eastAsia="zh-CN"/>
              </w:rPr>
              <w:t>～</w:t>
            </w:r>
            <w:r>
              <w:rPr>
                <w:rFonts w:hint="default" w:ascii="Times New Roman" w:hAnsi="Times New Roman" w:eastAsia="宋体" w:cs="Times New Roman"/>
                <w:color w:val="auto"/>
                <w:sz w:val="24"/>
              </w:rPr>
              <w:t>60分钟。使其吸收水分，体积膨胀，达到所需的口感和质地</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此过程会产生</w:t>
            </w:r>
            <w:r>
              <w:rPr>
                <w:rFonts w:hint="eastAsia" w:ascii="Times New Roman" w:hAnsi="Times New Roman" w:eastAsia="宋体" w:cs="Times New Roman"/>
                <w:color w:val="auto"/>
                <w:sz w:val="24"/>
                <w:lang w:eastAsia="zh-CN"/>
              </w:rPr>
              <w:t>泡发废水</w:t>
            </w:r>
            <w:r>
              <w:rPr>
                <w:rFonts w:hint="eastAsia" w:ascii="Times New Roman" w:hAnsi="Times New Roman" w:eastAsia="宋体" w:cs="Times New Roman"/>
                <w:color w:val="auto"/>
                <w:sz w:val="24"/>
                <w:lang w:val="en-US" w:eastAsia="zh-CN"/>
              </w:rPr>
              <w:t>W4-1</w:t>
            </w:r>
            <w:r>
              <w:rPr>
                <w:rFonts w:hint="eastAsia" w:ascii="Times New Roman" w:hAnsi="Times New Roman" w:eastAsia="宋体" w:cs="Times New Roman"/>
                <w:color w:val="auto"/>
                <w:sz w:val="24"/>
              </w:rPr>
              <w:t>。</w:t>
            </w:r>
          </w:p>
          <w:p w14:paraId="56C2BA2B">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4.</w:t>
            </w:r>
            <w:r>
              <w:rPr>
                <w:rFonts w:hint="eastAsia" w:ascii="Times New Roman" w:hAnsi="Times New Roman" w:eastAsia="宋体" w:cs="Times New Roman"/>
                <w:color w:val="auto"/>
                <w:sz w:val="24"/>
                <w:lang w:eastAsia="zh-CN"/>
              </w:rPr>
              <w:t>清洗</w:t>
            </w:r>
          </w:p>
          <w:p w14:paraId="19382424">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eastAsia="zh-CN"/>
              </w:rPr>
            </w:pPr>
            <w:r>
              <w:rPr>
                <w:rFonts w:hint="eastAsia" w:ascii="Times New Roman" w:cs="Times New Roman"/>
                <w:color w:val="auto"/>
                <w:sz w:val="24"/>
                <w:lang w:eastAsia="zh-CN"/>
              </w:rPr>
              <w:t>在冷却清洗池内</w:t>
            </w:r>
            <w:r>
              <w:rPr>
                <w:rFonts w:hint="eastAsia" w:ascii="Times New Roman" w:hAnsi="Times New Roman" w:eastAsia="宋体" w:cs="Times New Roman"/>
                <w:color w:val="auto"/>
                <w:sz w:val="24"/>
                <w:lang w:eastAsia="zh-CN"/>
              </w:rPr>
              <w:t>使用流动水冲刷鱼皮，去除泡发后表面</w:t>
            </w:r>
            <w:r>
              <w:rPr>
                <w:rFonts w:hint="eastAsia" w:ascii="Times New Roman" w:cs="Times New Roman"/>
                <w:color w:val="auto"/>
                <w:sz w:val="24"/>
                <w:lang w:eastAsia="zh-CN"/>
              </w:rPr>
              <w:t>的黏液</w:t>
            </w:r>
            <w:r>
              <w:rPr>
                <w:rFonts w:hint="eastAsia" w:ascii="Times New Roman" w:hAnsi="Times New Roman" w:eastAsia="宋体" w:cs="Times New Roman"/>
                <w:color w:val="auto"/>
                <w:sz w:val="24"/>
                <w:lang w:eastAsia="zh-CN"/>
              </w:rPr>
              <w:t>和异味。此过程会产生清洗废水</w:t>
            </w:r>
            <w:r>
              <w:rPr>
                <w:rFonts w:hint="eastAsia" w:ascii="Times New Roman" w:hAnsi="Times New Roman" w:eastAsia="宋体" w:cs="Times New Roman"/>
                <w:color w:val="auto"/>
                <w:sz w:val="24"/>
                <w:lang w:val="en-US" w:eastAsia="zh-CN"/>
              </w:rPr>
              <w:t>W1-4</w:t>
            </w:r>
            <w:r>
              <w:rPr>
                <w:rFonts w:hint="default" w:ascii="Times New Roman" w:hAnsi="Times New Roman" w:eastAsia="宋体" w:cs="Times New Roman"/>
                <w:color w:val="auto"/>
                <w:sz w:val="24"/>
                <w:lang w:eastAsia="zh-CN"/>
              </w:rPr>
              <w:t>。</w:t>
            </w:r>
          </w:p>
          <w:p w14:paraId="30B0BEE5">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5.</w:t>
            </w:r>
            <w:r>
              <w:rPr>
                <w:rFonts w:hint="eastAsia" w:ascii="Times New Roman" w:hAnsi="Times New Roman" w:eastAsia="宋体" w:cs="Times New Roman"/>
                <w:color w:val="auto"/>
                <w:sz w:val="24"/>
                <w:lang w:eastAsia="zh-CN"/>
              </w:rPr>
              <w:t>挑拣</w:t>
            </w:r>
          </w:p>
          <w:p w14:paraId="5F08DDDC">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再次进行</w:t>
            </w:r>
            <w:r>
              <w:rPr>
                <w:rFonts w:hint="eastAsia" w:ascii="Times New Roman" w:cs="Times New Roman"/>
                <w:color w:val="auto"/>
                <w:sz w:val="24"/>
                <w:lang w:eastAsia="zh-CN"/>
              </w:rPr>
              <w:t>人工</w:t>
            </w:r>
            <w:r>
              <w:rPr>
                <w:rFonts w:hint="eastAsia" w:ascii="Times New Roman" w:hAnsi="Times New Roman" w:eastAsia="宋体" w:cs="Times New Roman"/>
                <w:color w:val="auto"/>
                <w:sz w:val="24"/>
                <w:lang w:eastAsia="zh-CN"/>
              </w:rPr>
              <w:t>精细挑拣，确保进入热加工环节的原料品质统一。此过程会产生</w:t>
            </w:r>
            <w:r>
              <w:rPr>
                <w:rFonts w:hint="eastAsia" w:ascii="Times New Roman" w:hAnsi="Times New Roman" w:eastAsia="宋体" w:cs="Times New Roman"/>
                <w:color w:val="auto"/>
                <w:sz w:val="24"/>
                <w:lang w:val="en-US" w:eastAsia="zh-CN"/>
              </w:rPr>
              <w:t>S1-3废</w:t>
            </w:r>
            <w:r>
              <w:rPr>
                <w:rFonts w:hint="eastAsia" w:ascii="Times New Roman" w:cs="Times New Roman"/>
                <w:color w:val="auto"/>
                <w:sz w:val="24"/>
                <w:lang w:val="en-US" w:eastAsia="zh-CN"/>
              </w:rPr>
              <w:t>杂物。</w:t>
            </w:r>
          </w:p>
          <w:p w14:paraId="711ED91A">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6.</w:t>
            </w:r>
            <w:r>
              <w:rPr>
                <w:rFonts w:hint="eastAsia" w:ascii="Times New Roman" w:hAnsi="Times New Roman" w:eastAsia="宋体" w:cs="Times New Roman"/>
                <w:color w:val="auto"/>
                <w:sz w:val="24"/>
                <w:lang w:eastAsia="zh-CN"/>
              </w:rPr>
              <w:t>漂烫</w:t>
            </w:r>
          </w:p>
          <w:p w14:paraId="61CD1C09">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该工序通过涟水中圣清洁能源有限公司供热，</w:t>
            </w:r>
            <w:r>
              <w:rPr>
                <w:rFonts w:hint="default" w:ascii="Times New Roman" w:hAnsi="Times New Roman" w:eastAsia="宋体" w:cs="Times New Roman"/>
                <w:color w:val="auto"/>
                <w:sz w:val="24"/>
                <w:lang w:eastAsia="zh-CN"/>
              </w:rPr>
              <w:t>蒸汽并不直接与鱼皮或工艺用水接触，而是通入漂烫机夹层内置的盘管中，通过金属壁面对</w:t>
            </w:r>
            <w:r>
              <w:rPr>
                <w:rFonts w:hint="eastAsia" w:ascii="Times New Roman" w:cs="Times New Roman"/>
                <w:color w:val="auto"/>
                <w:sz w:val="24"/>
                <w:lang w:eastAsia="zh-CN"/>
              </w:rPr>
              <w:t>鼓泡漂烫机</w:t>
            </w:r>
            <w:r>
              <w:rPr>
                <w:rFonts w:hint="default" w:ascii="Times New Roman" w:hAnsi="Times New Roman" w:eastAsia="宋体" w:cs="Times New Roman"/>
                <w:color w:val="auto"/>
                <w:sz w:val="24"/>
                <w:lang w:eastAsia="zh-CN"/>
              </w:rPr>
              <w:t>槽体内的水进行间接加热。漂烫温度76-90℃，漂烫时间10</w:t>
            </w:r>
            <w:r>
              <w:rPr>
                <w:rFonts w:hint="eastAsia" w:ascii="Times New Roman" w:cs="Times New Roman"/>
                <w:color w:val="auto"/>
                <w:sz w:val="24"/>
                <w:lang w:eastAsia="zh-CN"/>
              </w:rPr>
              <w:t>～</w:t>
            </w:r>
            <w:r>
              <w:rPr>
                <w:rFonts w:hint="default" w:ascii="Times New Roman" w:hAnsi="Times New Roman" w:eastAsia="宋体" w:cs="Times New Roman"/>
                <w:color w:val="auto"/>
                <w:sz w:val="24"/>
                <w:lang w:eastAsia="zh-CN"/>
              </w:rPr>
              <w:t>22秒。</w:t>
            </w:r>
            <w:r>
              <w:rPr>
                <w:rFonts w:hint="eastAsia" w:ascii="Times New Roman" w:hAnsi="Times New Roman" w:eastAsia="宋体" w:cs="Times New Roman"/>
                <w:color w:val="auto"/>
                <w:sz w:val="24"/>
                <w:lang w:eastAsia="zh-CN"/>
              </w:rPr>
              <w:t>此过程会产生漂烫废水</w:t>
            </w:r>
            <w:r>
              <w:rPr>
                <w:rFonts w:hint="eastAsia" w:ascii="Times New Roman" w:hAnsi="Times New Roman" w:eastAsia="宋体" w:cs="Times New Roman"/>
                <w:color w:val="auto"/>
                <w:sz w:val="24"/>
                <w:lang w:val="en-US" w:eastAsia="zh-CN"/>
              </w:rPr>
              <w:t>W5-1</w:t>
            </w:r>
            <w:r>
              <w:rPr>
                <w:rFonts w:hint="default" w:ascii="Times New Roman" w:hAnsi="Times New Roman" w:eastAsia="宋体" w:cs="Times New Roman"/>
                <w:color w:val="auto"/>
                <w:sz w:val="24"/>
                <w:lang w:eastAsia="zh-CN"/>
              </w:rPr>
              <w:t>。</w:t>
            </w:r>
          </w:p>
          <w:p w14:paraId="4848BF29">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7.</w:t>
            </w:r>
            <w:r>
              <w:rPr>
                <w:rFonts w:hint="eastAsia" w:ascii="Times New Roman" w:hAnsi="Times New Roman" w:eastAsia="宋体" w:cs="Times New Roman"/>
                <w:color w:val="auto"/>
                <w:sz w:val="24"/>
                <w:lang w:eastAsia="zh-CN"/>
              </w:rPr>
              <w:t>冷却</w:t>
            </w:r>
          </w:p>
          <w:p w14:paraId="005D778E">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eastAsia="zh-CN"/>
              </w:rPr>
            </w:pPr>
            <w:r>
              <w:rPr>
                <w:rFonts w:hint="eastAsia" w:ascii="Times New Roman" w:cs="Times New Roman"/>
                <w:color w:val="auto"/>
                <w:sz w:val="24"/>
                <w:lang w:eastAsia="zh-CN"/>
              </w:rPr>
              <w:t>将</w:t>
            </w:r>
            <w:r>
              <w:rPr>
                <w:rFonts w:hint="eastAsia" w:ascii="Times New Roman" w:hAnsi="Times New Roman" w:eastAsia="宋体" w:cs="Times New Roman"/>
                <w:color w:val="auto"/>
                <w:sz w:val="24"/>
                <w:lang w:eastAsia="zh-CN"/>
              </w:rPr>
              <w:t>漂烫后的鱼皮</w:t>
            </w:r>
            <w:r>
              <w:rPr>
                <w:rFonts w:hint="eastAsia" w:ascii="Times New Roman" w:cs="Times New Roman"/>
                <w:color w:val="auto"/>
                <w:sz w:val="24"/>
                <w:lang w:eastAsia="zh-CN"/>
              </w:rPr>
              <w:t>在冷却池中</w:t>
            </w:r>
            <w:r>
              <w:rPr>
                <w:rFonts w:hint="eastAsia" w:ascii="Times New Roman" w:hAnsi="Times New Roman" w:eastAsia="宋体" w:cs="Times New Roman"/>
                <w:color w:val="auto"/>
                <w:sz w:val="24"/>
                <w:lang w:eastAsia="zh-CN"/>
              </w:rPr>
              <w:t>用</w:t>
            </w:r>
            <w:r>
              <w:rPr>
                <w:rFonts w:hint="eastAsia" w:ascii="Times New Roman" w:cs="Times New Roman"/>
                <w:color w:val="auto"/>
                <w:sz w:val="24"/>
                <w:lang w:val="en-US" w:eastAsia="zh-CN"/>
              </w:rPr>
              <w:t>25</w:t>
            </w:r>
            <w:r>
              <w:rPr>
                <w:rFonts w:hint="eastAsia" w:ascii="宋体" w:hAnsi="宋体" w:eastAsia="宋体" w:cs="宋体"/>
                <w:color w:val="auto"/>
                <w:sz w:val="24"/>
                <w:lang w:val="en-US" w:eastAsia="zh-CN"/>
              </w:rPr>
              <w:t>℃</w:t>
            </w:r>
            <w:r>
              <w:rPr>
                <w:rFonts w:hint="eastAsia" w:ascii="Times New Roman" w:cs="Times New Roman"/>
                <w:color w:val="auto"/>
                <w:sz w:val="24"/>
                <w:lang w:val="en-US" w:eastAsia="zh-CN"/>
              </w:rPr>
              <w:t>的</w:t>
            </w:r>
            <w:r>
              <w:rPr>
                <w:rFonts w:hint="eastAsia" w:ascii="Times New Roman" w:hAnsi="Times New Roman" w:eastAsia="宋体" w:cs="Times New Roman"/>
                <w:color w:val="auto"/>
                <w:sz w:val="24"/>
                <w:lang w:eastAsia="zh-CN"/>
              </w:rPr>
              <w:t>水进行快速降温，防止余热导致产品过熟，并便于后续加工。此过程会产生冷却废水</w:t>
            </w:r>
            <w:r>
              <w:rPr>
                <w:rFonts w:hint="eastAsia" w:ascii="Times New Roman" w:hAnsi="Times New Roman" w:eastAsia="宋体" w:cs="Times New Roman"/>
                <w:color w:val="auto"/>
                <w:sz w:val="24"/>
                <w:lang w:val="en-US" w:eastAsia="zh-CN"/>
              </w:rPr>
              <w:t>W6-1</w:t>
            </w:r>
            <w:r>
              <w:rPr>
                <w:rFonts w:hint="default" w:ascii="Times New Roman" w:hAnsi="Times New Roman" w:eastAsia="宋体" w:cs="Times New Roman"/>
                <w:color w:val="auto"/>
                <w:sz w:val="24"/>
                <w:lang w:eastAsia="zh-CN"/>
              </w:rPr>
              <w:t>。</w:t>
            </w:r>
          </w:p>
          <w:p w14:paraId="5A8167BA">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8.</w:t>
            </w:r>
            <w:r>
              <w:rPr>
                <w:rFonts w:hint="eastAsia" w:ascii="Times New Roman" w:hAnsi="Times New Roman" w:eastAsia="宋体" w:cs="Times New Roman"/>
                <w:color w:val="auto"/>
                <w:sz w:val="24"/>
                <w:lang w:eastAsia="zh-CN"/>
              </w:rPr>
              <w:t>切制</w:t>
            </w:r>
          </w:p>
          <w:p w14:paraId="187F96AF">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eastAsia="zh-CN"/>
              </w:rPr>
            </w:pPr>
            <w:r>
              <w:rPr>
                <w:rFonts w:hint="eastAsia" w:ascii="Times New Roman" w:cs="Times New Roman"/>
                <w:color w:val="auto"/>
                <w:sz w:val="24"/>
                <w:lang w:eastAsia="zh-CN"/>
              </w:rPr>
              <w:t>利用鱼皮切丝机</w:t>
            </w:r>
            <w:r>
              <w:rPr>
                <w:rFonts w:hint="default" w:ascii="Times New Roman" w:hAnsi="Times New Roman" w:eastAsia="宋体" w:cs="Times New Roman"/>
                <w:color w:val="auto"/>
                <w:sz w:val="24"/>
                <w:lang w:eastAsia="zh-CN"/>
              </w:rPr>
              <w:t>将鱼皮切成丝。</w:t>
            </w:r>
            <w:r>
              <w:rPr>
                <w:rFonts w:hint="eastAsia" w:ascii="Times New Roman" w:hAnsi="Times New Roman" w:eastAsia="宋体" w:cs="Times New Roman"/>
                <w:color w:val="auto"/>
                <w:sz w:val="24"/>
                <w:lang w:eastAsia="zh-CN"/>
              </w:rPr>
              <w:t>此过程会产生</w:t>
            </w:r>
            <w:r>
              <w:rPr>
                <w:rFonts w:hint="eastAsia" w:ascii="Times New Roman" w:hAnsi="Times New Roman" w:eastAsia="宋体" w:cs="Times New Roman"/>
                <w:color w:val="auto"/>
                <w:sz w:val="24"/>
                <w:lang w:val="en-US" w:eastAsia="zh-CN"/>
              </w:rPr>
              <w:t>S1-4废</w:t>
            </w:r>
            <w:r>
              <w:rPr>
                <w:rFonts w:hint="eastAsia" w:ascii="Times New Roman" w:cs="Times New Roman"/>
                <w:color w:val="auto"/>
                <w:sz w:val="24"/>
                <w:lang w:val="en-US" w:eastAsia="zh-CN"/>
              </w:rPr>
              <w:t>杂物</w:t>
            </w:r>
            <w:r>
              <w:rPr>
                <w:rFonts w:hint="eastAsia" w:ascii="Times New Roman" w:hAnsi="Times New Roman" w:eastAsia="宋体" w:cs="Times New Roman"/>
                <w:color w:val="auto"/>
                <w:sz w:val="24"/>
                <w:lang w:val="en-US" w:eastAsia="zh-CN"/>
              </w:rPr>
              <w:t>、噪声N</w:t>
            </w:r>
            <w:r>
              <w:rPr>
                <w:rFonts w:hint="default" w:ascii="Times New Roman" w:hAnsi="Times New Roman" w:eastAsia="宋体" w:cs="Times New Roman"/>
                <w:color w:val="auto"/>
                <w:sz w:val="24"/>
                <w:lang w:eastAsia="zh-CN"/>
              </w:rPr>
              <w:t>。</w:t>
            </w:r>
          </w:p>
          <w:p w14:paraId="012CA795">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9.</w:t>
            </w:r>
            <w:r>
              <w:rPr>
                <w:rFonts w:hint="eastAsia" w:ascii="Times New Roman" w:hAnsi="Times New Roman" w:eastAsia="宋体" w:cs="Times New Roman"/>
                <w:color w:val="auto"/>
                <w:sz w:val="24"/>
                <w:lang w:eastAsia="zh-CN"/>
              </w:rPr>
              <w:t>冷却</w:t>
            </w:r>
          </w:p>
          <w:p w14:paraId="52C56245">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cs="Times New Roman"/>
                <w:color w:val="auto"/>
                <w:sz w:val="24"/>
                <w:lang w:eastAsia="zh-CN"/>
              </w:rPr>
              <w:t>将切丝后的鱼皮再次进入冷却池中，对经过漂烫的鱼皮需要二次降温，此</w:t>
            </w:r>
            <w:r>
              <w:rPr>
                <w:rFonts w:hint="eastAsia" w:ascii="Times New Roman" w:hAnsi="Times New Roman" w:eastAsia="宋体" w:cs="Times New Roman"/>
                <w:color w:val="auto"/>
                <w:sz w:val="24"/>
                <w:lang w:eastAsia="zh-CN"/>
              </w:rPr>
              <w:t>过程会产生冷却废水</w:t>
            </w:r>
            <w:r>
              <w:rPr>
                <w:rFonts w:hint="eastAsia" w:ascii="Times New Roman" w:hAnsi="Times New Roman" w:eastAsia="宋体" w:cs="Times New Roman"/>
                <w:color w:val="auto"/>
                <w:sz w:val="24"/>
                <w:lang w:val="en-US" w:eastAsia="zh-CN"/>
              </w:rPr>
              <w:t>W6-2。</w:t>
            </w:r>
          </w:p>
          <w:p w14:paraId="43E8C107">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10</w:t>
            </w:r>
            <w:r>
              <w:rPr>
                <w:rFonts w:hint="eastAsia" w:ascii="Times New Roman" w:hAnsi="Times New Roman" w:eastAsia="宋体" w:cs="Times New Roman"/>
                <w:color w:val="auto"/>
                <w:sz w:val="24"/>
                <w:lang w:eastAsia="zh-CN"/>
              </w:rPr>
              <w:t>控水</w:t>
            </w:r>
          </w:p>
          <w:p w14:paraId="75282F17">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鱼皮经在线喷淋后，浸泡在≤15℃的水中</w:t>
            </w:r>
            <w:r>
              <w:rPr>
                <w:rFonts w:hint="eastAsia" w:ascii="Times New Roman" w:cs="Times New Roman"/>
                <w:color w:val="auto"/>
                <w:sz w:val="24"/>
                <w:lang w:eastAsia="zh-CN"/>
              </w:rPr>
              <w:t>，</w:t>
            </w:r>
            <w:r>
              <w:rPr>
                <w:rFonts w:hint="eastAsia" w:ascii="Times New Roman" w:hAnsi="Times New Roman" w:eastAsia="宋体" w:cs="Times New Roman"/>
                <w:color w:val="auto"/>
                <w:sz w:val="24"/>
                <w:lang w:eastAsia="zh-CN"/>
              </w:rPr>
              <w:t>浸泡后将混有鱼皮残渣的水排掉。再次注入≤15℃的水、出料，控水</w:t>
            </w:r>
            <w:r>
              <w:rPr>
                <w:rFonts w:hint="default" w:ascii="Times New Roman" w:hAnsi="Times New Roman" w:eastAsia="宋体" w:cs="Times New Roman"/>
                <w:color w:val="auto"/>
                <w:sz w:val="24"/>
                <w:lang w:eastAsia="zh-CN"/>
              </w:rPr>
              <w:t>。</w:t>
            </w:r>
            <w:r>
              <w:rPr>
                <w:rFonts w:hint="eastAsia" w:ascii="Times New Roman" w:cs="Times New Roman"/>
                <w:color w:val="auto"/>
                <w:sz w:val="24"/>
                <w:lang w:eastAsia="zh-CN"/>
              </w:rPr>
              <w:t>此过程冷源来自</w:t>
            </w:r>
            <w:r>
              <w:rPr>
                <w:rFonts w:hint="eastAsia" w:ascii="Times New Roman" w:hAnsi="Times New Roman" w:eastAsia="宋体" w:cs="Times New Roman"/>
                <w:color w:val="auto"/>
                <w:sz w:val="24"/>
                <w:lang w:eastAsia="zh-CN"/>
              </w:rPr>
              <w:t>螺旋速冻配套制冷冷源工程，</w:t>
            </w:r>
            <w:r>
              <w:rPr>
                <w:rFonts w:hint="eastAsia" w:ascii="Times New Roman" w:cs="Times New Roman"/>
                <w:color w:val="auto"/>
                <w:sz w:val="24"/>
                <w:lang w:eastAsia="zh-CN"/>
              </w:rPr>
              <w:t>该工序</w:t>
            </w:r>
            <w:r>
              <w:rPr>
                <w:rFonts w:hint="eastAsia" w:ascii="Times New Roman" w:hAnsi="Times New Roman" w:eastAsia="宋体" w:cs="Times New Roman"/>
                <w:color w:val="auto"/>
                <w:sz w:val="24"/>
                <w:lang w:eastAsia="zh-CN"/>
              </w:rPr>
              <w:t>会产生冷却废水</w:t>
            </w:r>
            <w:r>
              <w:rPr>
                <w:rFonts w:hint="eastAsia" w:ascii="Times New Roman" w:hAnsi="Times New Roman" w:eastAsia="宋体" w:cs="Times New Roman"/>
                <w:color w:val="auto"/>
                <w:sz w:val="24"/>
                <w:lang w:val="en-US" w:eastAsia="zh-CN"/>
              </w:rPr>
              <w:t>W6-3</w:t>
            </w:r>
            <w:r>
              <w:rPr>
                <w:rFonts w:hint="eastAsia" w:ascii="Times New Roman" w:cs="Times New Roman"/>
                <w:color w:val="auto"/>
                <w:sz w:val="24"/>
                <w:lang w:val="en-US" w:eastAsia="zh-CN"/>
              </w:rPr>
              <w:t>、S1-5</w:t>
            </w:r>
            <w:r>
              <w:rPr>
                <w:rFonts w:hint="eastAsia" w:ascii="Times New Roman" w:hAnsi="Times New Roman" w:eastAsia="宋体" w:cs="Times New Roman"/>
                <w:color w:val="auto"/>
                <w:sz w:val="24"/>
                <w:lang w:val="en-US" w:eastAsia="zh-CN"/>
              </w:rPr>
              <w:t>废</w:t>
            </w:r>
            <w:r>
              <w:rPr>
                <w:rFonts w:hint="eastAsia" w:ascii="Times New Roman" w:hAnsi="Times New Roman" w:eastAsia="宋体" w:cs="Times New Roman"/>
                <w:color w:val="auto"/>
                <w:sz w:val="24"/>
                <w:lang w:eastAsia="zh-CN"/>
              </w:rPr>
              <w:t>残渣</w:t>
            </w:r>
            <w:r>
              <w:rPr>
                <w:rFonts w:hint="eastAsia" w:ascii="Times New Roman" w:hAnsi="Times New Roman" w:eastAsia="宋体" w:cs="Times New Roman"/>
                <w:color w:val="auto"/>
                <w:sz w:val="24"/>
                <w:lang w:val="en-US" w:eastAsia="zh-CN"/>
              </w:rPr>
              <w:t>。</w:t>
            </w:r>
          </w:p>
          <w:p w14:paraId="41537F08">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11.</w:t>
            </w:r>
            <w:r>
              <w:rPr>
                <w:rFonts w:hint="eastAsia" w:ascii="Times New Roman" w:hAnsi="Times New Roman" w:eastAsia="宋体" w:cs="Times New Roman"/>
                <w:color w:val="auto"/>
                <w:sz w:val="24"/>
                <w:lang w:eastAsia="zh-CN"/>
              </w:rPr>
              <w:t>调味</w:t>
            </w:r>
          </w:p>
          <w:p w14:paraId="2234FB9D">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按配方重量（重量偏差≤1%），添加</w:t>
            </w:r>
            <w:r>
              <w:rPr>
                <w:rFonts w:hint="eastAsia" w:ascii="Times New Roman" w:cs="Times New Roman"/>
                <w:color w:val="auto"/>
                <w:sz w:val="24"/>
                <w:lang w:eastAsia="zh-CN"/>
              </w:rPr>
              <w:t>盐、糖、香油调味料</w:t>
            </w:r>
            <w:r>
              <w:rPr>
                <w:rFonts w:hint="default" w:ascii="Times New Roman" w:hAnsi="Times New Roman" w:eastAsia="宋体" w:cs="Times New Roman"/>
                <w:color w:val="auto"/>
                <w:sz w:val="24"/>
                <w:lang w:eastAsia="zh-CN"/>
              </w:rPr>
              <w:t>至搅拌锅，搅拌3</w:t>
            </w:r>
            <w:r>
              <w:rPr>
                <w:rFonts w:hint="eastAsia" w:ascii="Times New Roman" w:cs="Times New Roman"/>
                <w:color w:val="auto"/>
                <w:sz w:val="24"/>
                <w:lang w:eastAsia="zh-CN"/>
              </w:rPr>
              <w:t>～</w:t>
            </w:r>
            <w:r>
              <w:rPr>
                <w:rFonts w:hint="default" w:ascii="Times New Roman" w:hAnsi="Times New Roman" w:eastAsia="宋体" w:cs="Times New Roman"/>
                <w:color w:val="auto"/>
                <w:sz w:val="24"/>
                <w:lang w:eastAsia="zh-CN"/>
              </w:rPr>
              <w:t>6分钟</w:t>
            </w:r>
            <w:r>
              <w:rPr>
                <w:rFonts w:hint="eastAsia" w:ascii="Times New Roman" w:cs="Times New Roman"/>
                <w:color w:val="auto"/>
                <w:sz w:val="24"/>
                <w:lang w:eastAsia="zh-CN"/>
              </w:rPr>
              <w:t>。</w:t>
            </w:r>
          </w:p>
          <w:p w14:paraId="25F7DFA6">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12.</w:t>
            </w:r>
            <w:r>
              <w:rPr>
                <w:rFonts w:hint="eastAsia" w:ascii="Times New Roman" w:hAnsi="Times New Roman" w:eastAsia="宋体" w:cs="Times New Roman"/>
                <w:color w:val="auto"/>
                <w:sz w:val="24"/>
                <w:lang w:eastAsia="zh-CN"/>
              </w:rPr>
              <w:t>包装</w:t>
            </w:r>
          </w:p>
          <w:p w14:paraId="4845C1E5">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将调味后的产品按定量装入食品级包装袋中，并进行密封。</w:t>
            </w:r>
          </w:p>
          <w:p w14:paraId="30562C55">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13.检测</w:t>
            </w:r>
          </w:p>
          <w:p w14:paraId="26BD7A09">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对包装好的产品进行抽样检验，包括重量、微生物、感官指标等</w:t>
            </w:r>
            <w:r>
              <w:rPr>
                <w:rFonts w:hint="eastAsia" w:ascii="Times New Roman" w:cs="Times New Roman"/>
                <w:color w:val="auto"/>
                <w:sz w:val="24"/>
                <w:lang w:val="en-US" w:eastAsia="zh-CN"/>
              </w:rPr>
              <w:t>指标的检验。此过程会产生S2不合格品。</w:t>
            </w:r>
          </w:p>
          <w:p w14:paraId="5FD808EC">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14.速冻</w:t>
            </w:r>
          </w:p>
          <w:p w14:paraId="6DF4647E">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将合格产品迅速通过</w:t>
            </w:r>
            <w:r>
              <w:rPr>
                <w:rFonts w:hint="eastAsia" w:ascii="Times New Roman" w:cs="Times New Roman"/>
                <w:color w:val="auto"/>
                <w:sz w:val="24"/>
                <w:lang w:eastAsia="zh-CN"/>
              </w:rPr>
              <w:t>双螺旋速冻装置</w:t>
            </w:r>
            <w:r>
              <w:rPr>
                <w:rFonts w:hint="eastAsia" w:ascii="Times New Roman" w:hAnsi="Times New Roman" w:eastAsia="宋体" w:cs="Times New Roman"/>
                <w:color w:val="auto"/>
                <w:sz w:val="24"/>
                <w:lang w:eastAsia="zh-CN"/>
              </w:rPr>
              <w:t>，使其快速冻结，锁鲜保藏。</w:t>
            </w:r>
          </w:p>
          <w:p w14:paraId="3FD650F9">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15.入库</w:t>
            </w:r>
          </w:p>
          <w:p w14:paraId="4533B44E">
            <w:pPr>
              <w:pStyle w:val="45"/>
              <w:keepNext w:val="0"/>
              <w:keepLines w:val="0"/>
              <w:pageBreakBefore w:val="0"/>
              <w:widowControl w:val="0"/>
              <w:kinsoku/>
              <w:wordWrap/>
              <w:overflowPunct/>
              <w:topLinePunct w:val="0"/>
              <w:autoSpaceDE/>
              <w:autoSpaceDN/>
              <w:bidi w:val="0"/>
              <w:adjustRightInd w:val="0"/>
              <w:snapToGrid w:val="0"/>
              <w:spacing w:beforeLines="0" w:afterLines="0" w:line="460" w:lineRule="exact"/>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将速冻后的产品转移至低温冷库（通常≤-18℃）中储存待售。</w:t>
            </w:r>
          </w:p>
          <w:p w14:paraId="7C46E237">
            <w:pPr>
              <w:pStyle w:val="29"/>
              <w:spacing w:before="0" w:beforeAutospacing="0" w:after="0" w:afterAutospacing="0"/>
              <w:jc w:val="center"/>
              <w:rPr>
                <w:rFonts w:ascii="Times New Roman" w:hAnsi="Times New Roman" w:cs="Times New Roman"/>
                <w:snapToGrid w:val="0"/>
                <w:color w:val="auto"/>
                <w:sz w:val="36"/>
                <w:szCs w:val="36"/>
              </w:rPr>
            </w:pPr>
            <w:r>
              <w:rPr>
                <w:rFonts w:ascii="Times New Roman" w:hAnsi="Times New Roman" w:cs="Times New Roman"/>
                <w:b/>
                <w:color w:val="auto"/>
              </w:rPr>
              <w:t>表2-</w:t>
            </w:r>
            <w:r>
              <w:rPr>
                <w:rFonts w:hint="eastAsia" w:ascii="Times New Roman" w:hAnsi="Times New Roman" w:cs="Times New Roman"/>
                <w:b/>
                <w:color w:val="auto"/>
                <w:lang w:val="en-US" w:eastAsia="zh-CN"/>
              </w:rPr>
              <w:t>7</w:t>
            </w:r>
            <w:r>
              <w:rPr>
                <w:rFonts w:ascii="Times New Roman" w:hAnsi="Times New Roman" w:cs="Times New Roman"/>
                <w:b/>
                <w:color w:val="auto"/>
              </w:rPr>
              <w:t xml:space="preserve"> 本项目主要污染物分布情况一览表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2351"/>
              <w:gridCol w:w="1393"/>
              <w:gridCol w:w="2865"/>
            </w:tblGrid>
            <w:tr w14:paraId="3F5C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tcBorders>
                    <w:top w:val="single" w:color="auto" w:sz="12" w:space="0"/>
                    <w:left w:val="nil"/>
                    <w:bottom w:val="single" w:color="auto" w:sz="12" w:space="0"/>
                  </w:tcBorders>
                  <w:shd w:val="clear" w:color="auto" w:fill="auto"/>
                  <w:vAlign w:val="center"/>
                </w:tcPr>
                <w:p w14:paraId="2D2F5748">
                  <w:pPr>
                    <w:jc w:val="center"/>
                    <w:rPr>
                      <w:b/>
                      <w:color w:val="auto"/>
                      <w:szCs w:val="21"/>
                    </w:rPr>
                  </w:pPr>
                  <w:r>
                    <w:rPr>
                      <w:b/>
                      <w:color w:val="auto"/>
                      <w:szCs w:val="21"/>
                    </w:rPr>
                    <w:t>污染物类别</w:t>
                  </w:r>
                </w:p>
              </w:tc>
              <w:tc>
                <w:tcPr>
                  <w:tcW w:w="2351" w:type="dxa"/>
                  <w:tcBorders>
                    <w:top w:val="single" w:color="auto" w:sz="12" w:space="0"/>
                    <w:bottom w:val="single" w:color="auto" w:sz="12" w:space="0"/>
                  </w:tcBorders>
                  <w:shd w:val="clear" w:color="auto" w:fill="auto"/>
                  <w:vAlign w:val="center"/>
                </w:tcPr>
                <w:p w14:paraId="7EB9DBE8">
                  <w:pPr>
                    <w:jc w:val="center"/>
                    <w:rPr>
                      <w:b/>
                      <w:color w:val="auto"/>
                      <w:szCs w:val="21"/>
                    </w:rPr>
                  </w:pPr>
                  <w:r>
                    <w:rPr>
                      <w:b/>
                      <w:color w:val="auto"/>
                      <w:szCs w:val="21"/>
                    </w:rPr>
                    <w:t>编号</w:t>
                  </w:r>
                </w:p>
              </w:tc>
              <w:tc>
                <w:tcPr>
                  <w:tcW w:w="1393" w:type="dxa"/>
                  <w:tcBorders>
                    <w:top w:val="single" w:color="auto" w:sz="12" w:space="0"/>
                    <w:bottom w:val="single" w:color="auto" w:sz="12" w:space="0"/>
                  </w:tcBorders>
                  <w:shd w:val="clear" w:color="auto" w:fill="auto"/>
                  <w:vAlign w:val="center"/>
                </w:tcPr>
                <w:p w14:paraId="240F40BB">
                  <w:pPr>
                    <w:jc w:val="center"/>
                    <w:rPr>
                      <w:b/>
                      <w:color w:val="auto"/>
                      <w:szCs w:val="21"/>
                    </w:rPr>
                  </w:pPr>
                  <w:r>
                    <w:rPr>
                      <w:b/>
                      <w:color w:val="auto"/>
                      <w:szCs w:val="21"/>
                    </w:rPr>
                    <w:t>排放源</w:t>
                  </w:r>
                </w:p>
              </w:tc>
              <w:tc>
                <w:tcPr>
                  <w:tcW w:w="2865" w:type="dxa"/>
                  <w:tcBorders>
                    <w:top w:val="single" w:color="auto" w:sz="12" w:space="0"/>
                    <w:bottom w:val="single" w:color="auto" w:sz="12" w:space="0"/>
                    <w:right w:val="nil"/>
                  </w:tcBorders>
                  <w:shd w:val="clear" w:color="auto" w:fill="auto"/>
                  <w:vAlign w:val="center"/>
                </w:tcPr>
                <w:p w14:paraId="48CF441B">
                  <w:pPr>
                    <w:jc w:val="center"/>
                    <w:rPr>
                      <w:b/>
                      <w:color w:val="auto"/>
                      <w:szCs w:val="21"/>
                    </w:rPr>
                  </w:pPr>
                  <w:r>
                    <w:rPr>
                      <w:b/>
                      <w:color w:val="auto"/>
                      <w:szCs w:val="21"/>
                    </w:rPr>
                    <w:t>污染物名称</w:t>
                  </w:r>
                </w:p>
              </w:tc>
            </w:tr>
            <w:tr w14:paraId="698A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553" w:type="dxa"/>
                  <w:vMerge w:val="restart"/>
                  <w:tcBorders>
                    <w:top w:val="single" w:color="auto" w:sz="12" w:space="0"/>
                    <w:left w:val="nil"/>
                  </w:tcBorders>
                  <w:shd w:val="clear" w:color="auto" w:fill="auto"/>
                  <w:vAlign w:val="center"/>
                </w:tcPr>
                <w:p w14:paraId="733C9293">
                  <w:pPr>
                    <w:jc w:val="center"/>
                    <w:rPr>
                      <w:color w:val="auto"/>
                      <w:szCs w:val="21"/>
                    </w:rPr>
                  </w:pPr>
                  <w:r>
                    <w:rPr>
                      <w:color w:val="auto"/>
                      <w:szCs w:val="21"/>
                    </w:rPr>
                    <w:t>废水</w:t>
                  </w:r>
                </w:p>
              </w:tc>
              <w:tc>
                <w:tcPr>
                  <w:tcW w:w="2351" w:type="dxa"/>
                  <w:tcBorders>
                    <w:top w:val="single" w:color="auto" w:sz="12" w:space="0"/>
                    <w:bottom w:val="single" w:color="auto" w:sz="4" w:space="0"/>
                  </w:tcBorders>
                  <w:shd w:val="clear" w:color="auto" w:fill="auto"/>
                  <w:vAlign w:val="center"/>
                </w:tcPr>
                <w:p w14:paraId="2445F17D">
                  <w:pPr>
                    <w:jc w:val="center"/>
                    <w:rPr>
                      <w:rFonts w:hint="default" w:eastAsia="宋体"/>
                      <w:color w:val="auto"/>
                      <w:szCs w:val="21"/>
                      <w:lang w:val="en-US" w:eastAsia="zh-CN"/>
                    </w:rPr>
                  </w:pPr>
                  <w:r>
                    <w:rPr>
                      <w:color w:val="auto"/>
                      <w:szCs w:val="21"/>
                    </w:rPr>
                    <w:t>W1-1、W1-2、W1-3、W1-4、W2-1</w:t>
                  </w:r>
                  <w:r>
                    <w:rPr>
                      <w:rFonts w:hint="eastAsia"/>
                      <w:color w:val="auto"/>
                      <w:szCs w:val="21"/>
                      <w:lang w:val="en-US" w:eastAsia="zh-CN"/>
                    </w:rPr>
                    <w:t>、</w:t>
                  </w:r>
                  <w:r>
                    <w:rPr>
                      <w:color w:val="auto"/>
                      <w:szCs w:val="21"/>
                    </w:rPr>
                    <w:t>W</w:t>
                  </w:r>
                  <w:r>
                    <w:rPr>
                      <w:rFonts w:hint="eastAsia"/>
                      <w:color w:val="auto"/>
                      <w:szCs w:val="21"/>
                      <w:lang w:val="en-US" w:eastAsia="zh-CN"/>
                    </w:rPr>
                    <w:t>3-1</w:t>
                  </w:r>
                  <w:r>
                    <w:rPr>
                      <w:color w:val="auto"/>
                      <w:szCs w:val="21"/>
                    </w:rPr>
                    <w:t>、W</w:t>
                  </w:r>
                  <w:r>
                    <w:rPr>
                      <w:rFonts w:hint="eastAsia"/>
                      <w:color w:val="auto"/>
                      <w:szCs w:val="21"/>
                      <w:lang w:val="en-US" w:eastAsia="zh-CN"/>
                    </w:rPr>
                    <w:t>4-1、</w:t>
                  </w:r>
                  <w:r>
                    <w:rPr>
                      <w:color w:val="auto"/>
                      <w:szCs w:val="21"/>
                    </w:rPr>
                    <w:t>W</w:t>
                  </w:r>
                  <w:r>
                    <w:rPr>
                      <w:rFonts w:hint="eastAsia"/>
                      <w:color w:val="auto"/>
                      <w:szCs w:val="21"/>
                      <w:lang w:val="en-US" w:eastAsia="zh-CN"/>
                    </w:rPr>
                    <w:t>5-1</w:t>
                  </w:r>
                  <w:r>
                    <w:rPr>
                      <w:color w:val="auto"/>
                      <w:szCs w:val="21"/>
                    </w:rPr>
                    <w:t>、W</w:t>
                  </w:r>
                  <w:r>
                    <w:rPr>
                      <w:rFonts w:hint="eastAsia"/>
                      <w:color w:val="auto"/>
                      <w:szCs w:val="21"/>
                      <w:lang w:val="en-US" w:eastAsia="zh-CN"/>
                    </w:rPr>
                    <w:t>6-1</w:t>
                  </w:r>
                  <w:r>
                    <w:rPr>
                      <w:color w:val="auto"/>
                      <w:szCs w:val="21"/>
                    </w:rPr>
                    <w:t>、W</w:t>
                  </w:r>
                  <w:r>
                    <w:rPr>
                      <w:rFonts w:hint="eastAsia"/>
                      <w:color w:val="auto"/>
                      <w:szCs w:val="21"/>
                      <w:lang w:val="en-US" w:eastAsia="zh-CN"/>
                    </w:rPr>
                    <w:t>6-2</w:t>
                  </w:r>
                  <w:r>
                    <w:rPr>
                      <w:color w:val="auto"/>
                      <w:szCs w:val="21"/>
                    </w:rPr>
                    <w:t>、W</w:t>
                  </w:r>
                  <w:r>
                    <w:rPr>
                      <w:rFonts w:hint="eastAsia"/>
                      <w:color w:val="auto"/>
                      <w:szCs w:val="21"/>
                      <w:lang w:val="en-US" w:eastAsia="zh-CN"/>
                    </w:rPr>
                    <w:t>6-3</w:t>
                  </w:r>
                </w:p>
              </w:tc>
              <w:tc>
                <w:tcPr>
                  <w:tcW w:w="1393" w:type="dxa"/>
                  <w:tcBorders>
                    <w:top w:val="single" w:color="auto" w:sz="12" w:space="0"/>
                    <w:bottom w:val="single" w:color="auto" w:sz="4" w:space="0"/>
                  </w:tcBorders>
                  <w:shd w:val="clear" w:color="auto" w:fill="auto"/>
                  <w:vAlign w:val="center"/>
                </w:tcPr>
                <w:p w14:paraId="3110262F">
                  <w:pPr>
                    <w:jc w:val="center"/>
                    <w:rPr>
                      <w:color w:val="auto"/>
                      <w:szCs w:val="21"/>
                    </w:rPr>
                  </w:pPr>
                  <w:r>
                    <w:rPr>
                      <w:rFonts w:hint="eastAsia"/>
                      <w:color w:val="auto"/>
                      <w:szCs w:val="21"/>
                      <w:lang w:eastAsia="zh-CN"/>
                    </w:rPr>
                    <w:t>清洗、消毒、解冻泡发、漂烫、冷却</w:t>
                  </w:r>
                  <w:r>
                    <w:rPr>
                      <w:color w:val="auto"/>
                      <w:szCs w:val="21"/>
                    </w:rPr>
                    <w:t>、</w:t>
                  </w:r>
                  <w:r>
                    <w:rPr>
                      <w:rFonts w:hint="eastAsia"/>
                      <w:color w:val="auto"/>
                      <w:szCs w:val="21"/>
                      <w:lang w:eastAsia="zh-CN"/>
                    </w:rPr>
                    <w:t>控水</w:t>
                  </w:r>
                  <w:r>
                    <w:rPr>
                      <w:color w:val="auto"/>
                      <w:szCs w:val="21"/>
                    </w:rPr>
                    <w:t>废水</w:t>
                  </w:r>
                </w:p>
              </w:tc>
              <w:tc>
                <w:tcPr>
                  <w:tcW w:w="2865" w:type="dxa"/>
                  <w:tcBorders>
                    <w:top w:val="single" w:color="auto" w:sz="12" w:space="0"/>
                    <w:bottom w:val="single" w:color="auto" w:sz="4" w:space="0"/>
                    <w:right w:val="nil"/>
                  </w:tcBorders>
                  <w:shd w:val="clear" w:color="auto" w:fill="auto"/>
                  <w:vAlign w:val="center"/>
                </w:tcPr>
                <w:p w14:paraId="2849CA07">
                  <w:pPr>
                    <w:jc w:val="center"/>
                    <w:rPr>
                      <w:rFonts w:hint="eastAsia" w:eastAsia="宋体"/>
                      <w:color w:val="auto"/>
                      <w:szCs w:val="21"/>
                      <w:lang w:eastAsia="zh-CN"/>
                    </w:rPr>
                  </w:pPr>
                  <w:r>
                    <w:rPr>
                      <w:color w:val="auto"/>
                      <w:szCs w:val="21"/>
                    </w:rPr>
                    <w:t>COD、</w:t>
                  </w:r>
                  <w:r>
                    <w:rPr>
                      <w:rFonts w:hint="eastAsia"/>
                      <w:color w:val="auto"/>
                      <w:szCs w:val="21"/>
                    </w:rPr>
                    <w:t>B</w:t>
                  </w:r>
                  <w:r>
                    <w:rPr>
                      <w:color w:val="auto"/>
                      <w:szCs w:val="21"/>
                    </w:rPr>
                    <w:t>OD</w:t>
                  </w:r>
                  <w:r>
                    <w:rPr>
                      <w:color w:val="auto"/>
                      <w:szCs w:val="21"/>
                      <w:vertAlign w:val="subscript"/>
                    </w:rPr>
                    <w:t>5</w:t>
                  </w:r>
                  <w:r>
                    <w:rPr>
                      <w:rFonts w:hint="eastAsia"/>
                      <w:color w:val="auto"/>
                      <w:szCs w:val="21"/>
                    </w:rPr>
                    <w:t>、S</w:t>
                  </w:r>
                  <w:r>
                    <w:rPr>
                      <w:color w:val="auto"/>
                      <w:szCs w:val="21"/>
                    </w:rPr>
                    <w:t>S</w:t>
                  </w:r>
                  <w:r>
                    <w:rPr>
                      <w:rFonts w:hint="eastAsia"/>
                      <w:color w:val="auto"/>
                      <w:szCs w:val="21"/>
                    </w:rPr>
                    <w:t>、</w:t>
                  </w:r>
                  <w:r>
                    <w:rPr>
                      <w:color w:val="auto"/>
                      <w:szCs w:val="21"/>
                    </w:rPr>
                    <w:t>氨氮、总氮</w:t>
                  </w:r>
                  <w:r>
                    <w:rPr>
                      <w:rFonts w:hint="eastAsia"/>
                      <w:color w:val="auto"/>
                      <w:szCs w:val="21"/>
                    </w:rPr>
                    <w:t>、</w:t>
                  </w:r>
                  <w:r>
                    <w:rPr>
                      <w:color w:val="auto"/>
                      <w:szCs w:val="21"/>
                    </w:rPr>
                    <w:t>总磷</w:t>
                  </w:r>
                  <w:r>
                    <w:rPr>
                      <w:rFonts w:hint="eastAsia"/>
                      <w:color w:val="auto"/>
                      <w:szCs w:val="21"/>
                      <w:lang w:eastAsia="zh-CN"/>
                    </w:rPr>
                    <w:t>、动植物油、全盐量</w:t>
                  </w:r>
                </w:p>
              </w:tc>
            </w:tr>
            <w:tr w14:paraId="5484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60C178F5">
                  <w:pPr>
                    <w:jc w:val="center"/>
                    <w:rPr>
                      <w:color w:val="auto"/>
                      <w:szCs w:val="21"/>
                    </w:rPr>
                  </w:pPr>
                </w:p>
              </w:tc>
              <w:tc>
                <w:tcPr>
                  <w:tcW w:w="2351" w:type="dxa"/>
                  <w:tcBorders>
                    <w:top w:val="single" w:color="auto" w:sz="4" w:space="0"/>
                  </w:tcBorders>
                  <w:shd w:val="clear" w:color="auto" w:fill="auto"/>
                  <w:vAlign w:val="center"/>
                </w:tcPr>
                <w:p w14:paraId="33D0D985">
                  <w:pPr>
                    <w:jc w:val="center"/>
                    <w:rPr>
                      <w:rFonts w:hint="eastAsia" w:eastAsia="宋体"/>
                      <w:color w:val="auto"/>
                      <w:szCs w:val="21"/>
                      <w:lang w:eastAsia="zh-CN"/>
                    </w:rPr>
                  </w:pPr>
                  <w:r>
                    <w:rPr>
                      <w:color w:val="auto"/>
                      <w:szCs w:val="21"/>
                    </w:rPr>
                    <w:t>W</w:t>
                  </w:r>
                  <w:r>
                    <w:rPr>
                      <w:rFonts w:hint="eastAsia"/>
                      <w:color w:val="auto"/>
                      <w:szCs w:val="21"/>
                      <w:lang w:val="en-US" w:eastAsia="zh-CN"/>
                    </w:rPr>
                    <w:t>7</w:t>
                  </w:r>
                </w:p>
              </w:tc>
              <w:tc>
                <w:tcPr>
                  <w:tcW w:w="1393" w:type="dxa"/>
                  <w:tcBorders>
                    <w:top w:val="single" w:color="auto" w:sz="4" w:space="0"/>
                  </w:tcBorders>
                  <w:shd w:val="clear" w:color="auto" w:fill="auto"/>
                  <w:vAlign w:val="center"/>
                </w:tcPr>
                <w:p w14:paraId="43ED385F">
                  <w:pPr>
                    <w:jc w:val="center"/>
                    <w:rPr>
                      <w:color w:val="auto"/>
                      <w:szCs w:val="21"/>
                    </w:rPr>
                  </w:pPr>
                  <w:r>
                    <w:rPr>
                      <w:color w:val="auto"/>
                      <w:szCs w:val="21"/>
                    </w:rPr>
                    <w:t>生活污水</w:t>
                  </w:r>
                </w:p>
              </w:tc>
              <w:tc>
                <w:tcPr>
                  <w:tcW w:w="2865" w:type="dxa"/>
                  <w:tcBorders>
                    <w:top w:val="single" w:color="auto" w:sz="4" w:space="0"/>
                    <w:right w:val="nil"/>
                  </w:tcBorders>
                  <w:shd w:val="clear" w:color="auto" w:fill="auto"/>
                  <w:vAlign w:val="center"/>
                </w:tcPr>
                <w:p w14:paraId="3D387AF2">
                  <w:pPr>
                    <w:jc w:val="center"/>
                    <w:rPr>
                      <w:color w:val="auto"/>
                      <w:szCs w:val="21"/>
                    </w:rPr>
                  </w:pPr>
                  <w:r>
                    <w:rPr>
                      <w:color w:val="auto"/>
                      <w:szCs w:val="21"/>
                    </w:rPr>
                    <w:t>COD、</w:t>
                  </w:r>
                  <w:r>
                    <w:rPr>
                      <w:rFonts w:hint="eastAsia"/>
                      <w:color w:val="auto"/>
                      <w:szCs w:val="21"/>
                    </w:rPr>
                    <w:t>B</w:t>
                  </w:r>
                  <w:r>
                    <w:rPr>
                      <w:color w:val="auto"/>
                      <w:szCs w:val="21"/>
                    </w:rPr>
                    <w:t>OD</w:t>
                  </w:r>
                  <w:r>
                    <w:rPr>
                      <w:color w:val="auto"/>
                      <w:szCs w:val="21"/>
                      <w:vertAlign w:val="subscript"/>
                    </w:rPr>
                    <w:t>5</w:t>
                  </w:r>
                  <w:r>
                    <w:rPr>
                      <w:rFonts w:hint="eastAsia"/>
                      <w:color w:val="auto"/>
                      <w:szCs w:val="21"/>
                    </w:rPr>
                    <w:t>、S</w:t>
                  </w:r>
                  <w:r>
                    <w:rPr>
                      <w:color w:val="auto"/>
                      <w:szCs w:val="21"/>
                    </w:rPr>
                    <w:t>S</w:t>
                  </w:r>
                  <w:r>
                    <w:rPr>
                      <w:rFonts w:hint="eastAsia"/>
                      <w:color w:val="auto"/>
                      <w:szCs w:val="21"/>
                    </w:rPr>
                    <w:t>、</w:t>
                  </w:r>
                  <w:r>
                    <w:rPr>
                      <w:color w:val="auto"/>
                      <w:szCs w:val="21"/>
                    </w:rPr>
                    <w:t>氨氮、总氮</w:t>
                  </w:r>
                  <w:r>
                    <w:rPr>
                      <w:rFonts w:hint="eastAsia"/>
                      <w:color w:val="auto"/>
                      <w:szCs w:val="21"/>
                    </w:rPr>
                    <w:t>、</w:t>
                  </w:r>
                  <w:r>
                    <w:rPr>
                      <w:color w:val="auto"/>
                      <w:szCs w:val="21"/>
                    </w:rPr>
                    <w:t>总磷</w:t>
                  </w:r>
                </w:p>
              </w:tc>
            </w:tr>
            <w:tr w14:paraId="35D4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675735A1">
                  <w:pPr>
                    <w:jc w:val="center"/>
                    <w:rPr>
                      <w:color w:val="auto"/>
                      <w:szCs w:val="21"/>
                    </w:rPr>
                  </w:pPr>
                </w:p>
              </w:tc>
              <w:tc>
                <w:tcPr>
                  <w:tcW w:w="2351" w:type="dxa"/>
                  <w:shd w:val="clear" w:color="auto" w:fill="auto"/>
                  <w:vAlign w:val="center"/>
                </w:tcPr>
                <w:p w14:paraId="11C58A1A">
                  <w:pPr>
                    <w:jc w:val="center"/>
                    <w:rPr>
                      <w:rFonts w:hint="eastAsia" w:eastAsia="宋体"/>
                      <w:color w:val="auto"/>
                      <w:szCs w:val="21"/>
                      <w:lang w:eastAsia="zh-CN"/>
                    </w:rPr>
                  </w:pPr>
                  <w:r>
                    <w:rPr>
                      <w:color w:val="auto"/>
                      <w:szCs w:val="21"/>
                    </w:rPr>
                    <w:t>W</w:t>
                  </w:r>
                  <w:r>
                    <w:rPr>
                      <w:rFonts w:hint="eastAsia"/>
                      <w:color w:val="auto"/>
                      <w:szCs w:val="21"/>
                      <w:lang w:val="en-US" w:eastAsia="zh-CN"/>
                    </w:rPr>
                    <w:t>8</w:t>
                  </w:r>
                </w:p>
              </w:tc>
              <w:tc>
                <w:tcPr>
                  <w:tcW w:w="1393" w:type="dxa"/>
                  <w:shd w:val="clear" w:color="auto" w:fill="auto"/>
                  <w:vAlign w:val="center"/>
                </w:tcPr>
                <w:p w14:paraId="44C27D5A">
                  <w:pPr>
                    <w:jc w:val="center"/>
                    <w:rPr>
                      <w:color w:val="auto"/>
                      <w:szCs w:val="21"/>
                    </w:rPr>
                  </w:pPr>
                  <w:r>
                    <w:rPr>
                      <w:color w:val="auto"/>
                      <w:szCs w:val="21"/>
                    </w:rPr>
                    <w:t>设备冲洗废水</w:t>
                  </w:r>
                </w:p>
              </w:tc>
              <w:tc>
                <w:tcPr>
                  <w:tcW w:w="2865" w:type="dxa"/>
                  <w:tcBorders>
                    <w:right w:val="nil"/>
                  </w:tcBorders>
                  <w:shd w:val="clear" w:color="auto" w:fill="auto"/>
                  <w:vAlign w:val="center"/>
                </w:tcPr>
                <w:p w14:paraId="10782BFA">
                  <w:pPr>
                    <w:jc w:val="center"/>
                    <w:rPr>
                      <w:color w:val="auto"/>
                      <w:szCs w:val="21"/>
                    </w:rPr>
                  </w:pPr>
                  <w:r>
                    <w:rPr>
                      <w:color w:val="auto"/>
                      <w:szCs w:val="21"/>
                    </w:rPr>
                    <w:t>COD、</w:t>
                  </w:r>
                  <w:r>
                    <w:rPr>
                      <w:rFonts w:hint="eastAsia"/>
                      <w:color w:val="auto"/>
                      <w:szCs w:val="21"/>
                    </w:rPr>
                    <w:t>B</w:t>
                  </w:r>
                  <w:r>
                    <w:rPr>
                      <w:color w:val="auto"/>
                      <w:szCs w:val="21"/>
                    </w:rPr>
                    <w:t>OD</w:t>
                  </w:r>
                  <w:r>
                    <w:rPr>
                      <w:color w:val="auto"/>
                      <w:szCs w:val="21"/>
                      <w:vertAlign w:val="subscript"/>
                    </w:rPr>
                    <w:t>5</w:t>
                  </w:r>
                  <w:r>
                    <w:rPr>
                      <w:rFonts w:hint="eastAsia"/>
                      <w:color w:val="auto"/>
                      <w:szCs w:val="21"/>
                    </w:rPr>
                    <w:t>、S</w:t>
                  </w:r>
                  <w:r>
                    <w:rPr>
                      <w:color w:val="auto"/>
                      <w:szCs w:val="21"/>
                    </w:rPr>
                    <w:t>S</w:t>
                  </w:r>
                  <w:r>
                    <w:rPr>
                      <w:rFonts w:hint="eastAsia"/>
                      <w:color w:val="auto"/>
                      <w:szCs w:val="21"/>
                    </w:rPr>
                    <w:t>、</w:t>
                  </w:r>
                  <w:r>
                    <w:rPr>
                      <w:color w:val="auto"/>
                      <w:szCs w:val="21"/>
                    </w:rPr>
                    <w:t>氨氮、总氮</w:t>
                  </w:r>
                  <w:r>
                    <w:rPr>
                      <w:rFonts w:hint="eastAsia"/>
                      <w:color w:val="auto"/>
                      <w:szCs w:val="21"/>
                    </w:rPr>
                    <w:t>、</w:t>
                  </w:r>
                  <w:r>
                    <w:rPr>
                      <w:color w:val="auto"/>
                      <w:szCs w:val="21"/>
                    </w:rPr>
                    <w:t>总磷、动植物油</w:t>
                  </w:r>
                  <w:r>
                    <w:rPr>
                      <w:rFonts w:hint="eastAsia"/>
                      <w:color w:val="auto"/>
                      <w:szCs w:val="21"/>
                    </w:rPr>
                    <w:t>、L</w:t>
                  </w:r>
                  <w:r>
                    <w:rPr>
                      <w:color w:val="auto"/>
                      <w:szCs w:val="21"/>
                    </w:rPr>
                    <w:t>AS</w:t>
                  </w:r>
                </w:p>
              </w:tc>
            </w:tr>
            <w:tr w14:paraId="7C5E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4F876002">
                  <w:pPr>
                    <w:rPr>
                      <w:color w:val="auto"/>
                      <w:szCs w:val="21"/>
                    </w:rPr>
                  </w:pPr>
                </w:p>
              </w:tc>
              <w:tc>
                <w:tcPr>
                  <w:tcW w:w="2351" w:type="dxa"/>
                  <w:shd w:val="clear" w:color="auto" w:fill="auto"/>
                  <w:vAlign w:val="center"/>
                </w:tcPr>
                <w:p w14:paraId="243C698C">
                  <w:pPr>
                    <w:jc w:val="center"/>
                    <w:rPr>
                      <w:rFonts w:hint="eastAsia" w:eastAsia="宋体"/>
                      <w:color w:val="auto"/>
                      <w:szCs w:val="21"/>
                      <w:lang w:eastAsia="zh-CN"/>
                    </w:rPr>
                  </w:pPr>
                  <w:r>
                    <w:rPr>
                      <w:color w:val="auto"/>
                      <w:szCs w:val="21"/>
                    </w:rPr>
                    <w:t>W</w:t>
                  </w:r>
                  <w:r>
                    <w:rPr>
                      <w:rFonts w:hint="eastAsia"/>
                      <w:color w:val="auto"/>
                      <w:szCs w:val="21"/>
                      <w:lang w:val="en-US" w:eastAsia="zh-CN"/>
                    </w:rPr>
                    <w:t>9</w:t>
                  </w:r>
                </w:p>
              </w:tc>
              <w:tc>
                <w:tcPr>
                  <w:tcW w:w="1393" w:type="dxa"/>
                  <w:shd w:val="clear" w:color="auto" w:fill="auto"/>
                  <w:vAlign w:val="center"/>
                </w:tcPr>
                <w:p w14:paraId="4693780C">
                  <w:pPr>
                    <w:jc w:val="center"/>
                    <w:rPr>
                      <w:color w:val="auto"/>
                      <w:szCs w:val="21"/>
                    </w:rPr>
                  </w:pPr>
                  <w:r>
                    <w:rPr>
                      <w:color w:val="auto"/>
                      <w:szCs w:val="21"/>
                    </w:rPr>
                    <w:t>地面清洁废水</w:t>
                  </w:r>
                </w:p>
              </w:tc>
              <w:tc>
                <w:tcPr>
                  <w:tcW w:w="2865" w:type="dxa"/>
                  <w:tcBorders>
                    <w:right w:val="nil"/>
                  </w:tcBorders>
                  <w:shd w:val="clear" w:color="auto" w:fill="auto"/>
                  <w:vAlign w:val="center"/>
                </w:tcPr>
                <w:p w14:paraId="5699C991">
                  <w:pPr>
                    <w:jc w:val="center"/>
                    <w:rPr>
                      <w:color w:val="auto"/>
                      <w:szCs w:val="21"/>
                    </w:rPr>
                  </w:pPr>
                  <w:r>
                    <w:rPr>
                      <w:color w:val="auto"/>
                      <w:szCs w:val="21"/>
                    </w:rPr>
                    <w:t>COD、</w:t>
                  </w:r>
                  <w:r>
                    <w:rPr>
                      <w:rFonts w:hint="eastAsia"/>
                      <w:color w:val="auto"/>
                      <w:szCs w:val="21"/>
                    </w:rPr>
                    <w:t>B</w:t>
                  </w:r>
                  <w:r>
                    <w:rPr>
                      <w:color w:val="auto"/>
                      <w:szCs w:val="21"/>
                    </w:rPr>
                    <w:t>OD</w:t>
                  </w:r>
                  <w:r>
                    <w:rPr>
                      <w:color w:val="auto"/>
                      <w:szCs w:val="21"/>
                      <w:vertAlign w:val="subscript"/>
                    </w:rPr>
                    <w:t>5</w:t>
                  </w:r>
                  <w:r>
                    <w:rPr>
                      <w:rFonts w:hint="eastAsia"/>
                      <w:color w:val="auto"/>
                      <w:szCs w:val="21"/>
                    </w:rPr>
                    <w:t>、S</w:t>
                  </w:r>
                  <w:r>
                    <w:rPr>
                      <w:color w:val="auto"/>
                      <w:szCs w:val="21"/>
                    </w:rPr>
                    <w:t>S</w:t>
                  </w:r>
                  <w:r>
                    <w:rPr>
                      <w:rFonts w:hint="eastAsia"/>
                      <w:color w:val="auto"/>
                      <w:szCs w:val="21"/>
                    </w:rPr>
                    <w:t>、</w:t>
                  </w:r>
                  <w:r>
                    <w:rPr>
                      <w:color w:val="auto"/>
                      <w:szCs w:val="21"/>
                    </w:rPr>
                    <w:t>氨氮、总氮</w:t>
                  </w:r>
                  <w:r>
                    <w:rPr>
                      <w:rFonts w:hint="eastAsia"/>
                      <w:color w:val="auto"/>
                      <w:szCs w:val="21"/>
                    </w:rPr>
                    <w:t>、</w:t>
                  </w:r>
                  <w:r>
                    <w:rPr>
                      <w:color w:val="auto"/>
                      <w:szCs w:val="21"/>
                    </w:rPr>
                    <w:t>总磷</w:t>
                  </w:r>
                </w:p>
              </w:tc>
            </w:tr>
            <w:tr w14:paraId="2497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tcBorders>
                    <w:left w:val="nil"/>
                  </w:tcBorders>
                  <w:shd w:val="clear" w:color="auto" w:fill="auto"/>
                  <w:vAlign w:val="center"/>
                </w:tcPr>
                <w:p w14:paraId="4C22DC58">
                  <w:pPr>
                    <w:jc w:val="center"/>
                    <w:rPr>
                      <w:color w:val="auto"/>
                      <w:szCs w:val="21"/>
                    </w:rPr>
                  </w:pPr>
                  <w:r>
                    <w:rPr>
                      <w:color w:val="auto"/>
                      <w:szCs w:val="21"/>
                    </w:rPr>
                    <w:t>噪声</w:t>
                  </w:r>
                </w:p>
              </w:tc>
              <w:tc>
                <w:tcPr>
                  <w:tcW w:w="2351" w:type="dxa"/>
                  <w:shd w:val="clear" w:color="auto" w:fill="auto"/>
                  <w:vAlign w:val="center"/>
                </w:tcPr>
                <w:p w14:paraId="20BDFC8E">
                  <w:pPr>
                    <w:jc w:val="center"/>
                    <w:rPr>
                      <w:color w:val="auto"/>
                      <w:szCs w:val="21"/>
                    </w:rPr>
                  </w:pPr>
                  <w:r>
                    <w:rPr>
                      <w:color w:val="auto"/>
                      <w:szCs w:val="21"/>
                    </w:rPr>
                    <w:t>N</w:t>
                  </w:r>
                </w:p>
              </w:tc>
              <w:tc>
                <w:tcPr>
                  <w:tcW w:w="1393" w:type="dxa"/>
                  <w:shd w:val="clear" w:color="auto" w:fill="auto"/>
                  <w:vAlign w:val="center"/>
                </w:tcPr>
                <w:p w14:paraId="5C59DFD8">
                  <w:pPr>
                    <w:jc w:val="center"/>
                    <w:rPr>
                      <w:color w:val="auto"/>
                      <w:szCs w:val="21"/>
                    </w:rPr>
                  </w:pPr>
                  <w:r>
                    <w:rPr>
                      <w:color w:val="auto"/>
                      <w:szCs w:val="21"/>
                    </w:rPr>
                    <w:t>设备噪声</w:t>
                  </w:r>
                </w:p>
              </w:tc>
              <w:tc>
                <w:tcPr>
                  <w:tcW w:w="2865" w:type="dxa"/>
                  <w:tcBorders>
                    <w:right w:val="nil"/>
                  </w:tcBorders>
                  <w:shd w:val="clear" w:color="auto" w:fill="auto"/>
                  <w:vAlign w:val="center"/>
                </w:tcPr>
                <w:p w14:paraId="0531AA45">
                  <w:pPr>
                    <w:jc w:val="center"/>
                    <w:rPr>
                      <w:color w:val="auto"/>
                      <w:szCs w:val="21"/>
                    </w:rPr>
                  </w:pPr>
                  <w:r>
                    <w:rPr>
                      <w:color w:val="auto"/>
                      <w:szCs w:val="21"/>
                    </w:rPr>
                    <w:t>噪声</w:t>
                  </w:r>
                </w:p>
              </w:tc>
            </w:tr>
            <w:tr w14:paraId="1151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restart"/>
                  <w:tcBorders>
                    <w:left w:val="nil"/>
                  </w:tcBorders>
                  <w:shd w:val="clear" w:color="auto" w:fill="auto"/>
                  <w:vAlign w:val="center"/>
                </w:tcPr>
                <w:p w14:paraId="2A1FFE4C">
                  <w:pPr>
                    <w:jc w:val="center"/>
                    <w:rPr>
                      <w:color w:val="auto"/>
                      <w:szCs w:val="21"/>
                    </w:rPr>
                  </w:pPr>
                  <w:r>
                    <w:rPr>
                      <w:color w:val="auto"/>
                      <w:szCs w:val="21"/>
                    </w:rPr>
                    <w:t>固废</w:t>
                  </w:r>
                </w:p>
              </w:tc>
              <w:tc>
                <w:tcPr>
                  <w:tcW w:w="2351" w:type="dxa"/>
                  <w:shd w:val="clear" w:color="auto" w:fill="auto"/>
                  <w:vAlign w:val="center"/>
                </w:tcPr>
                <w:p w14:paraId="242172AC">
                  <w:pPr>
                    <w:jc w:val="center"/>
                    <w:rPr>
                      <w:rFonts w:hint="default" w:eastAsia="宋体"/>
                      <w:color w:val="auto"/>
                      <w:szCs w:val="21"/>
                      <w:lang w:val="en-US" w:eastAsia="zh-CN"/>
                    </w:rPr>
                  </w:pPr>
                  <w:r>
                    <w:rPr>
                      <w:color w:val="auto"/>
                      <w:szCs w:val="21"/>
                    </w:rPr>
                    <w:t>S1-1、S</w:t>
                  </w:r>
                  <w:r>
                    <w:rPr>
                      <w:rFonts w:hint="eastAsia"/>
                      <w:color w:val="auto"/>
                      <w:szCs w:val="21"/>
                      <w:lang w:val="en-US" w:eastAsia="zh-CN"/>
                    </w:rPr>
                    <w:t>1-2、S1-3、S1-4、S1-5</w:t>
                  </w:r>
                </w:p>
              </w:tc>
              <w:tc>
                <w:tcPr>
                  <w:tcW w:w="1393" w:type="dxa"/>
                  <w:shd w:val="clear" w:color="auto" w:fill="auto"/>
                  <w:vAlign w:val="center"/>
                </w:tcPr>
                <w:p w14:paraId="09CEC414">
                  <w:pPr>
                    <w:jc w:val="center"/>
                    <w:rPr>
                      <w:color w:val="auto"/>
                      <w:szCs w:val="21"/>
                    </w:rPr>
                  </w:pPr>
                  <w:r>
                    <w:rPr>
                      <w:color w:val="auto"/>
                      <w:szCs w:val="21"/>
                    </w:rPr>
                    <w:t>挑选原辅料</w:t>
                  </w:r>
                </w:p>
              </w:tc>
              <w:tc>
                <w:tcPr>
                  <w:tcW w:w="2865" w:type="dxa"/>
                  <w:tcBorders>
                    <w:right w:val="nil"/>
                  </w:tcBorders>
                  <w:shd w:val="clear" w:color="auto" w:fill="auto"/>
                  <w:vAlign w:val="center"/>
                </w:tcPr>
                <w:p w14:paraId="107E48EB">
                  <w:pPr>
                    <w:jc w:val="center"/>
                    <w:rPr>
                      <w:rFonts w:hint="eastAsia" w:eastAsia="宋体"/>
                      <w:color w:val="auto"/>
                      <w:szCs w:val="21"/>
                      <w:lang w:eastAsia="zh-CN"/>
                    </w:rPr>
                  </w:pPr>
                  <w:r>
                    <w:rPr>
                      <w:color w:val="auto"/>
                      <w:szCs w:val="21"/>
                    </w:rPr>
                    <w:t>废</w:t>
                  </w:r>
                  <w:r>
                    <w:rPr>
                      <w:rFonts w:hint="eastAsia"/>
                      <w:color w:val="auto"/>
                      <w:szCs w:val="21"/>
                      <w:lang w:eastAsia="zh-CN"/>
                    </w:rPr>
                    <w:t>杂物</w:t>
                  </w:r>
                </w:p>
              </w:tc>
            </w:tr>
            <w:tr w14:paraId="7EA9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7E6F375E">
                  <w:pPr>
                    <w:jc w:val="center"/>
                    <w:rPr>
                      <w:color w:val="auto"/>
                      <w:szCs w:val="21"/>
                    </w:rPr>
                  </w:pPr>
                </w:p>
              </w:tc>
              <w:tc>
                <w:tcPr>
                  <w:tcW w:w="2351" w:type="dxa"/>
                  <w:shd w:val="clear" w:color="auto" w:fill="auto"/>
                  <w:vAlign w:val="center"/>
                </w:tcPr>
                <w:p w14:paraId="297DC90E">
                  <w:pPr>
                    <w:jc w:val="center"/>
                    <w:rPr>
                      <w:rFonts w:hint="default" w:eastAsia="宋体"/>
                      <w:color w:val="auto"/>
                      <w:szCs w:val="21"/>
                      <w:lang w:val="en-US" w:eastAsia="zh-CN"/>
                    </w:rPr>
                  </w:pPr>
                  <w:r>
                    <w:rPr>
                      <w:rFonts w:hint="eastAsia"/>
                      <w:color w:val="auto"/>
                      <w:szCs w:val="21"/>
                      <w:lang w:val="en-US" w:eastAsia="zh-CN"/>
                    </w:rPr>
                    <w:t>S2</w:t>
                  </w:r>
                </w:p>
              </w:tc>
              <w:tc>
                <w:tcPr>
                  <w:tcW w:w="1393" w:type="dxa"/>
                  <w:shd w:val="clear" w:color="auto" w:fill="auto"/>
                  <w:vAlign w:val="center"/>
                </w:tcPr>
                <w:p w14:paraId="1B86E2FD">
                  <w:pPr>
                    <w:jc w:val="center"/>
                    <w:rPr>
                      <w:rFonts w:hint="eastAsia" w:eastAsia="宋体"/>
                      <w:color w:val="auto"/>
                      <w:szCs w:val="21"/>
                      <w:lang w:eastAsia="zh-CN"/>
                    </w:rPr>
                  </w:pPr>
                  <w:r>
                    <w:rPr>
                      <w:rFonts w:hint="eastAsia"/>
                      <w:color w:val="auto"/>
                      <w:szCs w:val="21"/>
                      <w:lang w:eastAsia="zh-CN"/>
                    </w:rPr>
                    <w:t>成品检测</w:t>
                  </w:r>
                </w:p>
              </w:tc>
              <w:tc>
                <w:tcPr>
                  <w:tcW w:w="2865" w:type="dxa"/>
                  <w:tcBorders>
                    <w:right w:val="nil"/>
                  </w:tcBorders>
                  <w:shd w:val="clear" w:color="auto" w:fill="auto"/>
                  <w:vAlign w:val="center"/>
                </w:tcPr>
                <w:p w14:paraId="19DDD032">
                  <w:pPr>
                    <w:jc w:val="center"/>
                    <w:rPr>
                      <w:rFonts w:hint="eastAsia" w:eastAsia="宋体"/>
                      <w:color w:val="auto"/>
                      <w:szCs w:val="21"/>
                      <w:lang w:eastAsia="zh-CN"/>
                    </w:rPr>
                  </w:pPr>
                  <w:r>
                    <w:rPr>
                      <w:rFonts w:hint="eastAsia"/>
                      <w:color w:val="auto"/>
                      <w:szCs w:val="21"/>
                      <w:lang w:eastAsia="zh-CN"/>
                    </w:rPr>
                    <w:t>不合格品</w:t>
                  </w:r>
                </w:p>
              </w:tc>
            </w:tr>
            <w:tr w14:paraId="38E5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3DB25DA2">
                  <w:pPr>
                    <w:rPr>
                      <w:rFonts w:hint="eastAsia" w:eastAsia="宋体"/>
                      <w:color w:val="auto"/>
                      <w:szCs w:val="21"/>
                      <w:lang w:eastAsia="zh-CN"/>
                    </w:rPr>
                  </w:pPr>
                  <w:r>
                    <w:rPr>
                      <w:rFonts w:hint="eastAsia"/>
                      <w:color w:val="auto"/>
                      <w:szCs w:val="21"/>
                      <w:lang w:eastAsia="zh-CN"/>
                    </w:rPr>
                    <w:t>、</w:t>
                  </w:r>
                </w:p>
              </w:tc>
              <w:tc>
                <w:tcPr>
                  <w:tcW w:w="2351" w:type="dxa"/>
                  <w:shd w:val="clear" w:color="auto" w:fill="auto"/>
                  <w:vAlign w:val="center"/>
                </w:tcPr>
                <w:p w14:paraId="1B9BF6BC">
                  <w:pPr>
                    <w:jc w:val="center"/>
                    <w:rPr>
                      <w:color w:val="auto"/>
                      <w:szCs w:val="21"/>
                    </w:rPr>
                  </w:pPr>
                  <w:r>
                    <w:rPr>
                      <w:color w:val="auto"/>
                      <w:szCs w:val="21"/>
                    </w:rPr>
                    <w:t>S3</w:t>
                  </w:r>
                </w:p>
              </w:tc>
              <w:tc>
                <w:tcPr>
                  <w:tcW w:w="1393" w:type="dxa"/>
                  <w:shd w:val="clear" w:color="auto" w:fill="auto"/>
                  <w:vAlign w:val="center"/>
                </w:tcPr>
                <w:p w14:paraId="10A45DC1">
                  <w:pPr>
                    <w:jc w:val="center"/>
                    <w:rPr>
                      <w:color w:val="auto"/>
                      <w:szCs w:val="21"/>
                    </w:rPr>
                  </w:pPr>
                  <w:r>
                    <w:rPr>
                      <w:color w:val="auto"/>
                      <w:szCs w:val="21"/>
                    </w:rPr>
                    <w:t>原辅料包装</w:t>
                  </w:r>
                </w:p>
              </w:tc>
              <w:tc>
                <w:tcPr>
                  <w:tcW w:w="2865" w:type="dxa"/>
                  <w:tcBorders>
                    <w:right w:val="nil"/>
                  </w:tcBorders>
                  <w:shd w:val="clear" w:color="auto" w:fill="auto"/>
                  <w:vAlign w:val="center"/>
                </w:tcPr>
                <w:p w14:paraId="7A1F6000">
                  <w:pPr>
                    <w:jc w:val="center"/>
                    <w:rPr>
                      <w:color w:val="auto"/>
                      <w:szCs w:val="21"/>
                    </w:rPr>
                  </w:pPr>
                  <w:r>
                    <w:rPr>
                      <w:color w:val="auto"/>
                      <w:szCs w:val="21"/>
                    </w:rPr>
                    <w:t>废包装材料</w:t>
                  </w:r>
                </w:p>
              </w:tc>
            </w:tr>
            <w:tr w14:paraId="3B9A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bottom w:val="single" w:color="auto" w:sz="12" w:space="0"/>
                  </w:tcBorders>
                  <w:shd w:val="clear" w:color="auto" w:fill="auto"/>
                  <w:vAlign w:val="center"/>
                </w:tcPr>
                <w:p w14:paraId="6392050D">
                  <w:pPr>
                    <w:rPr>
                      <w:color w:val="auto"/>
                      <w:szCs w:val="21"/>
                    </w:rPr>
                  </w:pPr>
                </w:p>
              </w:tc>
              <w:tc>
                <w:tcPr>
                  <w:tcW w:w="2351" w:type="dxa"/>
                  <w:tcBorders>
                    <w:bottom w:val="single" w:color="auto" w:sz="12" w:space="0"/>
                  </w:tcBorders>
                  <w:shd w:val="clear" w:color="auto" w:fill="auto"/>
                  <w:vAlign w:val="center"/>
                </w:tcPr>
                <w:p w14:paraId="42FDE95A">
                  <w:pPr>
                    <w:jc w:val="center"/>
                    <w:rPr>
                      <w:rFonts w:hint="eastAsia" w:eastAsia="宋体"/>
                      <w:color w:val="auto"/>
                      <w:szCs w:val="21"/>
                      <w:lang w:val="en-US" w:eastAsia="zh-CN"/>
                    </w:rPr>
                  </w:pPr>
                  <w:r>
                    <w:rPr>
                      <w:color w:val="auto"/>
                      <w:szCs w:val="21"/>
                    </w:rPr>
                    <w:t>S</w:t>
                  </w:r>
                  <w:r>
                    <w:rPr>
                      <w:rFonts w:hint="eastAsia"/>
                      <w:color w:val="auto"/>
                      <w:szCs w:val="21"/>
                      <w:lang w:val="en-US" w:eastAsia="zh-CN"/>
                    </w:rPr>
                    <w:t>4</w:t>
                  </w:r>
                </w:p>
              </w:tc>
              <w:tc>
                <w:tcPr>
                  <w:tcW w:w="1393" w:type="dxa"/>
                  <w:tcBorders>
                    <w:bottom w:val="single" w:color="auto" w:sz="12" w:space="0"/>
                  </w:tcBorders>
                  <w:shd w:val="clear" w:color="auto" w:fill="auto"/>
                  <w:vAlign w:val="center"/>
                </w:tcPr>
                <w:p w14:paraId="2C60C3B0">
                  <w:pPr>
                    <w:jc w:val="center"/>
                    <w:rPr>
                      <w:color w:val="auto"/>
                      <w:szCs w:val="21"/>
                    </w:rPr>
                  </w:pPr>
                  <w:r>
                    <w:rPr>
                      <w:color w:val="auto"/>
                      <w:szCs w:val="21"/>
                    </w:rPr>
                    <w:t>员工生活</w:t>
                  </w:r>
                </w:p>
              </w:tc>
              <w:tc>
                <w:tcPr>
                  <w:tcW w:w="2865" w:type="dxa"/>
                  <w:tcBorders>
                    <w:bottom w:val="single" w:color="auto" w:sz="12" w:space="0"/>
                    <w:right w:val="nil"/>
                  </w:tcBorders>
                  <w:shd w:val="clear" w:color="auto" w:fill="auto"/>
                  <w:vAlign w:val="center"/>
                </w:tcPr>
                <w:p w14:paraId="7C9B953D">
                  <w:pPr>
                    <w:jc w:val="center"/>
                    <w:rPr>
                      <w:color w:val="auto"/>
                      <w:szCs w:val="21"/>
                    </w:rPr>
                  </w:pPr>
                  <w:r>
                    <w:rPr>
                      <w:color w:val="auto"/>
                      <w:szCs w:val="21"/>
                    </w:rPr>
                    <w:t>生活垃圾</w:t>
                  </w:r>
                </w:p>
              </w:tc>
            </w:tr>
          </w:tbl>
          <w:p w14:paraId="7A4F31B5">
            <w:pPr>
              <w:widowControl/>
              <w:wordWrap w:val="0"/>
              <w:jc w:val="center"/>
              <w:textAlignment w:val="center"/>
              <w:rPr>
                <w:color w:val="auto"/>
              </w:rPr>
            </w:pPr>
          </w:p>
        </w:tc>
      </w:tr>
      <w:tr w14:paraId="4818E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4" w:hRule="atLeast"/>
          <w:jc w:val="center"/>
        </w:trPr>
        <w:tc>
          <w:tcPr>
            <w:tcW w:w="362" w:type="dxa"/>
            <w:vAlign w:val="center"/>
          </w:tcPr>
          <w:p w14:paraId="79EB417E">
            <w:pPr>
              <w:pStyle w:val="29"/>
              <w:adjustRightInd w:val="0"/>
              <w:snapToGrid w:val="0"/>
              <w:spacing w:before="0" w:beforeAutospacing="0" w:after="0" w:afterAutospacing="0"/>
              <w:jc w:val="center"/>
              <w:rPr>
                <w:rFonts w:ascii="Times New Roman" w:hAnsi="Times New Roman"/>
                <w:b/>
                <w:bCs/>
                <w:color w:val="auto"/>
                <w:sz w:val="21"/>
                <w:szCs w:val="21"/>
              </w:rPr>
            </w:pPr>
            <w:r>
              <w:rPr>
                <w:rFonts w:ascii="Times New Roman" w:hAnsi="Times New Roman"/>
                <w:color w:val="auto"/>
              </w:rPr>
              <w:br w:type="page"/>
            </w:r>
            <w:r>
              <w:rPr>
                <w:rFonts w:ascii="Times New Roman" w:hAnsi="Times New Roman"/>
                <w:color w:val="auto"/>
                <w:kern w:val="2"/>
                <w:sz w:val="21"/>
                <w:szCs w:val="24"/>
              </w:rPr>
              <w:br w:type="page"/>
            </w:r>
            <w:r>
              <w:rPr>
                <w:rFonts w:ascii="Times New Roman"/>
                <w:b/>
                <w:bCs/>
                <w:color w:val="auto"/>
                <w:kern w:val="2"/>
                <w:sz w:val="21"/>
                <w:szCs w:val="21"/>
              </w:rPr>
              <w:t>与项目有关的原有环境污染问题</w:t>
            </w:r>
          </w:p>
        </w:tc>
        <w:tc>
          <w:tcPr>
            <w:tcW w:w="8698" w:type="dxa"/>
          </w:tcPr>
          <w:p w14:paraId="7E4E5FAC">
            <w:pPr>
              <w:widowControl/>
              <w:adjustRightInd w:val="0"/>
              <w:snapToGrid w:val="0"/>
              <w:spacing w:before="120" w:beforeLines="50" w:line="360" w:lineRule="auto"/>
              <w:ind w:firstLine="482" w:firstLineChars="200"/>
              <w:rPr>
                <w:b/>
                <w:color w:val="auto"/>
                <w:sz w:val="24"/>
              </w:rPr>
            </w:pPr>
            <w:r>
              <w:rPr>
                <w:b/>
                <w:color w:val="auto"/>
                <w:sz w:val="24"/>
              </w:rPr>
              <w:t>1.</w:t>
            </w:r>
            <w:r>
              <w:rPr>
                <w:rFonts w:hAnsi="宋体"/>
                <w:b/>
                <w:color w:val="auto"/>
                <w:sz w:val="24"/>
              </w:rPr>
              <w:t>现有项目概况</w:t>
            </w:r>
          </w:p>
          <w:p w14:paraId="3B689005">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江苏乐世食品有限公司成立于2021年4月29日，公司名称于</w:t>
            </w:r>
            <w:r>
              <w:rPr>
                <w:rFonts w:hint="eastAsia" w:ascii="Times New Roman" w:cs="Times New Roman"/>
                <w:color w:val="auto"/>
                <w:sz w:val="24"/>
                <w:lang w:eastAsia="zh-CN"/>
              </w:rPr>
              <w:t>2023年8月1日</w:t>
            </w:r>
            <w:r>
              <w:rPr>
                <w:rFonts w:hint="eastAsia" w:ascii="Times New Roman" w:hAnsi="Times New Roman" w:eastAsia="宋体" w:cs="Times New Roman"/>
                <w:color w:val="auto"/>
                <w:sz w:val="24"/>
              </w:rPr>
              <w:t>变更为盖世食品</w:t>
            </w:r>
            <w:r>
              <w:rPr>
                <w:rFonts w:hint="eastAsia" w:ascii="Times New Roman" w:cs="Times New Roman"/>
                <w:color w:val="auto"/>
                <w:sz w:val="24"/>
                <w:lang w:eastAsia="zh-CN"/>
              </w:rPr>
              <w:t>（</w:t>
            </w:r>
            <w:r>
              <w:rPr>
                <w:rFonts w:hint="eastAsia" w:ascii="Times New Roman" w:hAnsi="Times New Roman" w:eastAsia="宋体" w:cs="Times New Roman"/>
                <w:color w:val="auto"/>
                <w:sz w:val="24"/>
              </w:rPr>
              <w:t>江苏</w:t>
            </w:r>
            <w:r>
              <w:rPr>
                <w:rFonts w:hint="eastAsia" w:ascii="Times New Roman" w:cs="Times New Roman"/>
                <w:color w:val="auto"/>
                <w:sz w:val="24"/>
                <w:lang w:eastAsia="zh-CN"/>
              </w:rPr>
              <w:t>）</w:t>
            </w:r>
            <w:r>
              <w:rPr>
                <w:rFonts w:hint="eastAsia" w:ascii="Times New Roman" w:hAnsi="Times New Roman" w:eastAsia="宋体" w:cs="Times New Roman"/>
                <w:color w:val="auto"/>
                <w:sz w:val="24"/>
              </w:rPr>
              <w:t>有限公司</w:t>
            </w:r>
            <w:r>
              <w:rPr>
                <w:rFonts w:hint="eastAsia" w:ascii="Times New Roman" w:cs="Times New Roman"/>
                <w:color w:val="auto"/>
                <w:sz w:val="24"/>
                <w:lang w:eastAsia="zh-CN"/>
              </w:rPr>
              <w:t>。</w:t>
            </w:r>
            <w:r>
              <w:rPr>
                <w:rFonts w:hint="eastAsia" w:ascii="Times New Roman" w:hAnsi="Times New Roman" w:eastAsia="宋体" w:cs="Times New Roman"/>
                <w:color w:val="auto"/>
                <w:sz w:val="24"/>
              </w:rPr>
              <w:t>《江苏乐世食品有限公司年产1.5万吨预制凉菜智能制造（加工）项目、研发及检测中心建设项目环境影响报告表》，该项目于2022年</w:t>
            </w:r>
            <w:r>
              <w:rPr>
                <w:rFonts w:hint="default" w:ascii="Times New Roman" w:hAnsi="Times New Roman" w:eastAsia="宋体" w:cs="Times New Roman"/>
                <w:color w:val="auto"/>
                <w:sz w:val="24"/>
              </w:rPr>
              <w:t>4</w:t>
            </w:r>
            <w:r>
              <w:rPr>
                <w:rFonts w:hint="eastAsia" w:ascii="Times New Roman" w:hAnsi="Times New Roman" w:eastAsia="宋体" w:cs="Times New Roman"/>
                <w:color w:val="auto"/>
                <w:sz w:val="24"/>
              </w:rPr>
              <w:t>月</w:t>
            </w:r>
            <w:r>
              <w:rPr>
                <w:rFonts w:hint="default" w:ascii="Times New Roman" w:hAnsi="Times New Roman" w:eastAsia="宋体" w:cs="Times New Roman"/>
                <w:color w:val="auto"/>
                <w:sz w:val="24"/>
              </w:rPr>
              <w:t>13</w:t>
            </w:r>
            <w:r>
              <w:rPr>
                <w:rFonts w:hint="eastAsia" w:ascii="Times New Roman" w:hAnsi="Times New Roman" w:eastAsia="宋体" w:cs="Times New Roman"/>
                <w:color w:val="auto"/>
                <w:sz w:val="24"/>
              </w:rPr>
              <w:t>日取得淮安市生态环境局的环评批复（淮（涟）环表复〔2022〕</w:t>
            </w:r>
            <w:r>
              <w:rPr>
                <w:rFonts w:hint="default" w:ascii="Times New Roman" w:hAnsi="Times New Roman" w:eastAsia="宋体" w:cs="Times New Roman"/>
                <w:color w:val="auto"/>
                <w:sz w:val="24"/>
              </w:rPr>
              <w:t>24</w:t>
            </w:r>
            <w:r>
              <w:rPr>
                <w:rFonts w:hint="eastAsia" w:ascii="Times New Roman" w:hAnsi="Times New Roman" w:eastAsia="宋体" w:cs="Times New Roman"/>
                <w:color w:val="auto"/>
                <w:sz w:val="24"/>
              </w:rPr>
              <w:t>号）。</w:t>
            </w:r>
            <w:bookmarkStart w:id="11" w:name="_Hlk183077897"/>
            <w:r>
              <w:rPr>
                <w:rFonts w:hint="eastAsia" w:ascii="Times New Roman" w:hAnsi="Times New Roman" w:eastAsia="宋体" w:cs="Times New Roman"/>
                <w:color w:val="auto"/>
                <w:sz w:val="24"/>
              </w:rPr>
              <w:t>本项目于2022年7月11日开工建设，于2023年7月进行排污许可申请，编号为</w:t>
            </w:r>
            <w:r>
              <w:rPr>
                <w:rFonts w:hint="default" w:ascii="Times New Roman" w:hAnsi="Times New Roman" w:eastAsia="宋体" w:cs="Times New Roman"/>
                <w:color w:val="auto"/>
                <w:sz w:val="24"/>
              </w:rPr>
              <w:t>91320826MA25WCN334001Q</w:t>
            </w:r>
            <w:r>
              <w:rPr>
                <w:rFonts w:hint="eastAsia" w:ascii="Times New Roman" w:hAnsi="Times New Roman" w:eastAsia="宋体" w:cs="Times New Roman"/>
                <w:color w:val="auto"/>
                <w:sz w:val="24"/>
              </w:rPr>
              <w:t>，于202</w:t>
            </w:r>
            <w:r>
              <w:rPr>
                <w:rFonts w:hint="default" w:ascii="Times New Roman" w:hAnsi="Times New Roman" w:eastAsia="宋体" w:cs="Times New Roman"/>
                <w:color w:val="auto"/>
                <w:sz w:val="24"/>
              </w:rPr>
              <w:t>4</w:t>
            </w:r>
            <w:r>
              <w:rPr>
                <w:rFonts w:hint="eastAsia" w:ascii="Times New Roman" w:hAnsi="Times New Roman" w:eastAsia="宋体" w:cs="Times New Roman"/>
                <w:color w:val="auto"/>
                <w:sz w:val="24"/>
              </w:rPr>
              <w:t>年6月21日竣工，目前企业厂区运行情况良好，</w:t>
            </w:r>
            <w:r>
              <w:rPr>
                <w:rFonts w:hint="eastAsia" w:ascii="Times New Roman" w:hAnsi="Times New Roman" w:eastAsia="宋体" w:cs="Times New Roman"/>
                <w:color w:val="auto"/>
                <w:sz w:val="24"/>
                <w:lang w:eastAsia="zh-CN"/>
              </w:rPr>
              <w:t>已完成验收</w:t>
            </w:r>
            <w:bookmarkEnd w:id="11"/>
            <w:r>
              <w:rPr>
                <w:rFonts w:hint="default" w:ascii="Times New Roman" w:hAnsi="Times New Roman" w:eastAsia="宋体" w:cs="Times New Roman"/>
                <w:color w:val="auto"/>
                <w:sz w:val="24"/>
              </w:rPr>
              <w:t>。现有项目环保手续履行情况见下表2-</w:t>
            </w:r>
            <w:r>
              <w:rPr>
                <w:rFonts w:hint="eastAsia" w:ascii="Times New Roman" w:cs="Times New Roman"/>
                <w:color w:val="auto"/>
                <w:sz w:val="24"/>
                <w:lang w:val="en-US" w:eastAsia="zh-CN"/>
              </w:rPr>
              <w:t>8</w:t>
            </w:r>
            <w:r>
              <w:rPr>
                <w:rFonts w:hint="default" w:ascii="Times New Roman" w:hAnsi="Times New Roman" w:eastAsia="宋体" w:cs="Times New Roman"/>
                <w:color w:val="auto"/>
                <w:sz w:val="24"/>
              </w:rPr>
              <w:t>。</w:t>
            </w:r>
          </w:p>
          <w:p w14:paraId="5B06A893">
            <w:pPr>
              <w:widowControl/>
              <w:adjustRightInd w:val="0"/>
              <w:snapToGrid w:val="0"/>
              <w:jc w:val="center"/>
              <w:rPr>
                <w:b/>
                <w:color w:val="auto"/>
                <w:kern w:val="0"/>
                <w:sz w:val="24"/>
              </w:rPr>
            </w:pPr>
            <w:r>
              <w:rPr>
                <w:rFonts w:hAnsi="宋体"/>
                <w:b/>
                <w:bCs/>
                <w:color w:val="auto"/>
                <w:kern w:val="0"/>
                <w:sz w:val="24"/>
              </w:rPr>
              <w:t>表</w:t>
            </w:r>
            <w:r>
              <w:rPr>
                <w:b/>
                <w:bCs/>
                <w:color w:val="auto"/>
                <w:kern w:val="0"/>
                <w:sz w:val="24"/>
              </w:rPr>
              <w:t>2-</w:t>
            </w:r>
            <w:r>
              <w:rPr>
                <w:rFonts w:hint="eastAsia"/>
                <w:b/>
                <w:bCs/>
                <w:color w:val="auto"/>
                <w:kern w:val="0"/>
                <w:sz w:val="24"/>
                <w:lang w:val="en-US" w:eastAsia="zh-CN"/>
              </w:rPr>
              <w:t>8</w:t>
            </w:r>
            <w:r>
              <w:rPr>
                <w:rFonts w:hAnsi="宋体"/>
                <w:b/>
                <w:bCs/>
                <w:color w:val="auto"/>
                <w:kern w:val="0"/>
                <w:sz w:val="24"/>
              </w:rPr>
              <w:t>现有项目环保手续履行情况汇总</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125"/>
              <w:gridCol w:w="2278"/>
              <w:gridCol w:w="1292"/>
              <w:gridCol w:w="1110"/>
              <w:gridCol w:w="1186"/>
            </w:tblGrid>
            <w:tr w14:paraId="1D83A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blHeader/>
              </w:trPr>
              <w:tc>
                <w:tcPr>
                  <w:tcW w:w="253" w:type="pct"/>
                  <w:noWrap w:val="0"/>
                  <w:vAlign w:val="center"/>
                </w:tcPr>
                <w:p w14:paraId="39CAD0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61" w:type="pct"/>
                  <w:noWrap w:val="0"/>
                  <w:vAlign w:val="center"/>
                </w:tcPr>
                <w:p w14:paraId="79105E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项目名称</w:t>
                  </w:r>
                </w:p>
              </w:tc>
              <w:tc>
                <w:tcPr>
                  <w:tcW w:w="1352" w:type="pct"/>
                  <w:noWrap w:val="0"/>
                  <w:vAlign w:val="center"/>
                </w:tcPr>
                <w:p w14:paraId="0B00A1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环评手续</w:t>
                  </w:r>
                </w:p>
              </w:tc>
              <w:tc>
                <w:tcPr>
                  <w:tcW w:w="767" w:type="pct"/>
                  <w:noWrap w:val="0"/>
                  <w:vAlign w:val="center"/>
                </w:tcPr>
                <w:p w14:paraId="2A99D2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批复产能</w:t>
                  </w:r>
                </w:p>
              </w:tc>
              <w:tc>
                <w:tcPr>
                  <w:tcW w:w="659" w:type="pct"/>
                  <w:noWrap w:val="0"/>
                  <w:vAlign w:val="center"/>
                </w:tcPr>
                <w:p w14:paraId="57874C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验收手续</w:t>
                  </w:r>
                </w:p>
              </w:tc>
              <w:tc>
                <w:tcPr>
                  <w:tcW w:w="704" w:type="pct"/>
                  <w:noWrap w:val="0"/>
                  <w:vAlign w:val="center"/>
                </w:tcPr>
                <w:p w14:paraId="3642B1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6FBC4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3" w:type="pct"/>
                  <w:noWrap w:val="0"/>
                  <w:vAlign w:val="center"/>
                </w:tcPr>
                <w:p w14:paraId="354F18B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1261" w:type="pct"/>
                  <w:noWrap w:val="0"/>
                  <w:vAlign w:val="center"/>
                </w:tcPr>
                <w:p w14:paraId="5D961F19">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江苏乐世食品有限公司食用菌及蔬菜等调味冷冻食品加工项目</w:t>
                  </w:r>
                </w:p>
              </w:tc>
              <w:tc>
                <w:tcPr>
                  <w:tcW w:w="1352" w:type="pct"/>
                  <w:noWrap w:val="0"/>
                  <w:vAlign w:val="center"/>
                </w:tcPr>
                <w:p w14:paraId="3973E889">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2021年9月10日取得淮安涟水生态环境局的批复意见（淮（涟）环表复</w:t>
                  </w:r>
                  <w:r>
                    <w:rPr>
                      <w:rFonts w:hint="eastAsia" w:cs="Times New Roman"/>
                      <w:b w:val="0"/>
                      <w:bCs/>
                      <w:color w:val="auto"/>
                      <w:sz w:val="21"/>
                      <w:szCs w:val="21"/>
                      <w:lang w:eastAsia="zh-CN"/>
                    </w:rPr>
                    <w:t>〔2021〕75号</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color w:val="auto"/>
                      <w:sz w:val="21"/>
                      <w:szCs w:val="21"/>
                      <w:lang w:val="en-US" w:eastAsia="zh-CN"/>
                    </w:rPr>
                    <w:t>）</w:t>
                  </w:r>
                </w:p>
              </w:tc>
              <w:tc>
                <w:tcPr>
                  <w:tcW w:w="767" w:type="pct"/>
                  <w:noWrap w:val="0"/>
                  <w:vAlign w:val="center"/>
                </w:tcPr>
                <w:p w14:paraId="1E0D0450">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b w:val="0"/>
                      <w:bCs/>
                      <w:color w:val="auto"/>
                      <w:sz w:val="21"/>
                      <w:szCs w:val="21"/>
                    </w:rPr>
                    <w:t>年产1万吨加工食用菌及蔬菜等调味冷冻食品</w:t>
                  </w:r>
                </w:p>
              </w:tc>
              <w:tc>
                <w:tcPr>
                  <w:tcW w:w="659" w:type="pct"/>
                  <w:noWrap w:val="0"/>
                  <w:vAlign w:val="center"/>
                </w:tcPr>
                <w:p w14:paraId="0838FBC5">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未验收</w:t>
                  </w:r>
                </w:p>
              </w:tc>
              <w:tc>
                <w:tcPr>
                  <w:tcW w:w="704" w:type="pct"/>
                  <w:noWrap w:val="0"/>
                  <w:vAlign w:val="center"/>
                </w:tcPr>
                <w:p w14:paraId="388D2314">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未建设</w:t>
                  </w:r>
                </w:p>
              </w:tc>
            </w:tr>
            <w:tr w14:paraId="61451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3" w:type="pct"/>
                  <w:noWrap w:val="0"/>
                  <w:vAlign w:val="center"/>
                </w:tcPr>
                <w:p w14:paraId="22B24D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1261" w:type="pct"/>
                  <w:noWrap w:val="0"/>
                  <w:vAlign w:val="center"/>
                </w:tcPr>
                <w:p w14:paraId="57D9183B">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江苏乐世食品有限公司年产1.5万吨预制凉菜智能制造（加工）项目、研发及检测中心建设项目</w:t>
                  </w:r>
                </w:p>
              </w:tc>
              <w:tc>
                <w:tcPr>
                  <w:tcW w:w="1352" w:type="pct"/>
                  <w:noWrap w:val="0"/>
                  <w:vAlign w:val="center"/>
                </w:tcPr>
                <w:p w14:paraId="5E331556">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color w:val="auto"/>
                      <w:sz w:val="21"/>
                      <w:szCs w:val="21"/>
                    </w:rPr>
                    <w:t>2022年4月13日取得淮安市生态环境局的环评批复（淮（涟）环表复〔2022〕24号</w:t>
                  </w:r>
                </w:p>
              </w:tc>
              <w:tc>
                <w:tcPr>
                  <w:tcW w:w="767" w:type="pct"/>
                  <w:noWrap w:val="0"/>
                  <w:vAlign w:val="center"/>
                </w:tcPr>
                <w:p w14:paraId="7FF3BD2D">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b w:val="0"/>
                      <w:bCs/>
                      <w:color w:val="auto"/>
                      <w:sz w:val="21"/>
                      <w:szCs w:val="21"/>
                    </w:rPr>
                    <w:t>年产1.5万吨预制凉菜智能制造（加工）项目</w:t>
                  </w:r>
                </w:p>
              </w:tc>
              <w:tc>
                <w:tcPr>
                  <w:tcW w:w="659" w:type="pct"/>
                  <w:noWrap w:val="0"/>
                  <w:vAlign w:val="center"/>
                </w:tcPr>
                <w:p w14:paraId="6346962F">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2025.5完成验收</w:t>
                  </w:r>
                </w:p>
              </w:tc>
              <w:tc>
                <w:tcPr>
                  <w:tcW w:w="704" w:type="pct"/>
                  <w:noWrap w:val="0"/>
                  <w:vAlign w:val="center"/>
                </w:tcPr>
                <w:p w14:paraId="6A3B2682">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F1D0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3" w:type="pct"/>
                  <w:noWrap w:val="0"/>
                  <w:vAlign w:val="center"/>
                </w:tcPr>
                <w:p w14:paraId="0B912FE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261" w:type="pct"/>
                  <w:noWrap w:val="0"/>
                  <w:vAlign w:val="center"/>
                </w:tcPr>
                <w:p w14:paraId="6A81DAC1">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val="0"/>
                      <w:color w:val="auto"/>
                      <w:sz w:val="21"/>
                      <w:szCs w:val="21"/>
                      <w:lang w:val="en-US" w:eastAsia="zh-CN"/>
                    </w:rPr>
                    <w:t>预制水产及肉类</w:t>
                  </w:r>
                  <w:r>
                    <w:rPr>
                      <w:rFonts w:hint="default" w:ascii="Times New Roman" w:hAnsi="Times New Roman" w:eastAsia="宋体" w:cs="Times New Roman"/>
                      <w:b w:val="0"/>
                      <w:bCs w:val="0"/>
                      <w:color w:val="auto"/>
                      <w:sz w:val="21"/>
                      <w:szCs w:val="21"/>
                    </w:rPr>
                    <w:t>智能制造建设项目</w:t>
                  </w:r>
                </w:p>
              </w:tc>
              <w:tc>
                <w:tcPr>
                  <w:tcW w:w="1352" w:type="pct"/>
                  <w:noWrap w:val="0"/>
                  <w:vAlign w:val="center"/>
                </w:tcPr>
                <w:p w14:paraId="03E41E82">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color w:val="auto"/>
                      <w:sz w:val="24"/>
                      <w:szCs w:val="24"/>
                    </w:rPr>
                    <w:t>2025年7月25日</w:t>
                  </w:r>
                  <w:r>
                    <w:rPr>
                      <w:rFonts w:hint="default" w:ascii="Times New Roman" w:hAnsi="Times New Roman" w:eastAsia="宋体" w:cs="Times New Roman"/>
                      <w:color w:val="auto"/>
                      <w:sz w:val="24"/>
                      <w:szCs w:val="24"/>
                      <w:shd w:val="clear" w:color="auto" w:fill="FFFFFF"/>
                    </w:rPr>
                    <w:t>取得淮安市生态环境局的环评批复（淮（涟）环表复〔202</w:t>
                  </w:r>
                  <w:r>
                    <w:rPr>
                      <w:rFonts w:hint="eastAsia" w:cs="Times New Roman"/>
                      <w:color w:val="auto"/>
                      <w:sz w:val="24"/>
                      <w:szCs w:val="24"/>
                      <w:shd w:val="clear" w:color="auto" w:fill="FFFFFF"/>
                      <w:lang w:val="en-US" w:eastAsia="zh-CN"/>
                    </w:rPr>
                    <w:t>5</w:t>
                  </w:r>
                  <w:r>
                    <w:rPr>
                      <w:rFonts w:hint="default" w:ascii="Times New Roman" w:hAnsi="Times New Roman" w:eastAsia="宋体" w:cs="Times New Roman"/>
                      <w:color w:val="auto"/>
                      <w:sz w:val="24"/>
                      <w:szCs w:val="24"/>
                      <w:shd w:val="clear" w:color="auto" w:fill="FFFFFF"/>
                    </w:rPr>
                    <w:t>〕</w:t>
                  </w:r>
                  <w:r>
                    <w:rPr>
                      <w:rFonts w:hint="eastAsia" w:cs="Times New Roman"/>
                      <w:color w:val="auto"/>
                      <w:sz w:val="24"/>
                      <w:szCs w:val="24"/>
                      <w:shd w:val="clear" w:color="auto" w:fill="FFFFFF"/>
                      <w:lang w:val="en-US" w:eastAsia="zh-CN"/>
                    </w:rPr>
                    <w:t>38</w:t>
                  </w:r>
                  <w:r>
                    <w:rPr>
                      <w:rFonts w:hint="default" w:ascii="Times New Roman" w:hAnsi="Times New Roman" w:eastAsia="宋体" w:cs="Times New Roman"/>
                      <w:color w:val="auto"/>
                      <w:sz w:val="24"/>
                      <w:szCs w:val="24"/>
                      <w:shd w:val="clear" w:color="auto" w:fill="FFFFFF"/>
                    </w:rPr>
                    <w:t>号）</w:t>
                  </w:r>
                </w:p>
              </w:tc>
              <w:tc>
                <w:tcPr>
                  <w:tcW w:w="767" w:type="pct"/>
                  <w:noWrap w:val="0"/>
                  <w:vAlign w:val="center"/>
                </w:tcPr>
                <w:p w14:paraId="50A4A772">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rPr>
                  </w:pPr>
                  <w:r>
                    <w:rPr>
                      <w:rFonts w:hint="eastAsia" w:cs="Times New Roman"/>
                      <w:b w:val="0"/>
                      <w:bCs w:val="0"/>
                      <w:color w:val="auto"/>
                      <w:sz w:val="21"/>
                      <w:szCs w:val="21"/>
                      <w:lang w:val="en-US" w:eastAsia="zh-CN"/>
                    </w:rPr>
                    <w:t>海珍味生产线3000</w:t>
                  </w:r>
                  <w:r>
                    <w:rPr>
                      <w:rFonts w:hint="default" w:ascii="Times New Roman" w:hAnsi="Times New Roman" w:eastAsia="宋体" w:cs="Times New Roman"/>
                      <w:b w:val="0"/>
                      <w:bCs/>
                      <w:color w:val="auto"/>
                      <w:sz w:val="21"/>
                      <w:szCs w:val="21"/>
                    </w:rPr>
                    <w:t>吨</w:t>
                  </w:r>
                  <w:r>
                    <w:rPr>
                      <w:rFonts w:hint="eastAsia" w:cs="Times New Roman"/>
                      <w:b w:val="0"/>
                      <w:bCs w:val="0"/>
                      <w:color w:val="auto"/>
                      <w:sz w:val="21"/>
                      <w:szCs w:val="21"/>
                      <w:lang w:val="en-US" w:eastAsia="zh-CN"/>
                    </w:rPr>
                    <w:t>、肉类加工生产线3000吨、干燥藻类</w:t>
                  </w:r>
                  <w:r>
                    <w:rPr>
                      <w:rFonts w:hint="eastAsia" w:ascii="Times New Roman" w:hAnsi="Times New Roman" w:eastAsia="宋体" w:cs="Times New Roman"/>
                      <w:b w:val="0"/>
                      <w:bCs w:val="0"/>
                      <w:color w:val="auto"/>
                      <w:sz w:val="21"/>
                      <w:szCs w:val="21"/>
                      <w:lang w:val="en-US" w:eastAsia="zh-CN"/>
                    </w:rPr>
                    <w:t>预制水产生产线</w:t>
                  </w:r>
                  <w:r>
                    <w:rPr>
                      <w:rFonts w:hint="eastAsia" w:cs="Times New Roman"/>
                      <w:b w:val="0"/>
                      <w:bCs w:val="0"/>
                      <w:color w:val="auto"/>
                      <w:sz w:val="21"/>
                      <w:szCs w:val="21"/>
                      <w:lang w:val="en-US" w:eastAsia="zh-CN"/>
                    </w:rPr>
                    <w:t>1000吨</w:t>
                  </w:r>
                </w:p>
              </w:tc>
              <w:tc>
                <w:tcPr>
                  <w:tcW w:w="1111" w:type="dxa"/>
                  <w:noWrap w:val="0"/>
                  <w:vAlign w:val="center"/>
                </w:tcPr>
                <w:p w14:paraId="132ADD4E">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未验收</w:t>
                  </w:r>
                </w:p>
              </w:tc>
              <w:tc>
                <w:tcPr>
                  <w:tcW w:w="1187" w:type="dxa"/>
                  <w:noWrap w:val="0"/>
                  <w:vAlign w:val="center"/>
                </w:tcPr>
                <w:p w14:paraId="05D34DEB">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未建设</w:t>
                  </w:r>
                </w:p>
              </w:tc>
            </w:tr>
          </w:tbl>
          <w:p w14:paraId="1A8E7069">
            <w:pPr>
              <w:autoSpaceDE w:val="0"/>
              <w:autoSpaceDN w:val="0"/>
              <w:adjustRightInd w:val="0"/>
              <w:snapToGrid w:val="0"/>
              <w:spacing w:before="120" w:beforeLines="50" w:line="360" w:lineRule="auto"/>
              <w:ind w:firstLine="482" w:firstLineChars="200"/>
              <w:rPr>
                <w:rFonts w:hAnsi="宋体"/>
                <w:b/>
                <w:color w:val="auto"/>
                <w:kern w:val="0"/>
                <w:sz w:val="24"/>
              </w:rPr>
            </w:pPr>
            <w:r>
              <w:rPr>
                <w:b/>
                <w:color w:val="auto"/>
                <w:kern w:val="0"/>
                <w:sz w:val="24"/>
              </w:rPr>
              <w:t>2.</w:t>
            </w:r>
            <w:r>
              <w:rPr>
                <w:rFonts w:hAnsi="宋体"/>
                <w:b/>
                <w:color w:val="auto"/>
                <w:kern w:val="0"/>
                <w:sz w:val="24"/>
              </w:rPr>
              <w:t>现有项目工艺流程及产污环节图</w:t>
            </w:r>
          </w:p>
          <w:p w14:paraId="62C93937">
            <w:pPr>
              <w:widowControl/>
              <w:adjustRightInd w:val="0"/>
              <w:snapToGrid w:val="0"/>
              <w:spacing w:line="360" w:lineRule="auto"/>
              <w:ind w:firstLine="420" w:firstLineChars="200"/>
              <w:jc w:val="center"/>
              <w:rPr>
                <w:color w:val="auto"/>
              </w:rPr>
            </w:pPr>
            <w:r>
              <w:rPr>
                <w:rFonts w:ascii="Times New Roman" w:hAnsi="Times New Roman" w:eastAsia="宋体" w:cs="Times New Roman"/>
                <w:color w:val="auto"/>
              </w:rPr>
              <w:object>
                <v:shape id="_x0000_i1029" o:spt="75" type="#_x0000_t75" style="height:523.25pt;width:310.6pt;" o:ole="t" filled="f" o:preferrelative="t" stroked="f" coordsize="21600,21600">
                  <v:path/>
                  <v:fill on="f" focussize="0,0"/>
                  <v:stroke on="f" joinstyle="miter"/>
                  <v:imagedata r:id="rId20" o:title=""/>
                  <o:lock v:ext="edit" aspectratio="t"/>
                  <w10:wrap type="none"/>
                  <w10:anchorlock/>
                </v:shape>
                <o:OLEObject Type="Embed" ProgID="Visio.Drawing.11" ShapeID="_x0000_i1029" DrawAspect="Content" ObjectID="_1468075729" r:id="rId19">
                  <o:LockedField>false</o:LockedField>
                </o:OLEObject>
              </w:object>
            </w:r>
          </w:p>
          <w:p w14:paraId="54EFA9DE">
            <w:pPr>
              <w:widowControl/>
              <w:adjustRightInd w:val="0"/>
              <w:snapToGrid w:val="0"/>
              <w:spacing w:line="360" w:lineRule="auto"/>
              <w:ind w:firstLine="482" w:firstLineChars="20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color w:val="auto"/>
                <w:sz w:val="24"/>
              </w:rPr>
              <w:t>图2-</w:t>
            </w:r>
            <w:r>
              <w:rPr>
                <w:rFonts w:hint="eastAsia" w:cs="Times New Roman"/>
                <w:b/>
                <w:color w:val="auto"/>
                <w:sz w:val="24"/>
                <w:lang w:val="en-US" w:eastAsia="zh-CN"/>
              </w:rPr>
              <w:t>6</w:t>
            </w:r>
            <w:r>
              <w:rPr>
                <w:rFonts w:hint="default" w:ascii="Times New Roman" w:hAnsi="Times New Roman" w:eastAsia="宋体" w:cs="Times New Roman"/>
                <w:b/>
                <w:color w:val="auto"/>
                <w:sz w:val="24"/>
              </w:rPr>
              <w:t>现有</w:t>
            </w:r>
            <w:r>
              <w:rPr>
                <w:rFonts w:hint="default" w:ascii="Times New Roman" w:hAnsi="Times New Roman" w:eastAsia="宋体" w:cs="Times New Roman"/>
                <w:b/>
                <w:color w:val="auto"/>
                <w:sz w:val="24"/>
                <w:lang w:eastAsia="zh-CN"/>
              </w:rPr>
              <w:t>项目</w:t>
            </w:r>
            <w:r>
              <w:rPr>
                <w:rFonts w:hint="default" w:ascii="Times New Roman" w:hAnsi="Times New Roman" w:eastAsia="宋体" w:cs="Times New Roman"/>
                <w:b/>
                <w:color w:val="auto"/>
                <w:sz w:val="24"/>
              </w:rPr>
              <w:t>工艺流程及产污环节图</w:t>
            </w:r>
          </w:p>
          <w:p w14:paraId="1821EBC6">
            <w:pPr>
              <w:widowControl/>
              <w:spacing w:line="360" w:lineRule="auto"/>
              <w:ind w:firstLine="482" w:firstLineChars="200"/>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现有项目工艺流程简述：</w:t>
            </w:r>
          </w:p>
          <w:p w14:paraId="3F99A45F">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消毒</w:t>
            </w:r>
          </w:p>
          <w:p w14:paraId="252AC039">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使用75%的酒精在生产厂房各入口处利用自动杀菌净手器（5L）对员工手部消毒；生产之前在生产区域对切段机、切片机、蒸煮机、脱水机等生产设备进行人工擦拭消毒；在杀菌间对工器具进行人工擦拭消毒。此过程会产生乙醇废气G4。</w:t>
            </w:r>
          </w:p>
          <w:p w14:paraId="26863730">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挑选</w:t>
            </w:r>
          </w:p>
          <w:p w14:paraId="3D38142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对购进的蔬菜鲜品（杏鲍菇、莲藕、</w:t>
            </w:r>
            <w:r>
              <w:rPr>
                <w:rFonts w:hint="eastAsia" w:ascii="Times New Roman" w:cs="Times New Roman"/>
                <w:color w:val="auto"/>
                <w:sz w:val="24"/>
                <w:lang w:eastAsia="zh-CN"/>
              </w:rPr>
              <w:t>芥蓝</w:t>
            </w:r>
            <w:r>
              <w:rPr>
                <w:rFonts w:hint="default" w:ascii="Times New Roman" w:hAnsi="Times New Roman" w:eastAsia="宋体" w:cs="Times New Roman"/>
                <w:color w:val="auto"/>
                <w:sz w:val="24"/>
              </w:rPr>
              <w:t>、黄豆）由人工进行挑选、去</w:t>
            </w:r>
            <w:r>
              <w:rPr>
                <w:rFonts w:hint="eastAsia" w:ascii="Times New Roman" w:cs="Times New Roman"/>
                <w:color w:val="auto"/>
                <w:sz w:val="24"/>
                <w:lang w:eastAsia="zh-CN"/>
              </w:rPr>
              <w:t>根</w:t>
            </w:r>
            <w:r>
              <w:rPr>
                <w:rFonts w:hint="default" w:ascii="Times New Roman" w:hAnsi="Times New Roman" w:eastAsia="宋体" w:cs="Times New Roman"/>
                <w:color w:val="auto"/>
                <w:sz w:val="24"/>
              </w:rPr>
              <w:t>去杂、把不合格的挑选出来。此过程会产生废蔬菜S1-1。</w:t>
            </w:r>
          </w:p>
          <w:p w14:paraId="5B0FD21D">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切断</w:t>
            </w:r>
          </w:p>
          <w:p w14:paraId="7F8D90C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利用切断机切断蔬菜，处理好的原料通过</w:t>
            </w:r>
            <w:r>
              <w:rPr>
                <w:rFonts w:hint="eastAsia" w:ascii="Times New Roman" w:cs="Times New Roman"/>
                <w:color w:val="auto"/>
                <w:sz w:val="24"/>
                <w:lang w:eastAsia="zh-CN"/>
              </w:rPr>
              <w:t>传送带</w:t>
            </w:r>
            <w:r>
              <w:rPr>
                <w:rFonts w:hint="default" w:ascii="Times New Roman" w:hAnsi="Times New Roman" w:eastAsia="宋体" w:cs="Times New Roman"/>
                <w:color w:val="auto"/>
                <w:sz w:val="24"/>
              </w:rPr>
              <w:t>输送至切件工序进一步加工。此过程会产生机械噪声N1-1。</w:t>
            </w:r>
          </w:p>
          <w:p w14:paraId="2B06303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清洗</w:t>
            </w:r>
          </w:p>
          <w:p w14:paraId="3A7D515C">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利用蔬菜清洗机，加入自来水清洗切断的蔬菜。此过程会产生清洗废水W1-1。</w:t>
            </w:r>
          </w:p>
          <w:p w14:paraId="2AB439C0">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5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蒸煮冷却</w:t>
            </w:r>
          </w:p>
          <w:p w14:paraId="4326FAB0">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将清洗好的蔬菜放入蒸煮机中，利用管道蒸汽加热至95℃的温度下蒸煮6分钟。此过程会产生蒸煮废水W1-2。蒸煮好的蔬菜冷却一段时间。</w:t>
            </w:r>
          </w:p>
          <w:p w14:paraId="0D099E7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6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⑥</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切片</w:t>
            </w:r>
          </w:p>
          <w:p w14:paraId="6BFF7B69">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利用切片机将冷却好的蔬菜切成片状。此过程会产生机械噪声N1-2。</w:t>
            </w:r>
          </w:p>
          <w:p w14:paraId="7A6F9999">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7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⑦</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脱水</w:t>
            </w:r>
          </w:p>
          <w:p w14:paraId="444B46A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利用脱水机将切成片状的蔬菜进行脱水。此过程会产生脱水废水W1-3和机械噪声N1-3。</w:t>
            </w:r>
          </w:p>
          <w:p w14:paraId="0602F0A6">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8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⑧</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调味搅拌</w:t>
            </w:r>
          </w:p>
          <w:p w14:paraId="524F038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自制辅料：利用人工将新鲜的葱、姜、蒜清洗切碎后，通过称量配料后，加入食盐、糖、香油、植物油使用蒸汽对夹层锅进行加热并炒制配料。炒制工序设置2个灶头。此过程会产生油烟废气G1、废辅料S1-2、清洗废水W1-4、机械噪声N1-4。</w:t>
            </w:r>
          </w:p>
          <w:p w14:paraId="7D63E69A">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将炒制好的辅料和切碎后的红绿辣椒加入脱水后的蔬菜，在搅拌锅中混合均匀。</w:t>
            </w:r>
          </w:p>
          <w:p w14:paraId="539F92B2">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9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⑨</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称量、袋装封口</w:t>
            </w:r>
          </w:p>
          <w:p w14:paraId="2612C80A">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将混合后的调味蔬菜称量后包装成袋、利用封口机密封封口，并使用食品真空包装机将封口的调味蔬菜抽成真空。</w:t>
            </w:r>
          </w:p>
          <w:p w14:paraId="7717FF9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⑩金属探测</w:t>
            </w:r>
          </w:p>
          <w:p w14:paraId="34143F5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利用金属探测仪检测是否含铁及不锈钢。如检测到金属，挑选出异物后的产品回到生产线再利用。</w:t>
            </w:r>
          </w:p>
          <w:p w14:paraId="7DCEFEB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eq \o\ac(○,</w:instrText>
            </w:r>
            <w:r>
              <w:rPr>
                <w:rFonts w:hint="default" w:ascii="Times New Roman" w:hAnsi="Times New Roman" w:eastAsia="宋体" w:cs="Times New Roman"/>
                <w:color w:val="auto"/>
                <w:position w:val="3"/>
                <w:sz w:val="16"/>
              </w:rPr>
              <w:instrText xml:space="preserve">11</w:instrText>
            </w:r>
            <w:r>
              <w:rPr>
                <w:rFonts w:hint="default" w:ascii="Times New Roman" w:hAnsi="Times New Roman" w:eastAsia="宋体" w:cs="Times New Roman"/>
                <w:color w:val="auto"/>
                <w:sz w:val="24"/>
              </w:rPr>
              <w:instrText xml:space="preserve">)</w:instrTex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巴氏杀菌、速冻入库</w:t>
            </w:r>
          </w:p>
          <w:p w14:paraId="5F94BDF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使用杀菌机，利用蒸汽加热到75℃，采用巴氏杀菌，杀菌30分钟。杀菌后的产品，进入速冻间利用速冻机速冻4h小时以上，将速冻后的产品用纸箱包装后进入冷冻库房待发货。</w:t>
            </w:r>
          </w:p>
          <w:p w14:paraId="5CFAE5D2">
            <w:pPr>
              <w:pStyle w:val="45"/>
              <w:spacing w:before="24" w:after="24" w:line="360" w:lineRule="auto"/>
              <w:ind w:firstLine="482"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（2）食用菌冷冻品生产工艺</w:t>
            </w:r>
          </w:p>
          <w:p w14:paraId="0E58C9C6">
            <w:pPr>
              <w:pStyle w:val="45"/>
              <w:spacing w:beforeLines="0" w:afterLines="0"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0" o:spt="75" type="#_x0000_t75" style="height:410.25pt;width:318.15pt;" o:ole="t" filled="f" o:preferrelative="t" stroked="f" coordsize="21600,21600">
                  <v:path/>
                  <v:fill on="f" focussize="0,0"/>
                  <v:stroke on="f" joinstyle="miter"/>
                  <v:imagedata r:id="rId22" o:title=""/>
                  <o:lock v:ext="edit" aspectratio="t"/>
                  <w10:wrap type="none"/>
                  <w10:anchorlock/>
                </v:shape>
                <o:OLEObject Type="Embed" ProgID="Visio.Drawing.11" ShapeID="_x0000_i1030" DrawAspect="Content" ObjectID="_1468075730" r:id="rId21">
                  <o:LockedField>false</o:LockedField>
                </o:OLEObject>
              </w:object>
            </w:r>
          </w:p>
          <w:p w14:paraId="3728E318">
            <w:pPr>
              <w:pStyle w:val="45"/>
              <w:spacing w:beforeLines="0" w:afterLines="0" w:line="24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图2-</w:t>
            </w:r>
            <w:r>
              <w:rPr>
                <w:rFonts w:hint="eastAsia" w:ascii="Times New Roman" w:cs="Times New Roman"/>
                <w:b/>
                <w:color w:val="auto"/>
                <w:sz w:val="24"/>
                <w:lang w:val="en-US" w:eastAsia="zh-CN"/>
              </w:rPr>
              <w:t>7</w:t>
            </w:r>
            <w:r>
              <w:rPr>
                <w:rFonts w:hint="default" w:ascii="Times New Roman" w:hAnsi="Times New Roman" w:eastAsia="宋体" w:cs="Times New Roman"/>
                <w:b/>
                <w:color w:val="auto"/>
                <w:sz w:val="24"/>
              </w:rPr>
              <w:t xml:space="preserve">  食用菌冷冻品生产工艺流程及产污环节图</w:t>
            </w:r>
          </w:p>
          <w:p w14:paraId="63EABAC6">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消毒</w:t>
            </w:r>
          </w:p>
          <w:p w14:paraId="2B59335A">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使用75%的酒精在生产厂房各入口处利用自动杀菌净手器（5L）对员工手部消毒；生产之前在生产区域对切段机、切片机、蒸煮机、脱水机等生产设备进行人工擦拭消毒；在杀菌间对工器具进行人工擦拭消毒。此过程会产生乙醇废气G5。</w:t>
            </w:r>
          </w:p>
          <w:p w14:paraId="544A2805">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挑选</w:t>
            </w:r>
          </w:p>
          <w:p w14:paraId="308F2902">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对购进的食用菌鲜品（金针菇、双孢菇、蟹味菇）由人工进行挑选、去</w:t>
            </w:r>
            <w:r>
              <w:rPr>
                <w:rFonts w:hint="eastAsia" w:ascii="Times New Roman" w:cs="Times New Roman"/>
                <w:color w:val="auto"/>
                <w:sz w:val="24"/>
                <w:lang w:eastAsia="zh-CN"/>
              </w:rPr>
              <w:t>根</w:t>
            </w:r>
            <w:r>
              <w:rPr>
                <w:rFonts w:hint="default" w:ascii="Times New Roman" w:hAnsi="Times New Roman" w:eastAsia="宋体" w:cs="Times New Roman"/>
                <w:color w:val="auto"/>
                <w:sz w:val="24"/>
              </w:rPr>
              <w:t>去杂、把不合格的挑选出来。此过程会产生废食用菌S2-1。</w:t>
            </w:r>
          </w:p>
          <w:p w14:paraId="36027289">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清洗</w:t>
            </w:r>
          </w:p>
          <w:p w14:paraId="4ACEAEBC">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利用清洗机，加入自来水清洗食用菌。此过程会产生清洗废水W2-1。</w:t>
            </w:r>
          </w:p>
          <w:p w14:paraId="78F9E2A2">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蒸煮冷却</w:t>
            </w:r>
          </w:p>
          <w:p w14:paraId="02F5CF3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将清洗好的食用菌放入蒸煮机中，利用管道蒸汽加热至95℃的温度下蒸煮6分钟。此过程会产生蒸煮废水W2-2。蒸煮好的蔬菜冷却一段时间。</w:t>
            </w:r>
          </w:p>
          <w:p w14:paraId="7635E16C">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5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脱水</w:t>
            </w:r>
          </w:p>
          <w:p w14:paraId="3DB21934">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利用脱水机将冷却后的食用菌脱水。此过程会产生脱水废水W2-3和机械噪声N2。</w:t>
            </w:r>
          </w:p>
          <w:p w14:paraId="0F6524AA">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6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⑥</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速冻</w:t>
            </w:r>
          </w:p>
          <w:p w14:paraId="578D241D">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进入速冻间利用速冻机（液氨制冷）速冻15min。</w:t>
            </w:r>
          </w:p>
          <w:p w14:paraId="7EB20F60">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7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⑦</w:t>
            </w:r>
            <w:r>
              <w:rPr>
                <w:rFonts w:hint="eastAsia" w:ascii="Times New Roman" w:cs="Times New Roman"/>
                <w:color w:val="auto"/>
                <w:sz w:val="24"/>
                <w:lang w:eastAsia="zh-CN"/>
              </w:rPr>
              <w:t>秤量</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、袋装封口</w:t>
            </w:r>
          </w:p>
          <w:p w14:paraId="072C413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将速冻后的食用菌称量后包装成袋、利用封口机密封封口，并使用食品真空包装机将封口的冷冻食用菌抽成真空。</w:t>
            </w:r>
          </w:p>
          <w:p w14:paraId="7E45BCB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8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⑧</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金属探测</w:t>
            </w:r>
          </w:p>
          <w:p w14:paraId="37700230">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利用金属探测仪检测是否含铁及不锈钢。如检测到金属，挑选出异物后的产品回到生产线再利用。</w:t>
            </w:r>
          </w:p>
          <w:p w14:paraId="59A63664">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9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⑨</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包装入库</w:t>
            </w:r>
          </w:p>
          <w:p w14:paraId="44201120">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利用纸箱将金属探测后的产品包装后进入冷冻库房待发货。</w:t>
            </w:r>
          </w:p>
          <w:p w14:paraId="2D065696">
            <w:pPr>
              <w:pStyle w:val="40"/>
              <w:numPr>
                <w:ilvl w:val="0"/>
                <w:numId w:val="5"/>
              </w:numPr>
              <w:spacing w:line="360" w:lineRule="auto"/>
              <w:ind w:firstLine="482"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现有项目污染物产生、治理及达标排放情况</w:t>
            </w:r>
          </w:p>
          <w:p w14:paraId="6C362A8E">
            <w:pPr>
              <w:pStyle w:val="45"/>
              <w:spacing w:beforeLines="0" w:afterLines="0"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本章节</w:t>
            </w:r>
            <w:r>
              <w:rPr>
                <w:rFonts w:hint="eastAsia" w:ascii="Times New Roman" w:hAnsi="Times New Roman" w:eastAsia="宋体" w:cs="Times New Roman"/>
                <w:color w:val="auto"/>
                <w:sz w:val="24"/>
                <w:lang w:val="en-US" w:eastAsia="zh-CN"/>
              </w:rPr>
              <w:t>现有项目</w:t>
            </w:r>
            <w:r>
              <w:rPr>
                <w:rFonts w:hint="default" w:ascii="Times New Roman" w:hAnsi="Times New Roman" w:eastAsia="宋体" w:cs="Times New Roman"/>
                <w:color w:val="auto"/>
                <w:sz w:val="24"/>
              </w:rPr>
              <w:t>污染物产生、治理及达标排放情况</w:t>
            </w:r>
            <w:r>
              <w:rPr>
                <w:rFonts w:hint="eastAsia" w:ascii="Times New Roman" w:hAnsi="Times New Roman" w:eastAsia="宋体" w:cs="Times New Roman"/>
                <w:color w:val="auto"/>
                <w:sz w:val="24"/>
                <w:lang w:eastAsia="zh-CN"/>
              </w:rPr>
              <w:t>只针对一期</w:t>
            </w:r>
            <w:r>
              <w:rPr>
                <w:rFonts w:hint="default" w:ascii="Times New Roman" w:hAnsi="Times New Roman" w:eastAsia="宋体" w:cs="Times New Roman"/>
                <w:color w:val="auto"/>
                <w:sz w:val="24"/>
                <w:lang w:eastAsia="zh-CN"/>
              </w:rPr>
              <w:t>年产1.5万吨预</w:t>
            </w:r>
            <w:r>
              <w:rPr>
                <w:rFonts w:hint="default" w:ascii="Times New Roman" w:hAnsi="Times New Roman" w:eastAsia="宋体" w:cs="Times New Roman"/>
                <w:color w:val="auto"/>
                <w:sz w:val="24"/>
              </w:rPr>
              <w:t>制凉菜智能制造（加工）项目、研发及检测中心建设项目</w:t>
            </w:r>
            <w:r>
              <w:rPr>
                <w:rFonts w:hint="eastAsia" w:ascii="Times New Roman" w:hAnsi="Times New Roman" w:eastAsia="宋体" w:cs="Times New Roman"/>
                <w:color w:val="auto"/>
                <w:sz w:val="24"/>
                <w:lang w:eastAsia="zh-CN"/>
              </w:rPr>
              <w:t>，不包含二期</w:t>
            </w:r>
            <w:r>
              <w:rPr>
                <w:rFonts w:hint="default" w:ascii="Times New Roman" w:hAnsi="Times New Roman" w:eastAsia="宋体" w:cs="Times New Roman"/>
                <w:color w:val="auto"/>
                <w:sz w:val="24"/>
              </w:rPr>
              <w:t>年产</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000吨预制水产及肉类智能制造建设项目</w:t>
            </w:r>
            <w:r>
              <w:rPr>
                <w:rFonts w:hint="eastAsia" w:ascii="Times New Roman" w:hAnsi="Times New Roman" w:eastAsia="宋体" w:cs="Times New Roman"/>
                <w:color w:val="auto"/>
                <w:sz w:val="24"/>
                <w:lang w:eastAsia="zh-CN"/>
              </w:rPr>
              <w:t>，二期项目未建设。</w:t>
            </w:r>
          </w:p>
          <w:p w14:paraId="4400A4FE">
            <w:pPr>
              <w:pStyle w:val="40"/>
              <w:numPr>
                <w:ilvl w:val="0"/>
                <w:numId w:val="6"/>
              </w:numPr>
              <w:spacing w:line="360" w:lineRule="auto"/>
              <w:ind w:firstLineChars="0"/>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废水</w:t>
            </w:r>
          </w:p>
          <w:p w14:paraId="4C45C691">
            <w:pPr>
              <w:spacing w:line="360" w:lineRule="auto"/>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现有项目污水主要为</w:t>
            </w:r>
            <w:r>
              <w:rPr>
                <w:rFonts w:hint="eastAsia" w:cs="Times New Roman"/>
                <w:color w:val="auto"/>
                <w:sz w:val="24"/>
                <w:lang w:eastAsia="zh-CN"/>
              </w:rPr>
              <w:t>生活污水</w:t>
            </w:r>
            <w:r>
              <w:rPr>
                <w:rFonts w:hint="default" w:ascii="Times New Roman" w:hAnsi="Times New Roman" w:eastAsia="宋体" w:cs="Times New Roman"/>
                <w:color w:val="auto"/>
                <w:sz w:val="24"/>
                <w:szCs w:val="24"/>
              </w:rPr>
              <w:t>、食堂废水、生产用水、设备清洗废水、生产车间地面清洁废水、化验室废水</w:t>
            </w:r>
            <w:r>
              <w:rPr>
                <w:rFonts w:hint="eastAsia" w:cs="Times New Roman"/>
                <w:color w:val="auto"/>
                <w:sz w:val="24"/>
                <w:szCs w:val="24"/>
                <w:lang w:eastAsia="zh-CN"/>
              </w:rPr>
              <w:t>。污水站</w:t>
            </w:r>
            <w:r>
              <w:rPr>
                <w:rFonts w:hint="eastAsia" w:ascii="Times New Roman" w:hAnsi="Times New Roman" w:eastAsia="宋体" w:cs="Times New Roman"/>
                <w:color w:val="auto"/>
                <w:sz w:val="24"/>
                <w:lang w:eastAsia="zh-CN"/>
              </w:rPr>
              <w:t>主要的处理工艺：</w:t>
            </w:r>
            <w:r>
              <w:rPr>
                <w:rFonts w:hint="default" w:ascii="Times New Roman" w:hAnsi="Times New Roman" w:eastAsia="宋体" w:cs="Times New Roman"/>
                <w:color w:val="auto"/>
                <w:sz w:val="24"/>
              </w:rPr>
              <w:t>格栅+折流式沉淀池+调节池+混凝气浮池+水解酸化池+接触氧化池+二沉池</w:t>
            </w:r>
            <w:r>
              <w:rPr>
                <w:rFonts w:hint="eastAsia" w:cs="Times New Roman"/>
                <w:color w:val="auto"/>
                <w:sz w:val="24"/>
                <w:lang w:eastAsia="zh-CN"/>
              </w:rPr>
              <w:t>。</w:t>
            </w:r>
          </w:p>
          <w:p w14:paraId="1E37077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根据2024年10月23日委托</w:t>
            </w:r>
            <w:r>
              <w:rPr>
                <w:rFonts w:hint="default" w:ascii="Times New Roman" w:hAnsi="Times New Roman" w:eastAsia="宋体" w:cs="Times New Roman"/>
                <w:color w:val="auto"/>
                <w:sz w:val="24"/>
                <w:szCs w:val="24"/>
              </w:rPr>
              <w:t>南京万全检测技术有限公司</w:t>
            </w:r>
            <w:r>
              <w:rPr>
                <w:rFonts w:hint="default" w:ascii="Times New Roman" w:hAnsi="Times New Roman" w:eastAsia="宋体" w:cs="Times New Roman"/>
                <w:color w:val="auto"/>
                <w:sz w:val="24"/>
                <w:lang w:val="en-US" w:eastAsia="zh-CN"/>
              </w:rPr>
              <w:t>对废水验收</w:t>
            </w:r>
            <w:r>
              <w:rPr>
                <w:rFonts w:hint="eastAsia" w:cs="Times New Roman"/>
                <w:color w:val="auto"/>
                <w:sz w:val="24"/>
                <w:lang w:val="en-US" w:eastAsia="zh-CN"/>
              </w:rPr>
              <w:t>检测</w:t>
            </w:r>
            <w:r>
              <w:rPr>
                <w:rFonts w:hint="default" w:ascii="Times New Roman" w:hAnsi="Times New Roman" w:eastAsia="宋体" w:cs="Times New Roman"/>
                <w:color w:val="auto"/>
                <w:sz w:val="24"/>
                <w:lang w:val="en-US" w:eastAsia="zh-CN"/>
              </w:rPr>
              <w:t>，报告编号：H250317</w:t>
            </w:r>
            <w:r>
              <w:rPr>
                <w:rFonts w:hint="default" w:ascii="Times New Roman" w:hAnsi="Times New Roman" w:eastAsia="宋体" w:cs="Times New Roman"/>
                <w:color w:val="auto"/>
                <w:sz w:val="24"/>
                <w:szCs w:val="24"/>
              </w:rPr>
              <w:t>NVTT-2024-Y0312</w:t>
            </w:r>
            <w:r>
              <w:rPr>
                <w:rFonts w:hint="default" w:ascii="Times New Roman" w:hAnsi="Times New Roman" w:eastAsia="宋体" w:cs="Times New Roman"/>
                <w:color w:val="auto"/>
                <w:sz w:val="24"/>
                <w:lang w:val="en-US" w:eastAsia="zh-CN"/>
              </w:rPr>
              <w:t>，各类污染物浓度可满足涟水经济开发区污水处理厂接管标准。具体监测数据见下表。</w:t>
            </w:r>
          </w:p>
          <w:p w14:paraId="517A434E">
            <w:pPr>
              <w:pStyle w:val="2"/>
              <w:keepNext w:val="0"/>
              <w:keepLines w:val="0"/>
              <w:pageBreakBefore w:val="0"/>
              <w:widowControl w:val="0"/>
              <w:kinsoku/>
              <w:wordWrap/>
              <w:overflowPunct/>
              <w:topLinePunct w:val="0"/>
              <w:autoSpaceDE/>
              <w:autoSpaceDN/>
              <w:bidi w:val="0"/>
              <w:adjustRightInd/>
              <w:snapToGrid/>
              <w:spacing w:after="0"/>
              <w:ind w:left="0" w:leftChars="0" w:firstLine="482"/>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现有项目废水验收监测结果</w:t>
            </w:r>
          </w:p>
          <w:tbl>
            <w:tblPr>
              <w:tblStyle w:val="32"/>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0"/>
              <w:gridCol w:w="1013"/>
              <w:gridCol w:w="1658"/>
              <w:gridCol w:w="829"/>
              <w:gridCol w:w="696"/>
              <w:gridCol w:w="696"/>
              <w:gridCol w:w="562"/>
              <w:gridCol w:w="735"/>
              <w:gridCol w:w="432"/>
              <w:gridCol w:w="850"/>
            </w:tblGrid>
            <w:tr w14:paraId="764E76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restart"/>
                  <w:shd w:val="clear" w:color="auto" w:fill="auto"/>
                  <w:vAlign w:val="center"/>
                </w:tcPr>
                <w:p w14:paraId="32A55B59">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w:t>
                  </w:r>
                </w:p>
              </w:tc>
              <w:tc>
                <w:tcPr>
                  <w:tcW w:w="1060" w:type="dxa"/>
                  <w:vMerge w:val="restart"/>
                  <w:shd w:val="clear" w:color="auto" w:fill="auto"/>
                  <w:vAlign w:val="center"/>
                </w:tcPr>
                <w:p w14:paraId="757C3A4D">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采样点位</w:t>
                  </w:r>
                </w:p>
              </w:tc>
              <w:tc>
                <w:tcPr>
                  <w:tcW w:w="1701" w:type="dxa"/>
                  <w:vMerge w:val="restart"/>
                  <w:shd w:val="clear" w:color="auto" w:fill="auto"/>
                  <w:vAlign w:val="center"/>
                </w:tcPr>
                <w:p w14:paraId="102DF9D8">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3570" w:type="dxa"/>
                  <w:gridSpan w:val="5"/>
                  <w:shd w:val="clear" w:color="auto" w:fill="auto"/>
                  <w:vAlign w:val="center"/>
                </w:tcPr>
                <w:p w14:paraId="48F1605A">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检测结果</w:t>
                  </w:r>
                </w:p>
              </w:tc>
              <w:tc>
                <w:tcPr>
                  <w:tcW w:w="432" w:type="dxa"/>
                  <w:vMerge w:val="restart"/>
                  <w:shd w:val="clear" w:color="auto" w:fill="auto"/>
                  <w:noWrap/>
                  <w:vAlign w:val="center"/>
                </w:tcPr>
                <w:p w14:paraId="253FD9B1">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w:t>
                  </w:r>
                </w:p>
              </w:tc>
              <w:tc>
                <w:tcPr>
                  <w:tcW w:w="849" w:type="dxa"/>
                  <w:vMerge w:val="restart"/>
                  <w:shd w:val="clear" w:color="auto" w:fill="auto"/>
                  <w:noWrap/>
                  <w:vAlign w:val="center"/>
                </w:tcPr>
                <w:p w14:paraId="61B94D80">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747306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7FA70B67">
                  <w:pPr>
                    <w:adjustRightInd/>
                    <w:snapToGrid/>
                    <w:spacing w:after="0"/>
                    <w:rPr>
                      <w:rFonts w:hint="default" w:ascii="Times New Roman" w:hAnsi="Times New Roman" w:eastAsia="宋体" w:cs="Times New Roman"/>
                      <w:b/>
                      <w:bCs/>
                      <w:color w:val="auto"/>
                      <w:sz w:val="21"/>
                      <w:szCs w:val="21"/>
                    </w:rPr>
                  </w:pPr>
                </w:p>
              </w:tc>
              <w:tc>
                <w:tcPr>
                  <w:tcW w:w="1060" w:type="dxa"/>
                  <w:vMerge w:val="continue"/>
                  <w:vAlign w:val="center"/>
                </w:tcPr>
                <w:p w14:paraId="411336EC">
                  <w:pPr>
                    <w:adjustRightInd/>
                    <w:snapToGrid/>
                    <w:spacing w:after="0"/>
                    <w:rPr>
                      <w:rFonts w:hint="default" w:ascii="Times New Roman" w:hAnsi="Times New Roman" w:eastAsia="宋体" w:cs="Times New Roman"/>
                      <w:b/>
                      <w:bCs/>
                      <w:color w:val="auto"/>
                      <w:sz w:val="21"/>
                      <w:szCs w:val="21"/>
                    </w:rPr>
                  </w:pPr>
                </w:p>
              </w:tc>
              <w:tc>
                <w:tcPr>
                  <w:tcW w:w="1701" w:type="dxa"/>
                  <w:vMerge w:val="continue"/>
                  <w:vAlign w:val="center"/>
                </w:tcPr>
                <w:p w14:paraId="5137DFA4">
                  <w:pPr>
                    <w:adjustRightInd/>
                    <w:snapToGrid/>
                    <w:spacing w:after="0"/>
                    <w:rPr>
                      <w:rFonts w:hint="default" w:ascii="Times New Roman" w:hAnsi="Times New Roman" w:eastAsia="宋体" w:cs="Times New Roman"/>
                      <w:b/>
                      <w:bCs/>
                      <w:color w:val="auto"/>
                      <w:sz w:val="21"/>
                      <w:szCs w:val="21"/>
                    </w:rPr>
                  </w:pPr>
                </w:p>
              </w:tc>
              <w:tc>
                <w:tcPr>
                  <w:tcW w:w="850" w:type="dxa"/>
                  <w:shd w:val="clear" w:color="auto" w:fill="auto"/>
                  <w:vAlign w:val="center"/>
                </w:tcPr>
                <w:p w14:paraId="578A135C">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709" w:type="dxa"/>
                  <w:shd w:val="clear" w:color="auto" w:fill="auto"/>
                  <w:vAlign w:val="center"/>
                </w:tcPr>
                <w:p w14:paraId="0BEC5A13">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709" w:type="dxa"/>
                  <w:shd w:val="clear" w:color="auto" w:fill="auto"/>
                  <w:vAlign w:val="center"/>
                </w:tcPr>
                <w:p w14:paraId="56C0A394">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567" w:type="dxa"/>
                  <w:shd w:val="clear" w:color="auto" w:fill="auto"/>
                  <w:vAlign w:val="center"/>
                </w:tcPr>
                <w:p w14:paraId="1A05D117">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735" w:type="dxa"/>
                  <w:shd w:val="clear" w:color="auto" w:fill="auto"/>
                  <w:noWrap/>
                  <w:vAlign w:val="center"/>
                </w:tcPr>
                <w:p w14:paraId="2AAC8B4B">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均值</w:t>
                  </w:r>
                </w:p>
              </w:tc>
              <w:tc>
                <w:tcPr>
                  <w:tcW w:w="432" w:type="dxa"/>
                  <w:vMerge w:val="continue"/>
                  <w:vAlign w:val="center"/>
                </w:tcPr>
                <w:p w14:paraId="63DF4A34">
                  <w:pPr>
                    <w:adjustRightInd/>
                    <w:snapToGrid/>
                    <w:spacing w:after="0"/>
                    <w:rPr>
                      <w:rFonts w:hint="default" w:ascii="Times New Roman" w:hAnsi="Times New Roman" w:eastAsia="宋体" w:cs="Times New Roman"/>
                      <w:b/>
                      <w:bCs/>
                      <w:color w:val="auto"/>
                      <w:sz w:val="21"/>
                      <w:szCs w:val="21"/>
                    </w:rPr>
                  </w:pPr>
                </w:p>
              </w:tc>
              <w:tc>
                <w:tcPr>
                  <w:tcW w:w="849" w:type="dxa"/>
                  <w:vMerge w:val="continue"/>
                  <w:vAlign w:val="center"/>
                </w:tcPr>
                <w:p w14:paraId="586E468F">
                  <w:pPr>
                    <w:adjustRightInd/>
                    <w:snapToGrid/>
                    <w:spacing w:after="0"/>
                    <w:rPr>
                      <w:rFonts w:hint="default" w:ascii="Times New Roman" w:hAnsi="Times New Roman" w:eastAsia="宋体" w:cs="Times New Roman"/>
                      <w:b/>
                      <w:bCs/>
                      <w:color w:val="auto"/>
                      <w:sz w:val="21"/>
                      <w:szCs w:val="21"/>
                    </w:rPr>
                  </w:pPr>
                </w:p>
              </w:tc>
            </w:tr>
            <w:tr w14:paraId="3B868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restart"/>
                  <w:shd w:val="clear" w:color="auto" w:fill="auto"/>
                  <w:vAlign w:val="center"/>
                </w:tcPr>
                <w:p w14:paraId="05F62BD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1060" w:type="dxa"/>
                  <w:vMerge w:val="restart"/>
                  <w:shd w:val="clear" w:color="auto" w:fill="auto"/>
                  <w:vAlign w:val="center"/>
                </w:tcPr>
                <w:p w14:paraId="72DE5AD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污水处理站总排口</w:t>
                  </w:r>
                </w:p>
              </w:tc>
              <w:tc>
                <w:tcPr>
                  <w:tcW w:w="1701" w:type="dxa"/>
                  <w:shd w:val="clear" w:color="auto" w:fill="auto"/>
                  <w:vAlign w:val="center"/>
                </w:tcPr>
                <w:p w14:paraId="127178A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pH值（无量纲）</w:t>
                  </w:r>
                </w:p>
              </w:tc>
              <w:tc>
                <w:tcPr>
                  <w:tcW w:w="850" w:type="dxa"/>
                  <w:shd w:val="clear" w:color="auto" w:fill="auto"/>
                  <w:vAlign w:val="center"/>
                </w:tcPr>
                <w:p w14:paraId="780FA1D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w:t>
                  </w:r>
                </w:p>
              </w:tc>
              <w:tc>
                <w:tcPr>
                  <w:tcW w:w="709" w:type="dxa"/>
                  <w:shd w:val="clear" w:color="auto" w:fill="auto"/>
                  <w:vAlign w:val="center"/>
                </w:tcPr>
                <w:p w14:paraId="76DD083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09" w:type="dxa"/>
                  <w:shd w:val="clear" w:color="auto" w:fill="auto"/>
                  <w:vAlign w:val="center"/>
                </w:tcPr>
                <w:p w14:paraId="049176A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567" w:type="dxa"/>
                  <w:shd w:val="clear" w:color="auto" w:fill="auto"/>
                  <w:vAlign w:val="center"/>
                </w:tcPr>
                <w:p w14:paraId="52AEB23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35" w:type="dxa"/>
                  <w:shd w:val="clear" w:color="auto" w:fill="auto"/>
                  <w:noWrap/>
                  <w:vAlign w:val="center"/>
                </w:tcPr>
                <w:p w14:paraId="5D48182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7.375</w:t>
                  </w:r>
                </w:p>
              </w:tc>
              <w:tc>
                <w:tcPr>
                  <w:tcW w:w="432" w:type="dxa"/>
                  <w:shd w:val="clear" w:color="auto" w:fill="auto"/>
                  <w:noWrap/>
                  <w:vAlign w:val="center"/>
                </w:tcPr>
                <w:p w14:paraId="1F77F8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849" w:type="dxa"/>
                  <w:shd w:val="clear" w:color="auto" w:fill="auto"/>
                  <w:noWrap/>
                  <w:vAlign w:val="center"/>
                </w:tcPr>
                <w:p w14:paraId="2086D7E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D1842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447B8934">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252B5495">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7410DB5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850" w:type="dxa"/>
                  <w:shd w:val="clear" w:color="auto" w:fill="auto"/>
                  <w:vAlign w:val="center"/>
                </w:tcPr>
                <w:p w14:paraId="3205F9E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709" w:type="dxa"/>
                  <w:shd w:val="clear" w:color="auto" w:fill="auto"/>
                  <w:vAlign w:val="center"/>
                </w:tcPr>
                <w:p w14:paraId="4FC9092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09" w:type="dxa"/>
                  <w:shd w:val="clear" w:color="auto" w:fill="auto"/>
                  <w:vAlign w:val="center"/>
                </w:tcPr>
                <w:p w14:paraId="645AEEF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567" w:type="dxa"/>
                  <w:shd w:val="clear" w:color="auto" w:fill="auto"/>
                  <w:vAlign w:val="center"/>
                </w:tcPr>
                <w:p w14:paraId="66A3E0B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735" w:type="dxa"/>
                  <w:shd w:val="clear" w:color="auto" w:fill="auto"/>
                  <w:noWrap/>
                  <w:vAlign w:val="center"/>
                </w:tcPr>
                <w:p w14:paraId="79A11A6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w:t>
                  </w:r>
                </w:p>
              </w:tc>
              <w:tc>
                <w:tcPr>
                  <w:tcW w:w="432" w:type="dxa"/>
                  <w:shd w:val="clear" w:color="auto" w:fill="auto"/>
                  <w:vAlign w:val="center"/>
                </w:tcPr>
                <w:p w14:paraId="4BFD48A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849" w:type="dxa"/>
                  <w:shd w:val="clear" w:color="auto" w:fill="auto"/>
                  <w:noWrap/>
                  <w:vAlign w:val="center"/>
                </w:tcPr>
                <w:p w14:paraId="4A874CE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D6F96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5AAF6754">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3D9AB094">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69CEF6A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w:t>
                  </w:r>
                </w:p>
              </w:tc>
              <w:tc>
                <w:tcPr>
                  <w:tcW w:w="850" w:type="dxa"/>
                  <w:shd w:val="clear" w:color="auto" w:fill="auto"/>
                  <w:vAlign w:val="center"/>
                </w:tcPr>
                <w:p w14:paraId="2D88960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709" w:type="dxa"/>
                  <w:shd w:val="clear" w:color="auto" w:fill="auto"/>
                  <w:vAlign w:val="center"/>
                </w:tcPr>
                <w:p w14:paraId="293B914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709" w:type="dxa"/>
                  <w:shd w:val="clear" w:color="auto" w:fill="auto"/>
                  <w:vAlign w:val="center"/>
                </w:tcPr>
                <w:p w14:paraId="617095D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567" w:type="dxa"/>
                  <w:shd w:val="clear" w:color="auto" w:fill="auto"/>
                  <w:vAlign w:val="center"/>
                </w:tcPr>
                <w:p w14:paraId="10CAD82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735" w:type="dxa"/>
                  <w:shd w:val="clear" w:color="auto" w:fill="auto"/>
                  <w:noWrap/>
                  <w:vAlign w:val="center"/>
                </w:tcPr>
                <w:p w14:paraId="4203B46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3.45</w:t>
                  </w:r>
                </w:p>
              </w:tc>
              <w:tc>
                <w:tcPr>
                  <w:tcW w:w="432" w:type="dxa"/>
                  <w:shd w:val="clear" w:color="auto" w:fill="auto"/>
                  <w:vAlign w:val="center"/>
                </w:tcPr>
                <w:p w14:paraId="6174D74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849" w:type="dxa"/>
                  <w:shd w:val="clear" w:color="auto" w:fill="auto"/>
                  <w:noWrap/>
                  <w:vAlign w:val="center"/>
                </w:tcPr>
                <w:p w14:paraId="4BE2CD3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3CDCA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338D0DE9">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4719DD3B">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04C3BFF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850" w:type="dxa"/>
                  <w:shd w:val="clear" w:color="auto" w:fill="auto"/>
                  <w:vAlign w:val="center"/>
                </w:tcPr>
                <w:p w14:paraId="37D6D66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709" w:type="dxa"/>
                  <w:shd w:val="clear" w:color="auto" w:fill="auto"/>
                  <w:vAlign w:val="center"/>
                </w:tcPr>
                <w:p w14:paraId="323D6B0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709" w:type="dxa"/>
                  <w:shd w:val="clear" w:color="auto" w:fill="auto"/>
                  <w:vAlign w:val="center"/>
                </w:tcPr>
                <w:p w14:paraId="2F00FC5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567" w:type="dxa"/>
                  <w:shd w:val="clear" w:color="auto" w:fill="auto"/>
                  <w:vAlign w:val="center"/>
                </w:tcPr>
                <w:p w14:paraId="6E4D465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735" w:type="dxa"/>
                  <w:shd w:val="clear" w:color="auto" w:fill="auto"/>
                  <w:noWrap/>
                  <w:vAlign w:val="center"/>
                </w:tcPr>
                <w:p w14:paraId="402C6EF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432" w:type="dxa"/>
                  <w:shd w:val="clear" w:color="auto" w:fill="auto"/>
                  <w:vAlign w:val="center"/>
                </w:tcPr>
                <w:p w14:paraId="2DA5CF1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849" w:type="dxa"/>
                  <w:shd w:val="clear" w:color="auto" w:fill="auto"/>
                  <w:noWrap/>
                  <w:vAlign w:val="center"/>
                </w:tcPr>
                <w:p w14:paraId="274A99A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CF9DA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0DF4A719">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79DA8975">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74A6A72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850" w:type="dxa"/>
                  <w:shd w:val="clear" w:color="auto" w:fill="auto"/>
                  <w:vAlign w:val="center"/>
                </w:tcPr>
                <w:p w14:paraId="461AF2E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709" w:type="dxa"/>
                  <w:shd w:val="clear" w:color="auto" w:fill="auto"/>
                  <w:vAlign w:val="center"/>
                </w:tcPr>
                <w:p w14:paraId="2CA2A95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w:t>
                  </w:r>
                </w:p>
              </w:tc>
              <w:tc>
                <w:tcPr>
                  <w:tcW w:w="709" w:type="dxa"/>
                  <w:shd w:val="clear" w:color="auto" w:fill="auto"/>
                  <w:vAlign w:val="center"/>
                </w:tcPr>
                <w:p w14:paraId="3A82E0F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1.24</w:t>
                  </w:r>
                </w:p>
              </w:tc>
              <w:tc>
                <w:tcPr>
                  <w:tcW w:w="567" w:type="dxa"/>
                  <w:shd w:val="clear" w:color="auto" w:fill="auto"/>
                  <w:vAlign w:val="center"/>
                </w:tcPr>
                <w:p w14:paraId="563D17E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0.91</w:t>
                  </w:r>
                </w:p>
              </w:tc>
              <w:tc>
                <w:tcPr>
                  <w:tcW w:w="735" w:type="dxa"/>
                  <w:shd w:val="clear" w:color="auto" w:fill="auto"/>
                  <w:noWrap/>
                  <w:vAlign w:val="center"/>
                </w:tcPr>
                <w:p w14:paraId="519D78E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1.233</w:t>
                  </w:r>
                </w:p>
              </w:tc>
              <w:tc>
                <w:tcPr>
                  <w:tcW w:w="432" w:type="dxa"/>
                  <w:shd w:val="clear" w:color="auto" w:fill="auto"/>
                  <w:vAlign w:val="center"/>
                </w:tcPr>
                <w:p w14:paraId="363E593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849" w:type="dxa"/>
                  <w:shd w:val="clear" w:color="auto" w:fill="auto"/>
                  <w:noWrap/>
                  <w:vAlign w:val="center"/>
                </w:tcPr>
                <w:p w14:paraId="475B26D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42B3A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24F3C7F7">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680834BF">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6934502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850" w:type="dxa"/>
                  <w:shd w:val="clear" w:color="auto" w:fill="auto"/>
                  <w:vAlign w:val="center"/>
                </w:tcPr>
                <w:p w14:paraId="002B707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0.646</w:t>
                  </w:r>
                </w:p>
              </w:tc>
              <w:tc>
                <w:tcPr>
                  <w:tcW w:w="709" w:type="dxa"/>
                  <w:shd w:val="clear" w:color="auto" w:fill="auto"/>
                  <w:vAlign w:val="center"/>
                </w:tcPr>
                <w:p w14:paraId="68FC53B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0.768</w:t>
                  </w:r>
                </w:p>
              </w:tc>
              <w:tc>
                <w:tcPr>
                  <w:tcW w:w="709" w:type="dxa"/>
                  <w:shd w:val="clear" w:color="auto" w:fill="auto"/>
                  <w:vAlign w:val="center"/>
                </w:tcPr>
                <w:p w14:paraId="128556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0.697</w:t>
                  </w:r>
                </w:p>
              </w:tc>
              <w:tc>
                <w:tcPr>
                  <w:tcW w:w="567" w:type="dxa"/>
                  <w:shd w:val="clear" w:color="auto" w:fill="auto"/>
                  <w:vAlign w:val="center"/>
                </w:tcPr>
                <w:p w14:paraId="7D638BD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0.58</w:t>
                  </w:r>
                </w:p>
              </w:tc>
              <w:tc>
                <w:tcPr>
                  <w:tcW w:w="735" w:type="dxa"/>
                  <w:shd w:val="clear" w:color="auto" w:fill="auto"/>
                  <w:noWrap/>
                  <w:vAlign w:val="center"/>
                </w:tcPr>
                <w:p w14:paraId="0214CEE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0.673</w:t>
                  </w:r>
                </w:p>
              </w:tc>
              <w:tc>
                <w:tcPr>
                  <w:tcW w:w="432" w:type="dxa"/>
                  <w:shd w:val="clear" w:color="auto" w:fill="auto"/>
                  <w:vAlign w:val="center"/>
                </w:tcPr>
                <w:p w14:paraId="1B92433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49" w:type="dxa"/>
                  <w:shd w:val="clear" w:color="auto" w:fill="auto"/>
                  <w:noWrap/>
                  <w:vAlign w:val="center"/>
                </w:tcPr>
                <w:p w14:paraId="58FA283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20838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2DC8EB51">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2061B704">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00F1A3D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850" w:type="dxa"/>
                  <w:shd w:val="clear" w:color="auto" w:fill="auto"/>
                  <w:vAlign w:val="center"/>
                </w:tcPr>
                <w:p w14:paraId="7238838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c>
                <w:tcPr>
                  <w:tcW w:w="709" w:type="dxa"/>
                  <w:shd w:val="clear" w:color="auto" w:fill="auto"/>
                  <w:vAlign w:val="center"/>
                </w:tcPr>
                <w:p w14:paraId="3BFE234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0.32</w:t>
                  </w:r>
                </w:p>
              </w:tc>
              <w:tc>
                <w:tcPr>
                  <w:tcW w:w="709" w:type="dxa"/>
                  <w:shd w:val="clear" w:color="auto" w:fill="auto"/>
                  <w:vAlign w:val="center"/>
                </w:tcPr>
                <w:p w14:paraId="75FC965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567" w:type="dxa"/>
                  <w:shd w:val="clear" w:color="auto" w:fill="auto"/>
                  <w:vAlign w:val="center"/>
                </w:tcPr>
                <w:p w14:paraId="0CFD0C8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w:t>
                  </w:r>
                </w:p>
              </w:tc>
              <w:tc>
                <w:tcPr>
                  <w:tcW w:w="735" w:type="dxa"/>
                  <w:shd w:val="clear" w:color="auto" w:fill="auto"/>
                  <w:noWrap/>
                  <w:vAlign w:val="center"/>
                </w:tcPr>
                <w:p w14:paraId="778B721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0.293</w:t>
                  </w:r>
                </w:p>
              </w:tc>
              <w:tc>
                <w:tcPr>
                  <w:tcW w:w="432" w:type="dxa"/>
                  <w:shd w:val="clear" w:color="auto" w:fill="auto"/>
                  <w:vAlign w:val="center"/>
                </w:tcPr>
                <w:p w14:paraId="4A1235A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849" w:type="dxa"/>
                  <w:shd w:val="clear" w:color="auto" w:fill="auto"/>
                  <w:noWrap/>
                  <w:vAlign w:val="center"/>
                </w:tcPr>
                <w:p w14:paraId="2D9E47A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50D3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2816931C">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64E3F271">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13B556C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850" w:type="dxa"/>
                  <w:shd w:val="clear" w:color="auto" w:fill="auto"/>
                  <w:vAlign w:val="center"/>
                </w:tcPr>
                <w:p w14:paraId="5AB9164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5E7DE6B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1424377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567" w:type="dxa"/>
                  <w:shd w:val="clear" w:color="auto" w:fill="auto"/>
                  <w:vAlign w:val="center"/>
                </w:tcPr>
                <w:p w14:paraId="5EFDA80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35" w:type="dxa"/>
                  <w:shd w:val="clear" w:color="auto" w:fill="auto"/>
                  <w:noWrap/>
                  <w:vAlign w:val="center"/>
                </w:tcPr>
                <w:p w14:paraId="5140364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432" w:type="dxa"/>
                  <w:shd w:val="clear" w:color="auto" w:fill="auto"/>
                  <w:vAlign w:val="center"/>
                </w:tcPr>
                <w:p w14:paraId="25C27F6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9" w:type="dxa"/>
                  <w:shd w:val="clear" w:color="auto" w:fill="auto"/>
                  <w:noWrap/>
                  <w:vAlign w:val="center"/>
                </w:tcPr>
                <w:p w14:paraId="7AA2826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40669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16D448A2">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0938527E">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5B92689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850" w:type="dxa"/>
                  <w:shd w:val="clear" w:color="auto" w:fill="auto"/>
                  <w:vAlign w:val="center"/>
                </w:tcPr>
                <w:p w14:paraId="7C2A647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5AB05A6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45D932E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567" w:type="dxa"/>
                  <w:shd w:val="clear" w:color="auto" w:fill="auto"/>
                  <w:vAlign w:val="center"/>
                </w:tcPr>
                <w:p w14:paraId="1FFA163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35" w:type="dxa"/>
                  <w:shd w:val="clear" w:color="auto" w:fill="auto"/>
                  <w:noWrap/>
                  <w:vAlign w:val="center"/>
                </w:tcPr>
                <w:p w14:paraId="242D2BC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432" w:type="dxa"/>
                  <w:shd w:val="clear" w:color="auto" w:fill="auto"/>
                  <w:vAlign w:val="center"/>
                </w:tcPr>
                <w:p w14:paraId="73486B0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849" w:type="dxa"/>
                  <w:shd w:val="clear" w:color="auto" w:fill="auto"/>
                  <w:noWrap/>
                  <w:vAlign w:val="center"/>
                </w:tcPr>
                <w:p w14:paraId="2D30CEE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6C17D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restart"/>
                  <w:shd w:val="clear" w:color="auto" w:fill="auto"/>
                  <w:vAlign w:val="center"/>
                </w:tcPr>
                <w:p w14:paraId="1B46391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2024.10.24</w:t>
                  </w:r>
                </w:p>
              </w:tc>
              <w:tc>
                <w:tcPr>
                  <w:tcW w:w="1060" w:type="dxa"/>
                  <w:vMerge w:val="restart"/>
                  <w:shd w:val="clear" w:color="auto" w:fill="auto"/>
                  <w:vAlign w:val="center"/>
                </w:tcPr>
                <w:p w14:paraId="2F44156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污水处理站总排口</w:t>
                  </w:r>
                </w:p>
              </w:tc>
              <w:tc>
                <w:tcPr>
                  <w:tcW w:w="1701" w:type="dxa"/>
                  <w:shd w:val="clear" w:color="auto" w:fill="auto"/>
                  <w:vAlign w:val="center"/>
                </w:tcPr>
                <w:p w14:paraId="2D37E04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pH值（无量纲）</w:t>
                  </w:r>
                </w:p>
              </w:tc>
              <w:tc>
                <w:tcPr>
                  <w:tcW w:w="850" w:type="dxa"/>
                  <w:shd w:val="clear" w:color="auto" w:fill="auto"/>
                  <w:vAlign w:val="center"/>
                </w:tcPr>
                <w:p w14:paraId="72FE03F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09" w:type="dxa"/>
                  <w:shd w:val="clear" w:color="auto" w:fill="auto"/>
                  <w:vAlign w:val="center"/>
                </w:tcPr>
                <w:p w14:paraId="7821781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09" w:type="dxa"/>
                  <w:shd w:val="clear" w:color="auto" w:fill="auto"/>
                  <w:vAlign w:val="center"/>
                </w:tcPr>
                <w:p w14:paraId="48427B6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567" w:type="dxa"/>
                  <w:shd w:val="clear" w:color="auto" w:fill="auto"/>
                  <w:vAlign w:val="center"/>
                </w:tcPr>
                <w:p w14:paraId="2029AEE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35" w:type="dxa"/>
                  <w:shd w:val="clear" w:color="auto" w:fill="auto"/>
                  <w:noWrap/>
                  <w:vAlign w:val="center"/>
                </w:tcPr>
                <w:p w14:paraId="49D3AA7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432" w:type="dxa"/>
                  <w:shd w:val="clear" w:color="auto" w:fill="auto"/>
                  <w:noWrap/>
                  <w:vAlign w:val="center"/>
                </w:tcPr>
                <w:p w14:paraId="45182A6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849" w:type="dxa"/>
                  <w:shd w:val="clear" w:color="auto" w:fill="auto"/>
                  <w:noWrap/>
                  <w:vAlign w:val="center"/>
                </w:tcPr>
                <w:p w14:paraId="1062EF9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E6DE1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30B79B0E">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32A2CEBC">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678D6DB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850" w:type="dxa"/>
                  <w:shd w:val="clear" w:color="auto" w:fill="auto"/>
                  <w:vAlign w:val="center"/>
                </w:tcPr>
                <w:p w14:paraId="21C5F00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709" w:type="dxa"/>
                  <w:shd w:val="clear" w:color="auto" w:fill="auto"/>
                  <w:vAlign w:val="center"/>
                </w:tcPr>
                <w:p w14:paraId="1313F53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709" w:type="dxa"/>
                  <w:shd w:val="clear" w:color="auto" w:fill="auto"/>
                  <w:vAlign w:val="center"/>
                </w:tcPr>
                <w:p w14:paraId="3D30AC3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567" w:type="dxa"/>
                  <w:shd w:val="clear" w:color="auto" w:fill="auto"/>
                  <w:vAlign w:val="center"/>
                </w:tcPr>
                <w:p w14:paraId="3A4F60E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35" w:type="dxa"/>
                  <w:shd w:val="clear" w:color="auto" w:fill="auto"/>
                  <w:noWrap/>
                  <w:vAlign w:val="center"/>
                </w:tcPr>
                <w:p w14:paraId="5F1D791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432" w:type="dxa"/>
                  <w:shd w:val="clear" w:color="auto" w:fill="auto"/>
                  <w:noWrap/>
                  <w:vAlign w:val="center"/>
                </w:tcPr>
                <w:p w14:paraId="1CAFF80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849" w:type="dxa"/>
                  <w:shd w:val="clear" w:color="auto" w:fill="auto"/>
                  <w:noWrap/>
                  <w:vAlign w:val="center"/>
                </w:tcPr>
                <w:p w14:paraId="561063A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CF63D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59F14F2B">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03F93194">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0A3F4EC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w:t>
                  </w:r>
                </w:p>
              </w:tc>
              <w:tc>
                <w:tcPr>
                  <w:tcW w:w="850" w:type="dxa"/>
                  <w:shd w:val="clear" w:color="auto" w:fill="auto"/>
                  <w:vAlign w:val="center"/>
                </w:tcPr>
                <w:p w14:paraId="758E619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709" w:type="dxa"/>
                  <w:shd w:val="clear" w:color="auto" w:fill="auto"/>
                  <w:vAlign w:val="center"/>
                </w:tcPr>
                <w:p w14:paraId="7E20F85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709" w:type="dxa"/>
                  <w:shd w:val="clear" w:color="auto" w:fill="auto"/>
                  <w:vAlign w:val="center"/>
                </w:tcPr>
                <w:p w14:paraId="1922A54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67" w:type="dxa"/>
                  <w:shd w:val="clear" w:color="auto" w:fill="auto"/>
                  <w:vAlign w:val="center"/>
                </w:tcPr>
                <w:p w14:paraId="7A41207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735" w:type="dxa"/>
                  <w:shd w:val="clear" w:color="auto" w:fill="auto"/>
                  <w:noWrap/>
                  <w:vAlign w:val="center"/>
                </w:tcPr>
                <w:p w14:paraId="72A1CF7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3.375</w:t>
                  </w:r>
                </w:p>
              </w:tc>
              <w:tc>
                <w:tcPr>
                  <w:tcW w:w="432" w:type="dxa"/>
                  <w:shd w:val="clear" w:color="auto" w:fill="auto"/>
                  <w:noWrap/>
                  <w:vAlign w:val="center"/>
                </w:tcPr>
                <w:p w14:paraId="60995A1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849" w:type="dxa"/>
                  <w:shd w:val="clear" w:color="auto" w:fill="auto"/>
                  <w:noWrap/>
                  <w:vAlign w:val="center"/>
                </w:tcPr>
                <w:p w14:paraId="270BD80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3006B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703C7FCF">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330E0437">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00254F2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850" w:type="dxa"/>
                  <w:shd w:val="clear" w:color="auto" w:fill="auto"/>
                  <w:vAlign w:val="center"/>
                </w:tcPr>
                <w:p w14:paraId="6B6F2C0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709" w:type="dxa"/>
                  <w:shd w:val="clear" w:color="auto" w:fill="auto"/>
                  <w:vAlign w:val="center"/>
                </w:tcPr>
                <w:p w14:paraId="2B6E7CF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709" w:type="dxa"/>
                  <w:shd w:val="clear" w:color="auto" w:fill="auto"/>
                  <w:vAlign w:val="center"/>
                </w:tcPr>
                <w:p w14:paraId="406462E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567" w:type="dxa"/>
                  <w:shd w:val="clear" w:color="auto" w:fill="auto"/>
                  <w:vAlign w:val="center"/>
                </w:tcPr>
                <w:p w14:paraId="1F88ECC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735" w:type="dxa"/>
                  <w:shd w:val="clear" w:color="auto" w:fill="auto"/>
                  <w:noWrap/>
                  <w:vAlign w:val="center"/>
                </w:tcPr>
                <w:p w14:paraId="67BF46F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27.25</w:t>
                  </w:r>
                </w:p>
              </w:tc>
              <w:tc>
                <w:tcPr>
                  <w:tcW w:w="432" w:type="dxa"/>
                  <w:shd w:val="clear" w:color="auto" w:fill="auto"/>
                  <w:noWrap/>
                  <w:vAlign w:val="center"/>
                </w:tcPr>
                <w:p w14:paraId="1ABF718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849" w:type="dxa"/>
                  <w:shd w:val="clear" w:color="auto" w:fill="auto"/>
                  <w:noWrap/>
                  <w:vAlign w:val="center"/>
                </w:tcPr>
                <w:p w14:paraId="205E997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052D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735F7A80">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653FEA54">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1D79581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850" w:type="dxa"/>
                  <w:shd w:val="clear" w:color="auto" w:fill="auto"/>
                  <w:vAlign w:val="center"/>
                </w:tcPr>
                <w:p w14:paraId="765EAF8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709" w:type="dxa"/>
                  <w:shd w:val="clear" w:color="auto" w:fill="auto"/>
                  <w:vAlign w:val="center"/>
                </w:tcPr>
                <w:p w14:paraId="65C5304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709" w:type="dxa"/>
                  <w:shd w:val="clear" w:color="auto" w:fill="auto"/>
                  <w:vAlign w:val="center"/>
                </w:tcPr>
                <w:p w14:paraId="322957B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w:t>
                  </w:r>
                </w:p>
              </w:tc>
              <w:tc>
                <w:tcPr>
                  <w:tcW w:w="567" w:type="dxa"/>
                  <w:shd w:val="clear" w:color="auto" w:fill="auto"/>
                  <w:vAlign w:val="center"/>
                </w:tcPr>
                <w:p w14:paraId="6657400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1.44</w:t>
                  </w:r>
                </w:p>
              </w:tc>
              <w:tc>
                <w:tcPr>
                  <w:tcW w:w="735" w:type="dxa"/>
                  <w:shd w:val="clear" w:color="auto" w:fill="auto"/>
                  <w:noWrap/>
                  <w:vAlign w:val="center"/>
                </w:tcPr>
                <w:p w14:paraId="3B27451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1.218</w:t>
                  </w:r>
                </w:p>
              </w:tc>
              <w:tc>
                <w:tcPr>
                  <w:tcW w:w="432" w:type="dxa"/>
                  <w:shd w:val="clear" w:color="auto" w:fill="auto"/>
                  <w:noWrap/>
                  <w:vAlign w:val="center"/>
                </w:tcPr>
                <w:p w14:paraId="5A748C0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849" w:type="dxa"/>
                  <w:shd w:val="clear" w:color="auto" w:fill="auto"/>
                  <w:noWrap/>
                  <w:vAlign w:val="center"/>
                </w:tcPr>
                <w:p w14:paraId="347EEBE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C88A5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69045912">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34AAAF94">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39CB47D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850" w:type="dxa"/>
                  <w:shd w:val="clear" w:color="auto" w:fill="auto"/>
                  <w:vAlign w:val="center"/>
                </w:tcPr>
                <w:p w14:paraId="0DD2FA4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0.514</w:t>
                  </w:r>
                </w:p>
              </w:tc>
              <w:tc>
                <w:tcPr>
                  <w:tcW w:w="709" w:type="dxa"/>
                  <w:shd w:val="clear" w:color="auto" w:fill="auto"/>
                  <w:vAlign w:val="center"/>
                </w:tcPr>
                <w:p w14:paraId="1886945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0.660</w:t>
                  </w:r>
                </w:p>
              </w:tc>
              <w:tc>
                <w:tcPr>
                  <w:tcW w:w="709" w:type="dxa"/>
                  <w:shd w:val="clear" w:color="auto" w:fill="auto"/>
                  <w:vAlign w:val="center"/>
                </w:tcPr>
                <w:p w14:paraId="476E30E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0.611</w:t>
                  </w:r>
                </w:p>
              </w:tc>
              <w:tc>
                <w:tcPr>
                  <w:tcW w:w="567" w:type="dxa"/>
                  <w:shd w:val="clear" w:color="auto" w:fill="auto"/>
                  <w:vAlign w:val="center"/>
                </w:tcPr>
                <w:p w14:paraId="00F00E0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0.743</w:t>
                  </w:r>
                </w:p>
              </w:tc>
              <w:tc>
                <w:tcPr>
                  <w:tcW w:w="735" w:type="dxa"/>
                  <w:shd w:val="clear" w:color="auto" w:fill="auto"/>
                  <w:noWrap/>
                  <w:vAlign w:val="center"/>
                </w:tcPr>
                <w:p w14:paraId="599CC92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0.632</w:t>
                  </w:r>
                </w:p>
              </w:tc>
              <w:tc>
                <w:tcPr>
                  <w:tcW w:w="432" w:type="dxa"/>
                  <w:shd w:val="clear" w:color="auto" w:fill="auto"/>
                  <w:noWrap/>
                  <w:vAlign w:val="center"/>
                </w:tcPr>
                <w:p w14:paraId="314A395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49" w:type="dxa"/>
                  <w:shd w:val="clear" w:color="auto" w:fill="auto"/>
                  <w:noWrap/>
                  <w:vAlign w:val="center"/>
                </w:tcPr>
                <w:p w14:paraId="53B23D9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7653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663AA8C0">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6F767EF9">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4544D06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850" w:type="dxa"/>
                  <w:shd w:val="clear" w:color="auto" w:fill="auto"/>
                  <w:vAlign w:val="center"/>
                </w:tcPr>
                <w:p w14:paraId="46FCE88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0.31</w:t>
                  </w:r>
                </w:p>
              </w:tc>
              <w:tc>
                <w:tcPr>
                  <w:tcW w:w="709" w:type="dxa"/>
                  <w:shd w:val="clear" w:color="auto" w:fill="auto"/>
                  <w:vAlign w:val="center"/>
                </w:tcPr>
                <w:p w14:paraId="1B92287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c>
                <w:tcPr>
                  <w:tcW w:w="709" w:type="dxa"/>
                  <w:shd w:val="clear" w:color="auto" w:fill="auto"/>
                  <w:vAlign w:val="center"/>
                </w:tcPr>
                <w:p w14:paraId="2C2BCF4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c>
                <w:tcPr>
                  <w:tcW w:w="567" w:type="dxa"/>
                  <w:shd w:val="clear" w:color="auto" w:fill="auto"/>
                  <w:vAlign w:val="center"/>
                </w:tcPr>
                <w:p w14:paraId="19B4C6D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0.31</w:t>
                  </w:r>
                </w:p>
              </w:tc>
              <w:tc>
                <w:tcPr>
                  <w:tcW w:w="735" w:type="dxa"/>
                  <w:shd w:val="clear" w:color="auto" w:fill="auto"/>
                  <w:noWrap/>
                  <w:vAlign w:val="center"/>
                </w:tcPr>
                <w:p w14:paraId="58045EE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0.31</w:t>
                  </w:r>
                </w:p>
              </w:tc>
              <w:tc>
                <w:tcPr>
                  <w:tcW w:w="432" w:type="dxa"/>
                  <w:shd w:val="clear" w:color="auto" w:fill="auto"/>
                  <w:noWrap/>
                  <w:vAlign w:val="center"/>
                </w:tcPr>
                <w:p w14:paraId="337B597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849" w:type="dxa"/>
                  <w:shd w:val="clear" w:color="auto" w:fill="auto"/>
                  <w:noWrap/>
                  <w:vAlign w:val="center"/>
                </w:tcPr>
                <w:p w14:paraId="649F1C1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5E5A7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101401CA">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72616A24">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559967B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850" w:type="dxa"/>
                  <w:shd w:val="clear" w:color="auto" w:fill="auto"/>
                  <w:vAlign w:val="center"/>
                </w:tcPr>
                <w:p w14:paraId="21E2F91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0A3A2D3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2637B66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567" w:type="dxa"/>
                  <w:shd w:val="clear" w:color="auto" w:fill="auto"/>
                  <w:vAlign w:val="center"/>
                </w:tcPr>
                <w:p w14:paraId="4950EF6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35" w:type="dxa"/>
                  <w:shd w:val="clear" w:color="auto" w:fill="auto"/>
                  <w:noWrap/>
                  <w:vAlign w:val="center"/>
                </w:tcPr>
                <w:p w14:paraId="552F4EB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432" w:type="dxa"/>
                  <w:shd w:val="clear" w:color="auto" w:fill="auto"/>
                  <w:noWrap/>
                  <w:vAlign w:val="center"/>
                </w:tcPr>
                <w:p w14:paraId="109578F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9" w:type="dxa"/>
                  <w:shd w:val="clear" w:color="auto" w:fill="auto"/>
                  <w:noWrap/>
                  <w:vAlign w:val="center"/>
                </w:tcPr>
                <w:p w14:paraId="65AED91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9C56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310FE09C">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72108F6C">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50B3888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850" w:type="dxa"/>
                  <w:shd w:val="clear" w:color="auto" w:fill="auto"/>
                  <w:vAlign w:val="center"/>
                </w:tcPr>
                <w:p w14:paraId="4C347C6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5CAD0C8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5797FBD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567" w:type="dxa"/>
                  <w:shd w:val="clear" w:color="auto" w:fill="auto"/>
                  <w:vAlign w:val="center"/>
                </w:tcPr>
                <w:p w14:paraId="07286F5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35" w:type="dxa"/>
                  <w:shd w:val="clear" w:color="auto" w:fill="auto"/>
                  <w:noWrap/>
                  <w:vAlign w:val="center"/>
                </w:tcPr>
                <w:p w14:paraId="0110A4C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432" w:type="dxa"/>
                  <w:shd w:val="clear" w:color="auto" w:fill="auto"/>
                  <w:noWrap/>
                  <w:vAlign w:val="center"/>
                </w:tcPr>
                <w:p w14:paraId="0F99ABF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849" w:type="dxa"/>
                  <w:shd w:val="clear" w:color="auto" w:fill="auto"/>
                  <w:noWrap/>
                  <w:vAlign w:val="center"/>
                </w:tcPr>
                <w:p w14:paraId="10BC321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319BEE5E">
            <w:pPr>
              <w:pStyle w:val="2"/>
              <w:keepNext w:val="0"/>
              <w:keepLines w:val="0"/>
              <w:pageBreakBefore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（2）废气</w:t>
            </w:r>
          </w:p>
          <w:p w14:paraId="151425BE">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（1）废气产生及排放情况</w:t>
            </w:r>
          </w:p>
          <w:p w14:paraId="5752DFCD">
            <w:pPr>
              <w:spacing w:after="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现有项目废气：</w:t>
            </w:r>
            <w:r>
              <w:rPr>
                <w:rFonts w:hint="default" w:ascii="Times New Roman" w:hAnsi="Times New Roman" w:eastAsia="宋体" w:cs="Times New Roman"/>
                <w:color w:val="auto"/>
                <w:sz w:val="24"/>
                <w:szCs w:val="24"/>
              </w:rPr>
              <w:t>炒制油烟由风机吸入静电式油烟净化器，处理达标后的炒制油烟通过建筑内置烟道至楼顶排放。食堂油烟废气通过集气罩收集到湿法油烟净化器中处理，处理达标后的食堂油烟通过建筑内置烟道至楼顶排放。未经捕集的废气无组织排放。</w:t>
            </w:r>
          </w:p>
          <w:p w14:paraId="004DE2A7">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（2）废气达标排放情况</w:t>
            </w:r>
          </w:p>
          <w:p w14:paraId="6E9DE8DB">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根据验收报告</w:t>
            </w:r>
            <w:r>
              <w:rPr>
                <w:rFonts w:hint="default" w:ascii="Times New Roman" w:hAnsi="Times New Roman" w:eastAsia="宋体" w:cs="Times New Roman"/>
                <w:color w:val="auto"/>
                <w:sz w:val="24"/>
                <w:lang w:val="en-US" w:eastAsia="zh-CN"/>
              </w:rPr>
              <w:t>2024年10月23日委托</w:t>
            </w:r>
            <w:r>
              <w:rPr>
                <w:rFonts w:hint="default" w:ascii="Times New Roman" w:hAnsi="Times New Roman" w:eastAsia="宋体" w:cs="Times New Roman"/>
                <w:color w:val="auto"/>
                <w:sz w:val="24"/>
                <w:szCs w:val="24"/>
              </w:rPr>
              <w:t>南京万全检测技术有限公司</w:t>
            </w:r>
            <w:r>
              <w:rPr>
                <w:rFonts w:hint="default" w:ascii="Times New Roman" w:hAnsi="Times New Roman" w:eastAsia="宋体" w:cs="Times New Roman"/>
                <w:color w:val="auto"/>
                <w:sz w:val="24"/>
                <w:szCs w:val="24"/>
                <w:lang w:eastAsia="zh-CN"/>
              </w:rPr>
              <w:t>进行检测</w:t>
            </w:r>
            <w:r>
              <w:rPr>
                <w:rFonts w:hint="default" w:ascii="Times New Roman" w:hAnsi="Times New Roman" w:eastAsia="宋体" w:cs="Times New Roman"/>
                <w:color w:val="auto"/>
                <w:sz w:val="24"/>
                <w:szCs w:val="24"/>
                <w:lang w:val="en-US" w:eastAsia="zh-CN"/>
              </w:rPr>
              <w:t>，公司排气筒废气排放情况如下表所示：</w:t>
            </w:r>
          </w:p>
          <w:p w14:paraId="525CE429">
            <w:pPr>
              <w:pStyle w:val="2"/>
              <w:keepNext w:val="0"/>
              <w:keepLines w:val="0"/>
              <w:pageBreakBefore w:val="0"/>
              <w:widowControl w:val="0"/>
              <w:kinsoku/>
              <w:wordWrap/>
              <w:overflowPunct/>
              <w:topLinePunct w:val="0"/>
              <w:autoSpaceDE/>
              <w:autoSpaceDN/>
              <w:bidi w:val="0"/>
              <w:adjustRightInd/>
              <w:snapToGrid/>
              <w:spacing w:after="0"/>
              <w:ind w:left="0" w:leftChars="0" w:firstLine="482"/>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cs="Times New Roman"/>
                <w:b/>
                <w:bCs/>
                <w:color w:val="auto"/>
                <w:sz w:val="24"/>
                <w:szCs w:val="24"/>
                <w:lang w:val="en-US" w:eastAsia="zh-CN"/>
              </w:rPr>
              <w:t>10</w:t>
            </w:r>
            <w:r>
              <w:rPr>
                <w:rFonts w:hint="default" w:ascii="Times New Roman" w:hAnsi="Times New Roman" w:eastAsia="宋体" w:cs="Times New Roman"/>
                <w:b/>
                <w:bCs/>
                <w:color w:val="auto"/>
                <w:sz w:val="24"/>
                <w:szCs w:val="24"/>
              </w:rPr>
              <w:t>现有项目废</w:t>
            </w:r>
            <w:r>
              <w:rPr>
                <w:rFonts w:hint="eastAsia" w:cs="Times New Roman"/>
                <w:b/>
                <w:bCs/>
                <w:color w:val="auto"/>
                <w:sz w:val="24"/>
                <w:szCs w:val="24"/>
                <w:lang w:eastAsia="zh-CN"/>
              </w:rPr>
              <w:t>气</w:t>
            </w:r>
            <w:r>
              <w:rPr>
                <w:rFonts w:hint="default" w:ascii="Times New Roman" w:hAnsi="Times New Roman" w:eastAsia="宋体" w:cs="Times New Roman"/>
                <w:b/>
                <w:bCs/>
                <w:color w:val="auto"/>
                <w:sz w:val="24"/>
                <w:szCs w:val="24"/>
              </w:rPr>
              <w:t>验收监测结果</w:t>
            </w:r>
          </w:p>
          <w:tbl>
            <w:tblPr>
              <w:tblStyle w:val="3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8"/>
              <w:gridCol w:w="933"/>
              <w:gridCol w:w="933"/>
              <w:gridCol w:w="930"/>
              <w:gridCol w:w="933"/>
              <w:gridCol w:w="933"/>
              <w:gridCol w:w="935"/>
              <w:gridCol w:w="933"/>
              <w:gridCol w:w="930"/>
            </w:tblGrid>
            <w:tr w14:paraId="3D82C5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restart"/>
                  <w:shd w:val="clear" w:color="auto" w:fill="auto"/>
                  <w:noWrap/>
                  <w:vAlign w:val="center"/>
                </w:tcPr>
                <w:p w14:paraId="0B2E1911">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w:t>
                  </w:r>
                </w:p>
              </w:tc>
              <w:tc>
                <w:tcPr>
                  <w:tcW w:w="554" w:type="pct"/>
                  <w:vMerge w:val="restart"/>
                  <w:shd w:val="clear" w:color="auto" w:fill="auto"/>
                  <w:vAlign w:val="center"/>
                </w:tcPr>
                <w:p w14:paraId="77910C02">
                  <w:pPr>
                    <w:adjustRightInd/>
                    <w:snapToGrid/>
                    <w:spacing w:after="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检测项目</w:t>
                  </w:r>
                </w:p>
              </w:tc>
              <w:tc>
                <w:tcPr>
                  <w:tcW w:w="554" w:type="pct"/>
                  <w:vMerge w:val="restart"/>
                  <w:shd w:val="clear" w:color="auto" w:fill="auto"/>
                  <w:vAlign w:val="center"/>
                </w:tcPr>
                <w:p w14:paraId="5E240DC3">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2215" w:type="pct"/>
                  <w:gridSpan w:val="4"/>
                  <w:shd w:val="clear" w:color="auto" w:fill="auto"/>
                  <w:vAlign w:val="center"/>
                </w:tcPr>
                <w:p w14:paraId="72A67D3F">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cs="Times New Roman"/>
                      <w:b/>
                      <w:bCs/>
                      <w:color w:val="auto"/>
                      <w:sz w:val="21"/>
                      <w:szCs w:val="21"/>
                      <w:vertAlign w:val="superscript"/>
                      <w:lang w:eastAsia="zh-CN"/>
                    </w:rPr>
                    <w:t>）</w:t>
                  </w:r>
                </w:p>
              </w:tc>
              <w:tc>
                <w:tcPr>
                  <w:tcW w:w="554" w:type="pct"/>
                  <w:vMerge w:val="restart"/>
                  <w:shd w:val="clear" w:color="auto" w:fill="auto"/>
                  <w:vAlign w:val="center"/>
                </w:tcPr>
                <w:p w14:paraId="30C2A21D">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cs="Times New Roman"/>
                      <w:b/>
                      <w:bCs/>
                      <w:color w:val="auto"/>
                      <w:sz w:val="21"/>
                      <w:szCs w:val="21"/>
                      <w:vertAlign w:val="superscript"/>
                      <w:lang w:eastAsia="zh-CN"/>
                    </w:rPr>
                    <w:t>）</w:t>
                  </w:r>
                </w:p>
              </w:tc>
              <w:tc>
                <w:tcPr>
                  <w:tcW w:w="552" w:type="pct"/>
                  <w:vMerge w:val="restart"/>
                  <w:shd w:val="clear" w:color="auto" w:fill="auto"/>
                  <w:vAlign w:val="center"/>
                </w:tcPr>
                <w:p w14:paraId="5E1EDAE6">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267DE9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5" w:hRule="atLeast"/>
              </w:trPr>
              <w:tc>
                <w:tcPr>
                  <w:tcW w:w="569" w:type="pct"/>
                  <w:vMerge w:val="continue"/>
                  <w:vAlign w:val="center"/>
                </w:tcPr>
                <w:p w14:paraId="3CCFCA77">
                  <w:pPr>
                    <w:adjustRightInd/>
                    <w:snapToGrid/>
                    <w:spacing w:after="0"/>
                    <w:rPr>
                      <w:rFonts w:hint="default" w:ascii="Times New Roman" w:hAnsi="Times New Roman" w:eastAsia="宋体" w:cs="Times New Roman"/>
                      <w:b/>
                      <w:bCs/>
                      <w:color w:val="auto"/>
                      <w:sz w:val="21"/>
                      <w:szCs w:val="21"/>
                    </w:rPr>
                  </w:pPr>
                </w:p>
              </w:tc>
              <w:tc>
                <w:tcPr>
                  <w:tcW w:w="554" w:type="pct"/>
                  <w:vMerge w:val="continue"/>
                  <w:vAlign w:val="center"/>
                </w:tcPr>
                <w:p w14:paraId="3E9EE702">
                  <w:pPr>
                    <w:adjustRightInd/>
                    <w:snapToGrid/>
                    <w:spacing w:after="0"/>
                    <w:rPr>
                      <w:rFonts w:hint="default" w:ascii="Times New Roman" w:hAnsi="Times New Roman" w:eastAsia="宋体" w:cs="Times New Roman"/>
                      <w:b/>
                      <w:bCs/>
                      <w:color w:val="auto"/>
                      <w:sz w:val="21"/>
                      <w:szCs w:val="21"/>
                    </w:rPr>
                  </w:pPr>
                </w:p>
              </w:tc>
              <w:tc>
                <w:tcPr>
                  <w:tcW w:w="554" w:type="pct"/>
                  <w:vMerge w:val="continue"/>
                  <w:vAlign w:val="center"/>
                </w:tcPr>
                <w:p w14:paraId="40BC8712">
                  <w:pPr>
                    <w:adjustRightInd/>
                    <w:snapToGrid/>
                    <w:spacing w:after="0"/>
                    <w:rPr>
                      <w:rFonts w:hint="default" w:ascii="Times New Roman" w:hAnsi="Times New Roman" w:eastAsia="宋体" w:cs="Times New Roman"/>
                      <w:b/>
                      <w:bCs/>
                      <w:color w:val="auto"/>
                      <w:sz w:val="21"/>
                      <w:szCs w:val="21"/>
                    </w:rPr>
                  </w:pPr>
                </w:p>
              </w:tc>
              <w:tc>
                <w:tcPr>
                  <w:tcW w:w="552" w:type="pct"/>
                  <w:shd w:val="clear" w:color="auto" w:fill="auto"/>
                  <w:vAlign w:val="center"/>
                </w:tcPr>
                <w:p w14:paraId="6DF32535">
                  <w:pPr>
                    <w:adjustRightInd/>
                    <w:snapToGrid/>
                    <w:spacing w:after="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频次</w:t>
                  </w:r>
                </w:p>
              </w:tc>
              <w:tc>
                <w:tcPr>
                  <w:tcW w:w="554" w:type="pct"/>
                  <w:shd w:val="clear" w:color="auto" w:fill="auto"/>
                  <w:vAlign w:val="center"/>
                </w:tcPr>
                <w:p w14:paraId="3DEE9A13">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实测浓度mg/m</w:t>
                  </w:r>
                  <w:r>
                    <w:rPr>
                      <w:rFonts w:hint="default" w:ascii="Times New Roman" w:hAnsi="Times New Roman" w:eastAsia="宋体" w:cs="Times New Roman"/>
                      <w:b/>
                      <w:bCs/>
                      <w:color w:val="auto"/>
                      <w:sz w:val="21"/>
                      <w:szCs w:val="21"/>
                      <w:vertAlign w:val="superscript"/>
                    </w:rPr>
                    <w:t>3</w:t>
                  </w:r>
                </w:p>
              </w:tc>
              <w:tc>
                <w:tcPr>
                  <w:tcW w:w="554" w:type="pct"/>
                  <w:shd w:val="clear" w:color="auto" w:fill="auto"/>
                  <w:vAlign w:val="center"/>
                </w:tcPr>
                <w:p w14:paraId="66ED0852">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排风量Nm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554" w:type="pct"/>
                  <w:shd w:val="clear" w:color="auto" w:fill="auto"/>
                  <w:vAlign w:val="center"/>
                </w:tcPr>
                <w:p w14:paraId="68E4EF24">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基准排放浓度mg/m</w:t>
                  </w:r>
                  <w:r>
                    <w:rPr>
                      <w:rFonts w:hint="default" w:ascii="Times New Roman" w:hAnsi="Times New Roman" w:eastAsia="宋体" w:cs="Times New Roman"/>
                      <w:b/>
                      <w:bCs/>
                      <w:color w:val="auto"/>
                      <w:sz w:val="21"/>
                      <w:szCs w:val="21"/>
                      <w:vertAlign w:val="superscript"/>
                    </w:rPr>
                    <w:t>3</w:t>
                  </w:r>
                </w:p>
              </w:tc>
              <w:tc>
                <w:tcPr>
                  <w:tcW w:w="554" w:type="pct"/>
                  <w:vMerge w:val="continue"/>
                  <w:vAlign w:val="center"/>
                </w:tcPr>
                <w:p w14:paraId="3205B108">
                  <w:pPr>
                    <w:adjustRightInd/>
                    <w:snapToGrid/>
                    <w:spacing w:after="0"/>
                    <w:rPr>
                      <w:rFonts w:hint="default" w:ascii="Times New Roman" w:hAnsi="Times New Roman" w:eastAsia="宋体" w:cs="Times New Roman"/>
                      <w:b/>
                      <w:bCs/>
                      <w:color w:val="auto"/>
                      <w:sz w:val="21"/>
                      <w:szCs w:val="21"/>
                    </w:rPr>
                  </w:pPr>
                </w:p>
              </w:tc>
              <w:tc>
                <w:tcPr>
                  <w:tcW w:w="552" w:type="pct"/>
                  <w:vMerge w:val="continue"/>
                  <w:vAlign w:val="center"/>
                </w:tcPr>
                <w:p w14:paraId="25445A5A">
                  <w:pPr>
                    <w:adjustRightInd/>
                    <w:snapToGrid/>
                    <w:spacing w:after="0"/>
                    <w:rPr>
                      <w:rFonts w:hint="default" w:ascii="Times New Roman" w:hAnsi="Times New Roman" w:eastAsia="宋体" w:cs="Times New Roman"/>
                      <w:b/>
                      <w:bCs/>
                      <w:color w:val="auto"/>
                      <w:sz w:val="21"/>
                      <w:szCs w:val="21"/>
                    </w:rPr>
                  </w:pPr>
                </w:p>
              </w:tc>
            </w:tr>
            <w:tr w14:paraId="312F58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restart"/>
                  <w:shd w:val="clear" w:color="auto" w:fill="auto"/>
                  <w:vAlign w:val="center"/>
                </w:tcPr>
                <w:p w14:paraId="7B09D44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554" w:type="pct"/>
                  <w:vMerge w:val="restart"/>
                  <w:shd w:val="clear" w:color="auto" w:fill="auto"/>
                  <w:vAlign w:val="center"/>
                </w:tcPr>
                <w:p w14:paraId="3AC89CF1">
                  <w:pPr>
                    <w:adjustRightInd/>
                    <w:snapToGrid/>
                    <w:spacing w:after="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油烟</w:t>
                  </w:r>
                </w:p>
              </w:tc>
              <w:tc>
                <w:tcPr>
                  <w:tcW w:w="554" w:type="pct"/>
                  <w:vMerge w:val="restart"/>
                  <w:shd w:val="clear" w:color="auto" w:fill="auto"/>
                  <w:vAlign w:val="center"/>
                </w:tcPr>
                <w:p w14:paraId="4E457D0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FQ-1</w:t>
                  </w:r>
                </w:p>
                <w:p w14:paraId="4898073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进口</w:t>
                  </w:r>
                </w:p>
              </w:tc>
              <w:tc>
                <w:tcPr>
                  <w:tcW w:w="552" w:type="pct"/>
                  <w:shd w:val="clear" w:color="auto" w:fill="auto"/>
                  <w:vAlign w:val="center"/>
                </w:tcPr>
                <w:p w14:paraId="4030055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54" w:type="pct"/>
                  <w:shd w:val="clear" w:color="auto" w:fill="auto"/>
                  <w:vAlign w:val="center"/>
                </w:tcPr>
                <w:p w14:paraId="21D0A6D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54" w:type="pct"/>
                  <w:shd w:val="clear" w:color="auto" w:fill="auto"/>
                  <w:vAlign w:val="center"/>
                </w:tcPr>
                <w:p w14:paraId="66C8E81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17045</w:t>
                  </w:r>
                </w:p>
              </w:tc>
              <w:tc>
                <w:tcPr>
                  <w:tcW w:w="554" w:type="pct"/>
                  <w:shd w:val="clear" w:color="auto" w:fill="auto"/>
                  <w:vAlign w:val="center"/>
                </w:tcPr>
                <w:p w14:paraId="6C4CCB2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7D721F0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6384DBB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7F8C2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225CCCE2">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6609AEE">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0E321297">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708E218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54" w:type="pct"/>
                  <w:shd w:val="clear" w:color="auto" w:fill="auto"/>
                  <w:vAlign w:val="center"/>
                </w:tcPr>
                <w:p w14:paraId="62E6749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54" w:type="pct"/>
                  <w:shd w:val="clear" w:color="auto" w:fill="auto"/>
                  <w:vAlign w:val="center"/>
                </w:tcPr>
                <w:p w14:paraId="122AAD5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15754</w:t>
                  </w:r>
                </w:p>
              </w:tc>
              <w:tc>
                <w:tcPr>
                  <w:tcW w:w="554" w:type="pct"/>
                  <w:shd w:val="clear" w:color="auto" w:fill="auto"/>
                  <w:vAlign w:val="center"/>
                </w:tcPr>
                <w:p w14:paraId="6FEEBCE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19163A7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2FA98EB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FF38A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2AED58C9">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A494ED7">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31B17A58">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7D2C8AE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54" w:type="pct"/>
                  <w:shd w:val="clear" w:color="auto" w:fill="auto"/>
                  <w:vAlign w:val="center"/>
                </w:tcPr>
                <w:p w14:paraId="2C14F28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554" w:type="pct"/>
                  <w:shd w:val="clear" w:color="auto" w:fill="auto"/>
                  <w:vAlign w:val="center"/>
                </w:tcPr>
                <w:p w14:paraId="428354C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16787</w:t>
                  </w:r>
                </w:p>
              </w:tc>
              <w:tc>
                <w:tcPr>
                  <w:tcW w:w="554" w:type="pct"/>
                  <w:shd w:val="clear" w:color="auto" w:fill="auto"/>
                  <w:vAlign w:val="center"/>
                </w:tcPr>
                <w:p w14:paraId="35ACCC7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15A3AF4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5E74584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3EF72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57BA0214">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380D7342">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608CE072">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7AB8C84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54" w:type="pct"/>
                  <w:shd w:val="clear" w:color="auto" w:fill="auto"/>
                  <w:vAlign w:val="center"/>
                </w:tcPr>
                <w:p w14:paraId="765261A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54" w:type="pct"/>
                  <w:shd w:val="clear" w:color="auto" w:fill="auto"/>
                  <w:vAlign w:val="center"/>
                </w:tcPr>
                <w:p w14:paraId="57BE293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16529</w:t>
                  </w:r>
                </w:p>
              </w:tc>
              <w:tc>
                <w:tcPr>
                  <w:tcW w:w="554" w:type="pct"/>
                  <w:shd w:val="clear" w:color="auto" w:fill="auto"/>
                  <w:vAlign w:val="center"/>
                </w:tcPr>
                <w:p w14:paraId="5D405B1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029D672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2676727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E1109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469C2174">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42C258C">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5E434AEE">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249222A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554" w:type="pct"/>
                  <w:shd w:val="clear" w:color="auto" w:fill="auto"/>
                  <w:vAlign w:val="center"/>
                </w:tcPr>
                <w:p w14:paraId="3BDFA0F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554" w:type="pct"/>
                  <w:shd w:val="clear" w:color="auto" w:fill="auto"/>
                  <w:vAlign w:val="center"/>
                </w:tcPr>
                <w:p w14:paraId="71DE1D4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16864</w:t>
                  </w:r>
                </w:p>
              </w:tc>
              <w:tc>
                <w:tcPr>
                  <w:tcW w:w="554" w:type="pct"/>
                  <w:shd w:val="clear" w:color="auto" w:fill="auto"/>
                  <w:vAlign w:val="center"/>
                </w:tcPr>
                <w:p w14:paraId="7E81BFD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3067BCB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643B9D6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97D3E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61E686CE">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BB0481D">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70F2921C">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57F3F0F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554" w:type="pct"/>
                  <w:shd w:val="clear" w:color="auto" w:fill="auto"/>
                  <w:vAlign w:val="center"/>
                </w:tcPr>
                <w:p w14:paraId="0CC8DDC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54" w:type="pct"/>
                  <w:shd w:val="clear" w:color="auto" w:fill="auto"/>
                  <w:vAlign w:val="center"/>
                </w:tcPr>
                <w:p w14:paraId="5909246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16596</w:t>
                  </w:r>
                </w:p>
              </w:tc>
              <w:tc>
                <w:tcPr>
                  <w:tcW w:w="554" w:type="pct"/>
                  <w:shd w:val="clear" w:color="auto" w:fill="auto"/>
                  <w:vAlign w:val="center"/>
                </w:tcPr>
                <w:p w14:paraId="5657D80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558658A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4894029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28AF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restart"/>
                  <w:shd w:val="clear" w:color="auto" w:fill="auto"/>
                  <w:vAlign w:val="center"/>
                </w:tcPr>
                <w:p w14:paraId="1D80590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554" w:type="pct"/>
                  <w:vMerge w:val="restart"/>
                  <w:shd w:val="clear" w:color="auto" w:fill="auto"/>
                  <w:vAlign w:val="center"/>
                </w:tcPr>
                <w:p w14:paraId="228A3C50">
                  <w:pPr>
                    <w:adjustRightInd/>
                    <w:snapToGrid/>
                    <w:spacing w:after="0"/>
                    <w:jc w:val="center"/>
                    <w:rPr>
                      <w:rFonts w:hint="default"/>
                      <w:color w:val="auto"/>
                    </w:rPr>
                  </w:pPr>
                  <w:r>
                    <w:rPr>
                      <w:rFonts w:hint="eastAsia" w:cs="Times New Roman"/>
                      <w:color w:val="auto"/>
                      <w:sz w:val="21"/>
                      <w:szCs w:val="21"/>
                      <w:lang w:eastAsia="zh-CN"/>
                    </w:rPr>
                    <w:t>油烟</w:t>
                  </w:r>
                </w:p>
              </w:tc>
              <w:tc>
                <w:tcPr>
                  <w:tcW w:w="554" w:type="pct"/>
                  <w:vMerge w:val="restart"/>
                  <w:shd w:val="clear" w:color="auto" w:fill="auto"/>
                  <w:vAlign w:val="center"/>
                </w:tcPr>
                <w:p w14:paraId="2047C3D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FQ-1</w:t>
                  </w:r>
                </w:p>
                <w:p w14:paraId="25A9D33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出口</w:t>
                  </w:r>
                </w:p>
              </w:tc>
              <w:tc>
                <w:tcPr>
                  <w:tcW w:w="552" w:type="pct"/>
                  <w:shd w:val="clear" w:color="auto" w:fill="auto"/>
                  <w:vAlign w:val="center"/>
                </w:tcPr>
                <w:p w14:paraId="11333E0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54" w:type="pct"/>
                  <w:shd w:val="clear" w:color="auto" w:fill="auto"/>
                  <w:vAlign w:val="center"/>
                </w:tcPr>
                <w:p w14:paraId="7C18068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554" w:type="pct"/>
                  <w:shd w:val="clear" w:color="auto" w:fill="auto"/>
                  <w:vAlign w:val="center"/>
                </w:tcPr>
                <w:p w14:paraId="39B30C2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15074</w:t>
                  </w:r>
                </w:p>
              </w:tc>
              <w:tc>
                <w:tcPr>
                  <w:tcW w:w="554" w:type="pct"/>
                  <w:shd w:val="clear" w:color="auto" w:fill="auto"/>
                  <w:vAlign w:val="center"/>
                </w:tcPr>
                <w:p w14:paraId="10DCE2D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vAlign w:val="center"/>
                </w:tcPr>
                <w:p w14:paraId="0528E49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0A52F01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63829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357EAB5E">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6C62029F">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2EC5022A">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4FA4E93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54" w:type="pct"/>
                  <w:shd w:val="clear" w:color="auto" w:fill="auto"/>
                  <w:vAlign w:val="center"/>
                </w:tcPr>
                <w:p w14:paraId="3D5F474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554" w:type="pct"/>
                  <w:shd w:val="clear" w:color="auto" w:fill="auto"/>
                  <w:vAlign w:val="center"/>
                </w:tcPr>
                <w:p w14:paraId="148F80B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14778</w:t>
                  </w:r>
                </w:p>
              </w:tc>
              <w:tc>
                <w:tcPr>
                  <w:tcW w:w="554" w:type="pct"/>
                  <w:shd w:val="clear" w:color="auto" w:fill="auto"/>
                  <w:vAlign w:val="center"/>
                </w:tcPr>
                <w:p w14:paraId="6DFB6C5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390E20B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7D092D4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C878A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18F646BE">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5C1B836C">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62FF6BDF">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2A79529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54" w:type="pct"/>
                  <w:shd w:val="clear" w:color="auto" w:fill="auto"/>
                  <w:vAlign w:val="center"/>
                </w:tcPr>
                <w:p w14:paraId="0599F6B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vAlign w:val="center"/>
                </w:tcPr>
                <w:p w14:paraId="1D5FA2D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14483</w:t>
                  </w:r>
                </w:p>
              </w:tc>
              <w:tc>
                <w:tcPr>
                  <w:tcW w:w="554" w:type="pct"/>
                  <w:shd w:val="clear" w:color="auto" w:fill="auto"/>
                  <w:vAlign w:val="center"/>
                </w:tcPr>
                <w:p w14:paraId="2B784BC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554" w:type="pct"/>
                  <w:shd w:val="clear" w:color="auto" w:fill="auto"/>
                </w:tcPr>
                <w:p w14:paraId="4DF2DF0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47EF208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1EBCF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3AF5AA40">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5D88CF2">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A73A010">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3571333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54" w:type="pct"/>
                  <w:shd w:val="clear" w:color="auto" w:fill="auto"/>
                  <w:vAlign w:val="center"/>
                </w:tcPr>
                <w:p w14:paraId="63D688C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vAlign w:val="center"/>
                </w:tcPr>
                <w:p w14:paraId="2D498DA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14187</w:t>
                  </w:r>
                </w:p>
              </w:tc>
              <w:tc>
                <w:tcPr>
                  <w:tcW w:w="554" w:type="pct"/>
                  <w:shd w:val="clear" w:color="auto" w:fill="auto"/>
                  <w:vAlign w:val="center"/>
                </w:tcPr>
                <w:p w14:paraId="0BF081D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554" w:type="pct"/>
                  <w:shd w:val="clear" w:color="auto" w:fill="auto"/>
                </w:tcPr>
                <w:p w14:paraId="2742DB7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4A8EEB0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D9056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7AF28E8F">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2C82D717">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39AFE01D">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6DCA5FC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554" w:type="pct"/>
                  <w:shd w:val="clear" w:color="auto" w:fill="auto"/>
                  <w:vAlign w:val="center"/>
                </w:tcPr>
                <w:p w14:paraId="166EA16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25F7838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14867</w:t>
                  </w:r>
                </w:p>
              </w:tc>
              <w:tc>
                <w:tcPr>
                  <w:tcW w:w="554" w:type="pct"/>
                  <w:shd w:val="clear" w:color="auto" w:fill="auto"/>
                  <w:vAlign w:val="center"/>
                </w:tcPr>
                <w:p w14:paraId="31F3084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554" w:type="pct"/>
                  <w:shd w:val="clear" w:color="auto" w:fill="auto"/>
                </w:tcPr>
                <w:p w14:paraId="2889AFB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73D568E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1540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7EB66A68">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33A8A248">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2DC20489">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4F3A3E3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554" w:type="pct"/>
                  <w:shd w:val="clear" w:color="auto" w:fill="auto"/>
                  <w:vAlign w:val="center"/>
                </w:tcPr>
                <w:p w14:paraId="32B36B8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554" w:type="pct"/>
                  <w:shd w:val="clear" w:color="auto" w:fill="auto"/>
                  <w:vAlign w:val="center"/>
                </w:tcPr>
                <w:p w14:paraId="3465CD4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14678</w:t>
                  </w:r>
                </w:p>
              </w:tc>
              <w:tc>
                <w:tcPr>
                  <w:tcW w:w="554" w:type="pct"/>
                  <w:shd w:val="clear" w:color="auto" w:fill="auto"/>
                  <w:vAlign w:val="center"/>
                </w:tcPr>
                <w:p w14:paraId="0C345E0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7DCDC6A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1AC3682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930FC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restart"/>
                  <w:shd w:val="clear" w:color="auto" w:fill="auto"/>
                  <w:vAlign w:val="center"/>
                </w:tcPr>
                <w:p w14:paraId="3681189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554" w:type="pct"/>
                  <w:vMerge w:val="restart"/>
                  <w:shd w:val="clear" w:color="auto" w:fill="auto"/>
                  <w:vAlign w:val="center"/>
                </w:tcPr>
                <w:p w14:paraId="55E2A36F">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油烟</w:t>
                  </w:r>
                </w:p>
              </w:tc>
              <w:tc>
                <w:tcPr>
                  <w:tcW w:w="554" w:type="pct"/>
                  <w:vMerge w:val="restart"/>
                  <w:shd w:val="clear" w:color="auto" w:fill="auto"/>
                  <w:vAlign w:val="center"/>
                </w:tcPr>
                <w:p w14:paraId="7D8E2E9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FQ-2</w:t>
                  </w:r>
                </w:p>
                <w:p w14:paraId="356B2EC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出口</w:t>
                  </w:r>
                </w:p>
              </w:tc>
              <w:tc>
                <w:tcPr>
                  <w:tcW w:w="552" w:type="pct"/>
                  <w:shd w:val="clear" w:color="auto" w:fill="auto"/>
                  <w:vAlign w:val="center"/>
                </w:tcPr>
                <w:p w14:paraId="5334CF3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54" w:type="pct"/>
                  <w:shd w:val="clear" w:color="auto" w:fill="auto"/>
                  <w:vAlign w:val="center"/>
                </w:tcPr>
                <w:p w14:paraId="2227A7D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554" w:type="pct"/>
                  <w:shd w:val="clear" w:color="auto" w:fill="auto"/>
                  <w:vAlign w:val="center"/>
                </w:tcPr>
                <w:p w14:paraId="71F6FF6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8393</w:t>
                  </w:r>
                </w:p>
              </w:tc>
              <w:tc>
                <w:tcPr>
                  <w:tcW w:w="554" w:type="pct"/>
                  <w:shd w:val="clear" w:color="auto" w:fill="auto"/>
                  <w:vAlign w:val="center"/>
                </w:tcPr>
                <w:p w14:paraId="763A5EB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554" w:type="pct"/>
                  <w:shd w:val="clear" w:color="auto" w:fill="auto"/>
                  <w:vAlign w:val="center"/>
                </w:tcPr>
                <w:p w14:paraId="40330C5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75B4592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AD29B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18844FE3">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2737C73F">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5B22CA8E">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3F88A65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54" w:type="pct"/>
                  <w:shd w:val="clear" w:color="auto" w:fill="auto"/>
                  <w:vAlign w:val="center"/>
                </w:tcPr>
                <w:p w14:paraId="0B4491B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554" w:type="pct"/>
                  <w:shd w:val="clear" w:color="auto" w:fill="auto"/>
                  <w:vAlign w:val="center"/>
                </w:tcPr>
                <w:p w14:paraId="125D187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8716</w:t>
                  </w:r>
                </w:p>
              </w:tc>
              <w:tc>
                <w:tcPr>
                  <w:tcW w:w="554" w:type="pct"/>
                  <w:shd w:val="clear" w:color="auto" w:fill="auto"/>
                  <w:vAlign w:val="center"/>
                </w:tcPr>
                <w:p w14:paraId="4F78F5B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tcPr>
                <w:p w14:paraId="0E841D8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1C9AD57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F5A5C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510DB7C7">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26907940">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43786CF4">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2A535EA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54" w:type="pct"/>
                  <w:shd w:val="clear" w:color="auto" w:fill="auto"/>
                  <w:vAlign w:val="center"/>
                </w:tcPr>
                <w:p w14:paraId="0100F23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4B99C72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8555</w:t>
                  </w:r>
                </w:p>
              </w:tc>
              <w:tc>
                <w:tcPr>
                  <w:tcW w:w="554" w:type="pct"/>
                  <w:shd w:val="clear" w:color="auto" w:fill="auto"/>
                  <w:vAlign w:val="center"/>
                </w:tcPr>
                <w:p w14:paraId="2F66EEA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2745DC3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1580105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4D886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01B03C92">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24038C2">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67A4EDA8">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5684E24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54" w:type="pct"/>
                  <w:shd w:val="clear" w:color="auto" w:fill="auto"/>
                  <w:vAlign w:val="center"/>
                </w:tcPr>
                <w:p w14:paraId="534EAB4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7E1D800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9362</w:t>
                  </w:r>
                </w:p>
              </w:tc>
              <w:tc>
                <w:tcPr>
                  <w:tcW w:w="554" w:type="pct"/>
                  <w:shd w:val="clear" w:color="auto" w:fill="auto"/>
                  <w:vAlign w:val="center"/>
                </w:tcPr>
                <w:p w14:paraId="5B661CB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554" w:type="pct"/>
                  <w:shd w:val="clear" w:color="auto" w:fill="auto"/>
                </w:tcPr>
                <w:p w14:paraId="0EC8009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5887842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46A98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7EDE3BF2">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558588D0">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347D4074">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728DD0F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554" w:type="pct"/>
                  <w:shd w:val="clear" w:color="auto" w:fill="auto"/>
                  <w:vAlign w:val="center"/>
                </w:tcPr>
                <w:p w14:paraId="0E1634E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7462A9F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8232</w:t>
                  </w:r>
                </w:p>
              </w:tc>
              <w:tc>
                <w:tcPr>
                  <w:tcW w:w="554" w:type="pct"/>
                  <w:shd w:val="clear" w:color="auto" w:fill="auto"/>
                  <w:vAlign w:val="center"/>
                </w:tcPr>
                <w:p w14:paraId="3260226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01BA0DF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1A7A810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714AB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4570EB18">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532B9EA2">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4FADFA80">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2087E83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554" w:type="pct"/>
                  <w:shd w:val="clear" w:color="auto" w:fill="auto"/>
                  <w:vAlign w:val="center"/>
                </w:tcPr>
                <w:p w14:paraId="597F4A1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5431DFF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8652</w:t>
                  </w:r>
                </w:p>
              </w:tc>
              <w:tc>
                <w:tcPr>
                  <w:tcW w:w="554" w:type="pct"/>
                  <w:shd w:val="clear" w:color="auto" w:fill="auto"/>
                  <w:vAlign w:val="center"/>
                </w:tcPr>
                <w:p w14:paraId="5F7D7ED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1C6C555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4E206A3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4D034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restart"/>
                  <w:shd w:val="clear" w:color="auto" w:fill="auto"/>
                  <w:noWrap/>
                  <w:vAlign w:val="center"/>
                </w:tcPr>
                <w:p w14:paraId="4B598A4B">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w:t>
                  </w:r>
                </w:p>
              </w:tc>
              <w:tc>
                <w:tcPr>
                  <w:tcW w:w="554" w:type="pct"/>
                  <w:vMerge w:val="restart"/>
                  <w:shd w:val="clear" w:color="auto" w:fill="auto"/>
                  <w:vAlign w:val="center"/>
                </w:tcPr>
                <w:p w14:paraId="20106797">
                  <w:pPr>
                    <w:adjustRightInd/>
                    <w:snapToGrid/>
                    <w:spacing w:after="0"/>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检测项目</w:t>
                  </w:r>
                </w:p>
              </w:tc>
              <w:tc>
                <w:tcPr>
                  <w:tcW w:w="554" w:type="pct"/>
                  <w:vMerge w:val="restart"/>
                  <w:shd w:val="clear" w:color="auto" w:fill="auto"/>
                  <w:vAlign w:val="center"/>
                </w:tcPr>
                <w:p w14:paraId="0BF4E1A5">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2215" w:type="pct"/>
                  <w:gridSpan w:val="4"/>
                  <w:shd w:val="clear" w:color="auto" w:fill="auto"/>
                  <w:vAlign w:val="center"/>
                </w:tcPr>
                <w:p w14:paraId="6128222E">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cs="Times New Roman"/>
                      <w:b/>
                      <w:bCs/>
                      <w:color w:val="auto"/>
                      <w:sz w:val="21"/>
                      <w:szCs w:val="21"/>
                      <w:vertAlign w:val="superscript"/>
                      <w:lang w:eastAsia="zh-CN"/>
                    </w:rPr>
                    <w:t>）</w:t>
                  </w:r>
                </w:p>
              </w:tc>
              <w:tc>
                <w:tcPr>
                  <w:tcW w:w="554" w:type="pct"/>
                  <w:vMerge w:val="restart"/>
                  <w:shd w:val="clear" w:color="auto" w:fill="auto"/>
                  <w:vAlign w:val="center"/>
                </w:tcPr>
                <w:p w14:paraId="527E8A90">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cs="Times New Roman"/>
                      <w:b/>
                      <w:bCs/>
                      <w:color w:val="auto"/>
                      <w:sz w:val="21"/>
                      <w:szCs w:val="21"/>
                      <w:vertAlign w:val="superscript"/>
                      <w:lang w:eastAsia="zh-CN"/>
                    </w:rPr>
                    <w:t>）</w:t>
                  </w:r>
                </w:p>
              </w:tc>
              <w:tc>
                <w:tcPr>
                  <w:tcW w:w="552" w:type="pct"/>
                  <w:vMerge w:val="restart"/>
                  <w:shd w:val="clear" w:color="auto" w:fill="auto"/>
                  <w:vAlign w:val="center"/>
                </w:tcPr>
                <w:p w14:paraId="68D18F2B">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484592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5" w:hRule="atLeast"/>
              </w:trPr>
              <w:tc>
                <w:tcPr>
                  <w:tcW w:w="569" w:type="pct"/>
                  <w:vMerge w:val="continue"/>
                  <w:vAlign w:val="center"/>
                </w:tcPr>
                <w:p w14:paraId="586C8BFE">
                  <w:pPr>
                    <w:adjustRightInd/>
                    <w:snapToGrid/>
                    <w:spacing w:after="0"/>
                    <w:rPr>
                      <w:rFonts w:hint="default" w:ascii="Times New Roman" w:hAnsi="Times New Roman" w:eastAsia="宋体" w:cs="Times New Roman"/>
                      <w:b/>
                      <w:bCs/>
                      <w:color w:val="auto"/>
                      <w:sz w:val="21"/>
                      <w:szCs w:val="21"/>
                    </w:rPr>
                  </w:pPr>
                </w:p>
              </w:tc>
              <w:tc>
                <w:tcPr>
                  <w:tcW w:w="554" w:type="pct"/>
                  <w:vMerge w:val="continue"/>
                  <w:vAlign w:val="center"/>
                </w:tcPr>
                <w:p w14:paraId="11054C6A">
                  <w:pPr>
                    <w:adjustRightInd/>
                    <w:snapToGrid/>
                    <w:spacing w:after="0"/>
                    <w:rPr>
                      <w:rFonts w:hint="default" w:ascii="Times New Roman" w:hAnsi="Times New Roman" w:eastAsia="宋体" w:cs="Times New Roman"/>
                      <w:b/>
                      <w:bCs/>
                      <w:color w:val="auto"/>
                      <w:sz w:val="21"/>
                      <w:szCs w:val="21"/>
                    </w:rPr>
                  </w:pPr>
                </w:p>
              </w:tc>
              <w:tc>
                <w:tcPr>
                  <w:tcW w:w="554" w:type="pct"/>
                  <w:vMerge w:val="continue"/>
                  <w:vAlign w:val="center"/>
                </w:tcPr>
                <w:p w14:paraId="5D35A244">
                  <w:pPr>
                    <w:adjustRightInd/>
                    <w:snapToGrid/>
                    <w:spacing w:after="0"/>
                    <w:rPr>
                      <w:rFonts w:hint="default" w:ascii="Times New Roman" w:hAnsi="Times New Roman" w:eastAsia="宋体" w:cs="Times New Roman"/>
                      <w:b/>
                      <w:bCs/>
                      <w:color w:val="auto"/>
                      <w:sz w:val="21"/>
                      <w:szCs w:val="21"/>
                    </w:rPr>
                  </w:pPr>
                </w:p>
              </w:tc>
              <w:tc>
                <w:tcPr>
                  <w:tcW w:w="552" w:type="pct"/>
                  <w:shd w:val="clear" w:color="auto" w:fill="auto"/>
                  <w:vAlign w:val="center"/>
                </w:tcPr>
                <w:p w14:paraId="61B97000">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频次</w:t>
                  </w:r>
                </w:p>
              </w:tc>
              <w:tc>
                <w:tcPr>
                  <w:tcW w:w="554" w:type="pct"/>
                  <w:shd w:val="clear" w:color="auto" w:fill="auto"/>
                  <w:vAlign w:val="center"/>
                </w:tcPr>
                <w:p w14:paraId="34B738F9">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实测浓度mg/m</w:t>
                  </w:r>
                  <w:r>
                    <w:rPr>
                      <w:rFonts w:hint="default" w:ascii="Times New Roman" w:hAnsi="Times New Roman" w:eastAsia="宋体" w:cs="Times New Roman"/>
                      <w:b/>
                      <w:bCs/>
                      <w:color w:val="auto"/>
                      <w:sz w:val="21"/>
                      <w:szCs w:val="21"/>
                      <w:vertAlign w:val="superscript"/>
                    </w:rPr>
                    <w:t>3</w:t>
                  </w:r>
                </w:p>
              </w:tc>
              <w:tc>
                <w:tcPr>
                  <w:tcW w:w="554" w:type="pct"/>
                  <w:shd w:val="clear" w:color="auto" w:fill="auto"/>
                  <w:vAlign w:val="center"/>
                </w:tcPr>
                <w:p w14:paraId="751DA767">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排风量Nm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554" w:type="pct"/>
                  <w:shd w:val="clear" w:color="auto" w:fill="auto"/>
                  <w:vAlign w:val="center"/>
                </w:tcPr>
                <w:p w14:paraId="60834421">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基准排放浓度mg/m</w:t>
                  </w:r>
                  <w:r>
                    <w:rPr>
                      <w:rFonts w:hint="default" w:ascii="Times New Roman" w:hAnsi="Times New Roman" w:eastAsia="宋体" w:cs="Times New Roman"/>
                      <w:b/>
                      <w:bCs/>
                      <w:color w:val="auto"/>
                      <w:sz w:val="21"/>
                      <w:szCs w:val="21"/>
                      <w:vertAlign w:val="superscript"/>
                    </w:rPr>
                    <w:t>3</w:t>
                  </w:r>
                </w:p>
              </w:tc>
              <w:tc>
                <w:tcPr>
                  <w:tcW w:w="554" w:type="pct"/>
                  <w:vMerge w:val="continue"/>
                  <w:vAlign w:val="center"/>
                </w:tcPr>
                <w:p w14:paraId="35AAAFAB">
                  <w:pPr>
                    <w:adjustRightInd/>
                    <w:snapToGrid/>
                    <w:spacing w:after="0"/>
                    <w:rPr>
                      <w:rFonts w:hint="default" w:ascii="Times New Roman" w:hAnsi="Times New Roman" w:eastAsia="宋体" w:cs="Times New Roman"/>
                      <w:b/>
                      <w:bCs/>
                      <w:color w:val="auto"/>
                      <w:sz w:val="21"/>
                      <w:szCs w:val="21"/>
                    </w:rPr>
                  </w:pPr>
                </w:p>
              </w:tc>
              <w:tc>
                <w:tcPr>
                  <w:tcW w:w="552" w:type="pct"/>
                  <w:vMerge w:val="continue"/>
                  <w:vAlign w:val="center"/>
                </w:tcPr>
                <w:p w14:paraId="0BDE6BB4">
                  <w:pPr>
                    <w:adjustRightInd/>
                    <w:snapToGrid/>
                    <w:spacing w:after="0"/>
                    <w:rPr>
                      <w:rFonts w:hint="default" w:ascii="Times New Roman" w:hAnsi="Times New Roman" w:eastAsia="宋体" w:cs="Times New Roman"/>
                      <w:b/>
                      <w:bCs/>
                      <w:color w:val="auto"/>
                      <w:sz w:val="21"/>
                      <w:szCs w:val="21"/>
                    </w:rPr>
                  </w:pPr>
                </w:p>
              </w:tc>
            </w:tr>
            <w:tr w14:paraId="0547E8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restart"/>
                  <w:shd w:val="clear" w:color="auto" w:fill="auto"/>
                  <w:vAlign w:val="center"/>
                </w:tcPr>
                <w:p w14:paraId="128D004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2024.10.24</w:t>
                  </w:r>
                </w:p>
              </w:tc>
              <w:tc>
                <w:tcPr>
                  <w:tcW w:w="554" w:type="pct"/>
                  <w:vMerge w:val="restart"/>
                  <w:shd w:val="clear" w:color="auto" w:fill="auto"/>
                  <w:vAlign w:val="center"/>
                </w:tcPr>
                <w:p w14:paraId="28A13711">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油烟</w:t>
                  </w:r>
                </w:p>
              </w:tc>
              <w:tc>
                <w:tcPr>
                  <w:tcW w:w="554" w:type="pct"/>
                  <w:vMerge w:val="restart"/>
                  <w:shd w:val="clear" w:color="auto" w:fill="auto"/>
                  <w:vAlign w:val="center"/>
                </w:tcPr>
                <w:p w14:paraId="48C87A3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FQ-1</w:t>
                  </w:r>
                </w:p>
                <w:p w14:paraId="736BA6C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进口</w:t>
                  </w:r>
                </w:p>
              </w:tc>
              <w:tc>
                <w:tcPr>
                  <w:tcW w:w="552" w:type="pct"/>
                  <w:shd w:val="clear" w:color="auto" w:fill="auto"/>
                  <w:vAlign w:val="center"/>
                </w:tcPr>
                <w:p w14:paraId="00477EC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54" w:type="pct"/>
                  <w:shd w:val="clear" w:color="auto" w:fill="auto"/>
                  <w:vAlign w:val="center"/>
                </w:tcPr>
                <w:p w14:paraId="1FE978E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554" w:type="pct"/>
                  <w:shd w:val="clear" w:color="auto" w:fill="auto"/>
                  <w:vAlign w:val="center"/>
                </w:tcPr>
                <w:p w14:paraId="6F8BFCC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17352</w:t>
                  </w:r>
                </w:p>
              </w:tc>
              <w:tc>
                <w:tcPr>
                  <w:tcW w:w="554" w:type="pct"/>
                  <w:shd w:val="clear" w:color="auto" w:fill="auto"/>
                  <w:vAlign w:val="center"/>
                </w:tcPr>
                <w:p w14:paraId="74308DE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275EC0C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3FADA1E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EC72B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529D5595">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36AC5FC5">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48BECA9C">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0B278DE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54" w:type="pct"/>
                  <w:shd w:val="clear" w:color="auto" w:fill="auto"/>
                  <w:vAlign w:val="center"/>
                </w:tcPr>
                <w:p w14:paraId="14B7626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554" w:type="pct"/>
                  <w:shd w:val="clear" w:color="auto" w:fill="auto"/>
                  <w:vAlign w:val="center"/>
                </w:tcPr>
                <w:p w14:paraId="7767267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17098</w:t>
                  </w:r>
                </w:p>
              </w:tc>
              <w:tc>
                <w:tcPr>
                  <w:tcW w:w="554" w:type="pct"/>
                  <w:shd w:val="clear" w:color="auto" w:fill="auto"/>
                  <w:vAlign w:val="center"/>
                </w:tcPr>
                <w:p w14:paraId="22EED87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27C26E3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6A89676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B71D8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50CA378A">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004BE643">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50664C66">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352E463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54" w:type="pct"/>
                  <w:shd w:val="clear" w:color="auto" w:fill="auto"/>
                  <w:vAlign w:val="center"/>
                </w:tcPr>
                <w:p w14:paraId="0AC34A3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554" w:type="pct"/>
                  <w:shd w:val="clear" w:color="auto" w:fill="auto"/>
                  <w:vAlign w:val="center"/>
                </w:tcPr>
                <w:p w14:paraId="4F31873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16841</w:t>
                  </w:r>
                </w:p>
              </w:tc>
              <w:tc>
                <w:tcPr>
                  <w:tcW w:w="554" w:type="pct"/>
                  <w:shd w:val="clear" w:color="auto" w:fill="auto"/>
                  <w:vAlign w:val="center"/>
                </w:tcPr>
                <w:p w14:paraId="013A3D2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3B6353B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774215C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77E85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3721C7F3">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D7867E2">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79B59F50">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7ED585B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54" w:type="pct"/>
                  <w:shd w:val="clear" w:color="auto" w:fill="auto"/>
                  <w:vAlign w:val="center"/>
                </w:tcPr>
                <w:p w14:paraId="3F26871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554" w:type="pct"/>
                  <w:shd w:val="clear" w:color="auto" w:fill="auto"/>
                  <w:vAlign w:val="center"/>
                </w:tcPr>
                <w:p w14:paraId="087F92F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17122</w:t>
                  </w:r>
                </w:p>
              </w:tc>
              <w:tc>
                <w:tcPr>
                  <w:tcW w:w="554" w:type="pct"/>
                  <w:shd w:val="clear" w:color="auto" w:fill="auto"/>
                  <w:vAlign w:val="center"/>
                </w:tcPr>
                <w:p w14:paraId="521B68A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23BE4AF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22C6167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3EE80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73DEC89D">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41730EB0">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06C7695E">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20E7616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554" w:type="pct"/>
                  <w:shd w:val="clear" w:color="auto" w:fill="auto"/>
                  <w:vAlign w:val="center"/>
                </w:tcPr>
                <w:p w14:paraId="137D962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554" w:type="pct"/>
                  <w:shd w:val="clear" w:color="auto" w:fill="auto"/>
                  <w:vAlign w:val="center"/>
                </w:tcPr>
                <w:p w14:paraId="1308B96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16586</w:t>
                  </w:r>
                </w:p>
              </w:tc>
              <w:tc>
                <w:tcPr>
                  <w:tcW w:w="554" w:type="pct"/>
                  <w:shd w:val="clear" w:color="auto" w:fill="auto"/>
                  <w:vAlign w:val="center"/>
                </w:tcPr>
                <w:p w14:paraId="42E7454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5345209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3B21AB3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D4939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7312A0CC">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2BB29B99">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48627E77">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6D7248B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554" w:type="pct"/>
                  <w:shd w:val="clear" w:color="auto" w:fill="auto"/>
                  <w:vAlign w:val="center"/>
                </w:tcPr>
                <w:p w14:paraId="65F9C0F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554" w:type="pct"/>
                  <w:shd w:val="clear" w:color="auto" w:fill="auto"/>
                  <w:vAlign w:val="center"/>
                </w:tcPr>
                <w:p w14:paraId="2F54B6C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17000</w:t>
                  </w:r>
                </w:p>
              </w:tc>
              <w:tc>
                <w:tcPr>
                  <w:tcW w:w="554" w:type="pct"/>
                  <w:shd w:val="clear" w:color="auto" w:fill="auto"/>
                  <w:vAlign w:val="center"/>
                </w:tcPr>
                <w:p w14:paraId="7D49ED1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4" w:type="pct"/>
                  <w:shd w:val="clear" w:color="auto" w:fill="auto"/>
                  <w:vAlign w:val="center"/>
                </w:tcPr>
                <w:p w14:paraId="7660B00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52" w:type="pct"/>
                  <w:shd w:val="clear" w:color="auto" w:fill="auto"/>
                  <w:vAlign w:val="center"/>
                </w:tcPr>
                <w:p w14:paraId="3599011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8B4C8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restart"/>
                  <w:shd w:val="clear" w:color="auto" w:fill="auto"/>
                  <w:vAlign w:val="center"/>
                </w:tcPr>
                <w:p w14:paraId="24FE010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2024.10.24</w:t>
                  </w:r>
                </w:p>
              </w:tc>
              <w:tc>
                <w:tcPr>
                  <w:tcW w:w="554" w:type="pct"/>
                  <w:vMerge w:val="restart"/>
                  <w:shd w:val="clear" w:color="auto" w:fill="auto"/>
                  <w:vAlign w:val="center"/>
                </w:tcPr>
                <w:p w14:paraId="16753DB4">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油烟</w:t>
                  </w:r>
                </w:p>
              </w:tc>
              <w:tc>
                <w:tcPr>
                  <w:tcW w:w="554" w:type="pct"/>
                  <w:vMerge w:val="restart"/>
                  <w:shd w:val="clear" w:color="auto" w:fill="auto"/>
                  <w:vAlign w:val="center"/>
                </w:tcPr>
                <w:p w14:paraId="7BAD27A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FQ-1</w:t>
                  </w:r>
                </w:p>
                <w:p w14:paraId="7DC6ACF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出口</w:t>
                  </w:r>
                </w:p>
              </w:tc>
              <w:tc>
                <w:tcPr>
                  <w:tcW w:w="552" w:type="pct"/>
                  <w:shd w:val="clear" w:color="auto" w:fill="auto"/>
                  <w:vAlign w:val="center"/>
                </w:tcPr>
                <w:p w14:paraId="175840E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54" w:type="pct"/>
                  <w:shd w:val="clear" w:color="auto" w:fill="auto"/>
                  <w:vAlign w:val="center"/>
                </w:tcPr>
                <w:p w14:paraId="4272E89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554" w:type="pct"/>
                  <w:shd w:val="clear" w:color="auto" w:fill="auto"/>
                  <w:vAlign w:val="center"/>
                </w:tcPr>
                <w:p w14:paraId="3316158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13757</w:t>
                  </w:r>
                </w:p>
              </w:tc>
              <w:tc>
                <w:tcPr>
                  <w:tcW w:w="554" w:type="pct"/>
                  <w:shd w:val="clear" w:color="auto" w:fill="auto"/>
                  <w:vAlign w:val="center"/>
                </w:tcPr>
                <w:p w14:paraId="3CAAE21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554" w:type="pct"/>
                  <w:shd w:val="clear" w:color="auto" w:fill="auto"/>
                  <w:vAlign w:val="center"/>
                </w:tcPr>
                <w:p w14:paraId="04F2575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079E836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5ABB9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7BBBC07D">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02AD9F7">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63672C44">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6B5EBD3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54" w:type="pct"/>
                  <w:shd w:val="clear" w:color="auto" w:fill="auto"/>
                  <w:vAlign w:val="center"/>
                </w:tcPr>
                <w:p w14:paraId="45137AA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3219505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13465</w:t>
                  </w:r>
                </w:p>
              </w:tc>
              <w:tc>
                <w:tcPr>
                  <w:tcW w:w="554" w:type="pct"/>
                  <w:shd w:val="clear" w:color="auto" w:fill="auto"/>
                  <w:vAlign w:val="center"/>
                </w:tcPr>
                <w:p w14:paraId="25BDD4C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554" w:type="pct"/>
                  <w:shd w:val="clear" w:color="auto" w:fill="auto"/>
                </w:tcPr>
                <w:p w14:paraId="6C68E16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67B3854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CB1B4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1E360E7C">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4E41B2B4">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2E1B4BFE">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5C3F385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54" w:type="pct"/>
                  <w:shd w:val="clear" w:color="auto" w:fill="auto"/>
                  <w:vAlign w:val="center"/>
                </w:tcPr>
                <w:p w14:paraId="1CBEED8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4BF325B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14343</w:t>
                  </w:r>
                </w:p>
              </w:tc>
              <w:tc>
                <w:tcPr>
                  <w:tcW w:w="554" w:type="pct"/>
                  <w:shd w:val="clear" w:color="auto" w:fill="auto"/>
                  <w:vAlign w:val="center"/>
                </w:tcPr>
                <w:p w14:paraId="5BEEBDE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554" w:type="pct"/>
                  <w:shd w:val="clear" w:color="auto" w:fill="auto"/>
                </w:tcPr>
                <w:p w14:paraId="4F61785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174DA0C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D0838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07F40746">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616BC7DD">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75D946A8">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24936C6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54" w:type="pct"/>
                  <w:shd w:val="clear" w:color="auto" w:fill="auto"/>
                  <w:vAlign w:val="center"/>
                </w:tcPr>
                <w:p w14:paraId="33D31C1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554" w:type="pct"/>
                  <w:shd w:val="clear" w:color="auto" w:fill="auto"/>
                  <w:vAlign w:val="center"/>
                </w:tcPr>
                <w:p w14:paraId="6874278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14050</w:t>
                  </w:r>
                </w:p>
              </w:tc>
              <w:tc>
                <w:tcPr>
                  <w:tcW w:w="554" w:type="pct"/>
                  <w:shd w:val="clear" w:color="auto" w:fill="auto"/>
                  <w:vAlign w:val="center"/>
                </w:tcPr>
                <w:p w14:paraId="39EDE30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051D212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04CAF30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AA47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18F87D6A">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33FA5C1">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5FA9FAA9">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7D743DB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554" w:type="pct"/>
                  <w:shd w:val="clear" w:color="auto" w:fill="auto"/>
                  <w:vAlign w:val="center"/>
                </w:tcPr>
                <w:p w14:paraId="2874F08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554" w:type="pct"/>
                  <w:shd w:val="clear" w:color="auto" w:fill="auto"/>
                  <w:vAlign w:val="center"/>
                </w:tcPr>
                <w:p w14:paraId="470921E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13874</w:t>
                  </w:r>
                </w:p>
              </w:tc>
              <w:tc>
                <w:tcPr>
                  <w:tcW w:w="554" w:type="pct"/>
                  <w:shd w:val="clear" w:color="auto" w:fill="auto"/>
                  <w:vAlign w:val="center"/>
                </w:tcPr>
                <w:p w14:paraId="1337C83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554" w:type="pct"/>
                  <w:shd w:val="clear" w:color="auto" w:fill="auto"/>
                </w:tcPr>
                <w:p w14:paraId="09D9A65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012040E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29BCF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3337D957">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38E7AC4B">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31D7E3D0">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5654F41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554" w:type="pct"/>
                  <w:shd w:val="clear" w:color="auto" w:fill="auto"/>
                  <w:vAlign w:val="center"/>
                </w:tcPr>
                <w:p w14:paraId="28A8858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234CEA0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13898</w:t>
                  </w:r>
                </w:p>
              </w:tc>
              <w:tc>
                <w:tcPr>
                  <w:tcW w:w="554" w:type="pct"/>
                  <w:shd w:val="clear" w:color="auto" w:fill="auto"/>
                  <w:vAlign w:val="center"/>
                </w:tcPr>
                <w:p w14:paraId="324389C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tcPr>
                <w:p w14:paraId="731B86F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6847F5A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0A8CA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restart"/>
                  <w:shd w:val="clear" w:color="auto" w:fill="auto"/>
                  <w:vAlign w:val="center"/>
                </w:tcPr>
                <w:p w14:paraId="76A181F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2024.10.24</w:t>
                  </w:r>
                </w:p>
              </w:tc>
              <w:tc>
                <w:tcPr>
                  <w:tcW w:w="554" w:type="pct"/>
                  <w:vMerge w:val="restart"/>
                  <w:shd w:val="clear" w:color="auto" w:fill="auto"/>
                  <w:vAlign w:val="center"/>
                </w:tcPr>
                <w:p w14:paraId="776D4743">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油烟</w:t>
                  </w:r>
                </w:p>
              </w:tc>
              <w:tc>
                <w:tcPr>
                  <w:tcW w:w="554" w:type="pct"/>
                  <w:vMerge w:val="restart"/>
                  <w:shd w:val="clear" w:color="auto" w:fill="auto"/>
                  <w:vAlign w:val="center"/>
                </w:tcPr>
                <w:p w14:paraId="13FCCA0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FQ-2</w:t>
                  </w:r>
                </w:p>
                <w:p w14:paraId="26D4FBB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出口</w:t>
                  </w:r>
                </w:p>
              </w:tc>
              <w:tc>
                <w:tcPr>
                  <w:tcW w:w="552" w:type="pct"/>
                  <w:shd w:val="clear" w:color="auto" w:fill="auto"/>
                  <w:vAlign w:val="center"/>
                </w:tcPr>
                <w:p w14:paraId="22401E0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554" w:type="pct"/>
                  <w:shd w:val="clear" w:color="auto" w:fill="auto"/>
                  <w:vAlign w:val="center"/>
                </w:tcPr>
                <w:p w14:paraId="615B0F7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23BB144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9031</w:t>
                  </w:r>
                </w:p>
              </w:tc>
              <w:tc>
                <w:tcPr>
                  <w:tcW w:w="554" w:type="pct"/>
                  <w:shd w:val="clear" w:color="auto" w:fill="auto"/>
                  <w:vAlign w:val="center"/>
                </w:tcPr>
                <w:p w14:paraId="22F9B5B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vAlign w:val="center"/>
                </w:tcPr>
                <w:p w14:paraId="3420E07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1E310B4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D9586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673A8A6C">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3B350CA">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1D8D3AB8">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3CAF86E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554" w:type="pct"/>
                  <w:shd w:val="clear" w:color="auto" w:fill="auto"/>
                  <w:vAlign w:val="center"/>
                </w:tcPr>
                <w:p w14:paraId="00B6660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7E74162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9193</w:t>
                  </w:r>
                </w:p>
              </w:tc>
              <w:tc>
                <w:tcPr>
                  <w:tcW w:w="554" w:type="pct"/>
                  <w:shd w:val="clear" w:color="auto" w:fill="auto"/>
                  <w:vAlign w:val="center"/>
                </w:tcPr>
                <w:p w14:paraId="7588791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2D0B009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7AF5975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4F6C2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5AF3EA5C">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27D672EC">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0CC2D0C6">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09A895D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554" w:type="pct"/>
                  <w:shd w:val="clear" w:color="auto" w:fill="auto"/>
                  <w:vAlign w:val="center"/>
                </w:tcPr>
                <w:p w14:paraId="381FAD0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1E7C5A3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8547</w:t>
                  </w:r>
                </w:p>
              </w:tc>
              <w:tc>
                <w:tcPr>
                  <w:tcW w:w="554" w:type="pct"/>
                  <w:shd w:val="clear" w:color="auto" w:fill="auto"/>
                  <w:vAlign w:val="center"/>
                </w:tcPr>
                <w:p w14:paraId="6670E9E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1993F3B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60BA54A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E4EE5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6F422874">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0DB06BBD">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7138836E">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5723695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554" w:type="pct"/>
                  <w:shd w:val="clear" w:color="auto" w:fill="auto"/>
                  <w:vAlign w:val="center"/>
                </w:tcPr>
                <w:p w14:paraId="4903919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0F610D3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9354</w:t>
                  </w:r>
                </w:p>
              </w:tc>
              <w:tc>
                <w:tcPr>
                  <w:tcW w:w="554" w:type="pct"/>
                  <w:shd w:val="clear" w:color="auto" w:fill="auto"/>
                  <w:vAlign w:val="center"/>
                </w:tcPr>
                <w:p w14:paraId="38BE79B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554" w:type="pct"/>
                  <w:shd w:val="clear" w:color="auto" w:fill="auto"/>
                </w:tcPr>
                <w:p w14:paraId="1ACE1BC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680C0B2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CDBA1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16F0FC12">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6F0FFD10">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0A605529">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39424C6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554" w:type="pct"/>
                  <w:shd w:val="clear" w:color="auto" w:fill="auto"/>
                  <w:vAlign w:val="center"/>
                </w:tcPr>
                <w:p w14:paraId="2C7E664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67F58CF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8918</w:t>
                  </w:r>
                </w:p>
              </w:tc>
              <w:tc>
                <w:tcPr>
                  <w:tcW w:w="554" w:type="pct"/>
                  <w:shd w:val="clear" w:color="auto" w:fill="auto"/>
                  <w:vAlign w:val="center"/>
                </w:tcPr>
                <w:p w14:paraId="10C0210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750B2BE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10BA03B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5A826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69" w:type="pct"/>
                  <w:vMerge w:val="continue"/>
                  <w:vAlign w:val="center"/>
                </w:tcPr>
                <w:p w14:paraId="1B029596">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4C2CAE6E">
                  <w:pPr>
                    <w:adjustRightInd/>
                    <w:snapToGrid/>
                    <w:spacing w:after="0"/>
                    <w:rPr>
                      <w:rFonts w:hint="default" w:ascii="Times New Roman" w:hAnsi="Times New Roman" w:eastAsia="宋体" w:cs="Times New Roman"/>
                      <w:color w:val="auto"/>
                      <w:sz w:val="21"/>
                      <w:szCs w:val="21"/>
                    </w:rPr>
                  </w:pPr>
                </w:p>
              </w:tc>
              <w:tc>
                <w:tcPr>
                  <w:tcW w:w="554" w:type="pct"/>
                  <w:vMerge w:val="continue"/>
                  <w:vAlign w:val="center"/>
                </w:tcPr>
                <w:p w14:paraId="01E819F5">
                  <w:pPr>
                    <w:adjustRightInd/>
                    <w:snapToGrid/>
                    <w:spacing w:after="0"/>
                    <w:rPr>
                      <w:rFonts w:hint="default" w:ascii="Times New Roman" w:hAnsi="Times New Roman" w:eastAsia="宋体" w:cs="Times New Roman"/>
                      <w:color w:val="auto"/>
                      <w:sz w:val="21"/>
                      <w:szCs w:val="21"/>
                    </w:rPr>
                  </w:pPr>
                </w:p>
              </w:tc>
              <w:tc>
                <w:tcPr>
                  <w:tcW w:w="552" w:type="pct"/>
                  <w:shd w:val="clear" w:color="auto" w:fill="auto"/>
                  <w:vAlign w:val="center"/>
                </w:tcPr>
                <w:p w14:paraId="1573170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554" w:type="pct"/>
                  <w:shd w:val="clear" w:color="auto" w:fill="auto"/>
                  <w:vAlign w:val="center"/>
                </w:tcPr>
                <w:p w14:paraId="530ED6A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54" w:type="pct"/>
                  <w:shd w:val="clear" w:color="auto" w:fill="auto"/>
                  <w:vAlign w:val="center"/>
                </w:tcPr>
                <w:p w14:paraId="75F273A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9009</w:t>
                  </w:r>
                </w:p>
              </w:tc>
              <w:tc>
                <w:tcPr>
                  <w:tcW w:w="554" w:type="pct"/>
                  <w:shd w:val="clear" w:color="auto" w:fill="auto"/>
                  <w:vAlign w:val="center"/>
                </w:tcPr>
                <w:p w14:paraId="0EE3900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554" w:type="pct"/>
                  <w:shd w:val="clear" w:color="auto" w:fill="auto"/>
                </w:tcPr>
                <w:p w14:paraId="02F80B6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52" w:type="pct"/>
                  <w:shd w:val="clear" w:color="auto" w:fill="auto"/>
                  <w:vAlign w:val="center"/>
                </w:tcPr>
                <w:p w14:paraId="740A27F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4AE91E93">
            <w:pPr>
              <w:spacing w:after="0" w:line="500" w:lineRule="exact"/>
              <w:ind w:firstLine="482"/>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监测</w:t>
            </w:r>
            <w:r>
              <w:rPr>
                <w:rFonts w:hint="eastAsia" w:ascii="Times New Roman" w:hAnsi="Times New Roman" w:eastAsia="宋体" w:cs="Times New Roman"/>
                <w:color w:val="auto"/>
                <w:sz w:val="24"/>
                <w:szCs w:val="24"/>
                <w:lang w:eastAsia="zh-CN"/>
              </w:rPr>
              <w:t>结果表明：炒制油烟满足《饮食业油烟排放标准》（试行）（GB18483-2001）中型规模排放标准；食堂油烟满足《饮食业油烟排放标准》（试行）（GB18483-2001）中型规模排放标准。</w:t>
            </w:r>
          </w:p>
          <w:p w14:paraId="73CA3342">
            <w:pPr>
              <w:spacing w:before="48" w:beforeLines="20" w:after="0"/>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w:t>
            </w:r>
            <w:r>
              <w:rPr>
                <w:rFonts w:hint="eastAsia" w:ascii="Times New Roman" w:hAnsi="Times New Roman" w:eastAsia="宋体" w:cs="Times New Roman"/>
                <w:b/>
                <w:color w:val="auto"/>
                <w:sz w:val="24"/>
                <w:szCs w:val="21"/>
                <w:lang w:val="en-US" w:eastAsia="zh-CN"/>
              </w:rPr>
              <w:t>2-1</w:t>
            </w:r>
            <w:r>
              <w:rPr>
                <w:rFonts w:hint="eastAsia" w:cs="Times New Roman"/>
                <w:b/>
                <w:color w:val="auto"/>
                <w:sz w:val="24"/>
                <w:szCs w:val="21"/>
                <w:lang w:val="en-US" w:eastAsia="zh-CN"/>
              </w:rPr>
              <w:t>1</w:t>
            </w:r>
            <w:r>
              <w:rPr>
                <w:rFonts w:hint="default" w:ascii="Times New Roman" w:hAnsi="Times New Roman" w:eastAsia="宋体" w:cs="Times New Roman"/>
                <w:b/>
                <w:color w:val="auto"/>
                <w:sz w:val="24"/>
                <w:szCs w:val="21"/>
              </w:rPr>
              <w:t xml:space="preserve">  无组织废气监测结果</w:t>
            </w:r>
          </w:p>
          <w:tbl>
            <w:tblPr>
              <w:tblStyle w:val="32"/>
              <w:tblW w:w="856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912"/>
              <w:gridCol w:w="1133"/>
              <w:gridCol w:w="813"/>
              <w:gridCol w:w="831"/>
              <w:gridCol w:w="831"/>
              <w:gridCol w:w="854"/>
              <w:gridCol w:w="1114"/>
              <w:gridCol w:w="847"/>
            </w:tblGrid>
            <w:tr w14:paraId="089C3E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37" w:type="dxa"/>
                  <w:vMerge w:val="restart"/>
                  <w:shd w:val="clear" w:color="auto" w:fill="auto"/>
                  <w:vAlign w:val="center"/>
                </w:tcPr>
                <w:p w14:paraId="4CB9A722">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w:t>
                  </w:r>
                </w:p>
              </w:tc>
              <w:tc>
                <w:tcPr>
                  <w:tcW w:w="956" w:type="dxa"/>
                  <w:vMerge w:val="restart"/>
                  <w:shd w:val="clear" w:color="auto" w:fill="auto"/>
                  <w:vAlign w:val="center"/>
                </w:tcPr>
                <w:p w14:paraId="28F2AC08">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1239" w:type="dxa"/>
                  <w:vMerge w:val="restart"/>
                  <w:shd w:val="clear" w:color="auto" w:fill="auto"/>
                  <w:vAlign w:val="center"/>
                </w:tcPr>
                <w:p w14:paraId="4A007DB1">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采样点位</w:t>
                  </w:r>
                </w:p>
              </w:tc>
              <w:tc>
                <w:tcPr>
                  <w:tcW w:w="3395" w:type="dxa"/>
                  <w:gridSpan w:val="4"/>
                  <w:shd w:val="clear" w:color="auto" w:fill="auto"/>
                  <w:vAlign w:val="center"/>
                </w:tcPr>
                <w:p w14:paraId="0F5AB57B">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检测结果mg/m</w:t>
                  </w:r>
                  <w:r>
                    <w:rPr>
                      <w:rFonts w:hint="eastAsia" w:cs="Times New Roman"/>
                      <w:b/>
                      <w:bCs/>
                      <w:color w:val="auto"/>
                      <w:sz w:val="21"/>
                      <w:szCs w:val="21"/>
                      <w:lang w:eastAsia="zh-CN"/>
                    </w:rPr>
                    <w:t>3</w:t>
                  </w:r>
                </w:p>
              </w:tc>
              <w:tc>
                <w:tcPr>
                  <w:tcW w:w="888" w:type="dxa"/>
                  <w:vMerge w:val="restart"/>
                  <w:shd w:val="clear" w:color="auto" w:fill="auto"/>
                  <w:vAlign w:val="center"/>
                </w:tcPr>
                <w:p w14:paraId="189CDCBC">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cs="Times New Roman"/>
                      <w:b/>
                      <w:bCs/>
                      <w:color w:val="auto"/>
                      <w:sz w:val="21"/>
                      <w:szCs w:val="21"/>
                      <w:vertAlign w:val="superscript"/>
                      <w:lang w:eastAsia="zh-CN"/>
                    </w:rPr>
                    <w:t>）</w:t>
                  </w:r>
                </w:p>
              </w:tc>
              <w:tc>
                <w:tcPr>
                  <w:tcW w:w="847" w:type="dxa"/>
                  <w:vMerge w:val="restart"/>
                  <w:shd w:val="clear" w:color="auto" w:fill="auto"/>
                  <w:vAlign w:val="center"/>
                </w:tcPr>
                <w:p w14:paraId="53181E45">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037461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4E0CD15C">
                  <w:pPr>
                    <w:adjustRightInd/>
                    <w:snapToGrid/>
                    <w:spacing w:after="0"/>
                    <w:rPr>
                      <w:rFonts w:hint="default" w:ascii="Times New Roman" w:hAnsi="Times New Roman" w:eastAsia="宋体" w:cs="Times New Roman"/>
                      <w:b/>
                      <w:bCs/>
                      <w:color w:val="auto"/>
                      <w:sz w:val="21"/>
                      <w:szCs w:val="21"/>
                    </w:rPr>
                  </w:pPr>
                </w:p>
              </w:tc>
              <w:tc>
                <w:tcPr>
                  <w:tcW w:w="956" w:type="dxa"/>
                  <w:vMerge w:val="continue"/>
                  <w:vAlign w:val="center"/>
                </w:tcPr>
                <w:p w14:paraId="71E1CE1A">
                  <w:pPr>
                    <w:adjustRightInd/>
                    <w:snapToGrid/>
                    <w:spacing w:after="0"/>
                    <w:rPr>
                      <w:rFonts w:hint="default" w:ascii="Times New Roman" w:hAnsi="Times New Roman" w:eastAsia="宋体" w:cs="Times New Roman"/>
                      <w:b/>
                      <w:bCs/>
                      <w:color w:val="auto"/>
                      <w:sz w:val="21"/>
                      <w:szCs w:val="21"/>
                    </w:rPr>
                  </w:pPr>
                </w:p>
              </w:tc>
              <w:tc>
                <w:tcPr>
                  <w:tcW w:w="1239" w:type="dxa"/>
                  <w:vMerge w:val="continue"/>
                  <w:vAlign w:val="center"/>
                </w:tcPr>
                <w:p w14:paraId="6DC0D07E">
                  <w:pPr>
                    <w:adjustRightInd/>
                    <w:snapToGrid/>
                    <w:spacing w:after="0"/>
                    <w:rPr>
                      <w:rFonts w:hint="default" w:ascii="Times New Roman" w:hAnsi="Times New Roman" w:eastAsia="宋体" w:cs="Times New Roman"/>
                      <w:b/>
                      <w:bCs/>
                      <w:color w:val="auto"/>
                      <w:sz w:val="21"/>
                      <w:szCs w:val="21"/>
                    </w:rPr>
                  </w:pPr>
                </w:p>
              </w:tc>
              <w:tc>
                <w:tcPr>
                  <w:tcW w:w="833" w:type="dxa"/>
                  <w:shd w:val="clear" w:color="auto" w:fill="auto"/>
                  <w:vAlign w:val="center"/>
                </w:tcPr>
                <w:p w14:paraId="71E38B2B">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854" w:type="dxa"/>
                  <w:shd w:val="clear" w:color="auto" w:fill="auto"/>
                  <w:vAlign w:val="center"/>
                </w:tcPr>
                <w:p w14:paraId="27E9E06A">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854" w:type="dxa"/>
                  <w:shd w:val="clear" w:color="auto" w:fill="auto"/>
                  <w:vAlign w:val="center"/>
                </w:tcPr>
                <w:p w14:paraId="70A87A83">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854" w:type="dxa"/>
                  <w:shd w:val="clear" w:color="auto" w:fill="auto"/>
                  <w:noWrap/>
                  <w:vAlign w:val="center"/>
                </w:tcPr>
                <w:p w14:paraId="2018EC59">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均值</w:t>
                  </w:r>
                </w:p>
              </w:tc>
              <w:tc>
                <w:tcPr>
                  <w:tcW w:w="888" w:type="dxa"/>
                  <w:vMerge w:val="continue"/>
                  <w:vAlign w:val="center"/>
                </w:tcPr>
                <w:p w14:paraId="585D13BD">
                  <w:pPr>
                    <w:adjustRightInd/>
                    <w:snapToGrid/>
                    <w:spacing w:after="0"/>
                    <w:rPr>
                      <w:rFonts w:hint="default" w:ascii="Times New Roman" w:hAnsi="Times New Roman" w:eastAsia="宋体" w:cs="Times New Roman"/>
                      <w:b/>
                      <w:bCs/>
                      <w:color w:val="auto"/>
                      <w:sz w:val="21"/>
                      <w:szCs w:val="21"/>
                    </w:rPr>
                  </w:pPr>
                </w:p>
              </w:tc>
              <w:tc>
                <w:tcPr>
                  <w:tcW w:w="847" w:type="dxa"/>
                  <w:vMerge w:val="continue"/>
                  <w:vAlign w:val="center"/>
                </w:tcPr>
                <w:p w14:paraId="58BF1511">
                  <w:pPr>
                    <w:adjustRightInd/>
                    <w:snapToGrid/>
                    <w:spacing w:after="0"/>
                    <w:rPr>
                      <w:rFonts w:hint="default" w:ascii="Times New Roman" w:hAnsi="Times New Roman" w:eastAsia="宋体" w:cs="Times New Roman"/>
                      <w:b/>
                      <w:bCs/>
                      <w:color w:val="auto"/>
                      <w:sz w:val="21"/>
                      <w:szCs w:val="21"/>
                    </w:rPr>
                  </w:pPr>
                </w:p>
              </w:tc>
            </w:tr>
            <w:tr w14:paraId="3F1DC5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restart"/>
                  <w:shd w:val="clear" w:color="auto" w:fill="auto"/>
                  <w:vAlign w:val="center"/>
                </w:tcPr>
                <w:p w14:paraId="2E81319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956" w:type="dxa"/>
                  <w:vMerge w:val="restart"/>
                  <w:shd w:val="clear" w:color="auto" w:fill="auto"/>
                  <w:vAlign w:val="center"/>
                </w:tcPr>
                <w:p w14:paraId="4D3E72C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239" w:type="dxa"/>
                  <w:shd w:val="clear" w:color="auto" w:fill="auto"/>
                  <w:vAlign w:val="center"/>
                </w:tcPr>
                <w:p w14:paraId="71AB819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G1上风向</w:t>
                  </w:r>
                </w:p>
              </w:tc>
              <w:tc>
                <w:tcPr>
                  <w:tcW w:w="833" w:type="dxa"/>
                  <w:shd w:val="clear" w:color="auto" w:fill="auto"/>
                  <w:vAlign w:val="center"/>
                </w:tcPr>
                <w:p w14:paraId="195A613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0BBFB8A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0C91635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noWrap/>
                  <w:vAlign w:val="center"/>
                </w:tcPr>
                <w:p w14:paraId="3BD7FC6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88" w:type="dxa"/>
                  <w:shd w:val="clear" w:color="auto" w:fill="auto"/>
                  <w:vAlign w:val="center"/>
                </w:tcPr>
                <w:p w14:paraId="2F8E4E3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47" w:type="dxa"/>
                  <w:shd w:val="clear" w:color="auto" w:fill="auto"/>
                  <w:noWrap/>
                  <w:vAlign w:val="center"/>
                </w:tcPr>
                <w:p w14:paraId="3A38FEB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21945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1D6E4960">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46BDB296">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1D448DB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G2下风向</w:t>
                  </w:r>
                </w:p>
              </w:tc>
              <w:tc>
                <w:tcPr>
                  <w:tcW w:w="833" w:type="dxa"/>
                  <w:shd w:val="clear" w:color="auto" w:fill="auto"/>
                  <w:vAlign w:val="center"/>
                </w:tcPr>
                <w:p w14:paraId="12C9D15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30DD8C5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2225AC4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noWrap/>
                  <w:vAlign w:val="center"/>
                </w:tcPr>
                <w:p w14:paraId="59E1D04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88" w:type="dxa"/>
                  <w:shd w:val="clear" w:color="auto" w:fill="auto"/>
                  <w:vAlign w:val="center"/>
                </w:tcPr>
                <w:p w14:paraId="6B8040C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47" w:type="dxa"/>
                  <w:shd w:val="clear" w:color="auto" w:fill="auto"/>
                  <w:noWrap/>
                  <w:vAlign w:val="center"/>
                </w:tcPr>
                <w:p w14:paraId="0392CE1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412A9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717068B5">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548C61E8">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513B467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G3下风向</w:t>
                  </w:r>
                </w:p>
              </w:tc>
              <w:tc>
                <w:tcPr>
                  <w:tcW w:w="833" w:type="dxa"/>
                  <w:shd w:val="clear" w:color="auto" w:fill="auto"/>
                  <w:vAlign w:val="center"/>
                </w:tcPr>
                <w:p w14:paraId="3EF8EDB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vAlign w:val="center"/>
                </w:tcPr>
                <w:p w14:paraId="54D3B9C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854" w:type="dxa"/>
                  <w:shd w:val="clear" w:color="auto" w:fill="auto"/>
                  <w:vAlign w:val="center"/>
                </w:tcPr>
                <w:p w14:paraId="135C851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noWrap/>
                  <w:vAlign w:val="center"/>
                </w:tcPr>
                <w:p w14:paraId="66B77E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88" w:type="dxa"/>
                  <w:shd w:val="clear" w:color="auto" w:fill="auto"/>
                  <w:vAlign w:val="center"/>
                </w:tcPr>
                <w:p w14:paraId="24A0531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47" w:type="dxa"/>
                  <w:shd w:val="clear" w:color="auto" w:fill="auto"/>
                  <w:noWrap/>
                  <w:vAlign w:val="center"/>
                </w:tcPr>
                <w:p w14:paraId="2C91D1B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11575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319AD8F7">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71C7B71A">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1161231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G4下风向</w:t>
                  </w:r>
                </w:p>
              </w:tc>
              <w:tc>
                <w:tcPr>
                  <w:tcW w:w="833" w:type="dxa"/>
                  <w:shd w:val="clear" w:color="auto" w:fill="auto"/>
                  <w:vAlign w:val="center"/>
                </w:tcPr>
                <w:p w14:paraId="55B5E9C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vAlign w:val="center"/>
                </w:tcPr>
                <w:p w14:paraId="59E8D71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0DBFF33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noWrap/>
                  <w:vAlign w:val="center"/>
                </w:tcPr>
                <w:p w14:paraId="2A4CF8B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88" w:type="dxa"/>
                  <w:shd w:val="clear" w:color="auto" w:fill="auto"/>
                  <w:vAlign w:val="center"/>
                </w:tcPr>
                <w:p w14:paraId="008968B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47" w:type="dxa"/>
                  <w:shd w:val="clear" w:color="auto" w:fill="auto"/>
                  <w:noWrap/>
                  <w:vAlign w:val="center"/>
                </w:tcPr>
                <w:p w14:paraId="0F05A45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990EA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206920E3">
                  <w:pPr>
                    <w:adjustRightInd/>
                    <w:snapToGrid/>
                    <w:spacing w:after="0"/>
                    <w:rPr>
                      <w:rFonts w:hint="default" w:ascii="Times New Roman" w:hAnsi="Times New Roman" w:eastAsia="宋体" w:cs="Times New Roman"/>
                      <w:color w:val="auto"/>
                      <w:sz w:val="21"/>
                      <w:szCs w:val="21"/>
                    </w:rPr>
                  </w:pPr>
                </w:p>
              </w:tc>
              <w:tc>
                <w:tcPr>
                  <w:tcW w:w="956" w:type="dxa"/>
                  <w:vMerge w:val="restart"/>
                  <w:shd w:val="clear" w:color="auto" w:fill="auto"/>
                  <w:vAlign w:val="center"/>
                </w:tcPr>
                <w:p w14:paraId="646C6D9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1239" w:type="dxa"/>
                  <w:shd w:val="clear" w:color="auto" w:fill="auto"/>
                  <w:vAlign w:val="center"/>
                </w:tcPr>
                <w:p w14:paraId="095C2B1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G1上风向</w:t>
                  </w:r>
                </w:p>
              </w:tc>
              <w:tc>
                <w:tcPr>
                  <w:tcW w:w="833" w:type="dxa"/>
                  <w:shd w:val="clear" w:color="auto" w:fill="auto"/>
                  <w:vAlign w:val="center"/>
                </w:tcPr>
                <w:p w14:paraId="6A1505E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w:t>
                  </w:r>
                </w:p>
              </w:tc>
              <w:tc>
                <w:tcPr>
                  <w:tcW w:w="854" w:type="dxa"/>
                  <w:shd w:val="clear" w:color="auto" w:fill="auto"/>
                  <w:vAlign w:val="center"/>
                </w:tcPr>
                <w:p w14:paraId="4F1D5F9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854" w:type="dxa"/>
                  <w:shd w:val="clear" w:color="auto" w:fill="auto"/>
                  <w:vAlign w:val="center"/>
                </w:tcPr>
                <w:p w14:paraId="346F53B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854" w:type="dxa"/>
                  <w:shd w:val="clear" w:color="auto" w:fill="auto"/>
                  <w:noWrap/>
                  <w:vAlign w:val="center"/>
                </w:tcPr>
                <w:p w14:paraId="271269F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888" w:type="dxa"/>
                  <w:shd w:val="clear" w:color="auto" w:fill="auto"/>
                  <w:vAlign w:val="center"/>
                </w:tcPr>
                <w:p w14:paraId="6EBCAC5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47" w:type="dxa"/>
                  <w:shd w:val="clear" w:color="auto" w:fill="auto"/>
                  <w:noWrap/>
                  <w:vAlign w:val="center"/>
                </w:tcPr>
                <w:p w14:paraId="452A11B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1AF20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3F993660">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33030D91">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2B89570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G2下风向</w:t>
                  </w:r>
                </w:p>
              </w:tc>
              <w:tc>
                <w:tcPr>
                  <w:tcW w:w="833" w:type="dxa"/>
                  <w:shd w:val="clear" w:color="auto" w:fill="auto"/>
                  <w:vAlign w:val="center"/>
                </w:tcPr>
                <w:p w14:paraId="631EB8D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54" w:type="dxa"/>
                  <w:shd w:val="clear" w:color="auto" w:fill="auto"/>
                  <w:vAlign w:val="center"/>
                </w:tcPr>
                <w:p w14:paraId="37041AA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854" w:type="dxa"/>
                  <w:shd w:val="clear" w:color="auto" w:fill="auto"/>
                  <w:vAlign w:val="center"/>
                </w:tcPr>
                <w:p w14:paraId="2DCEEDC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854" w:type="dxa"/>
                  <w:shd w:val="clear" w:color="auto" w:fill="auto"/>
                  <w:noWrap/>
                  <w:vAlign w:val="center"/>
                </w:tcPr>
                <w:p w14:paraId="1B23FFE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88" w:type="dxa"/>
                  <w:shd w:val="clear" w:color="auto" w:fill="auto"/>
                  <w:noWrap/>
                  <w:vAlign w:val="center"/>
                </w:tcPr>
                <w:p w14:paraId="6694C4B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47" w:type="dxa"/>
                  <w:shd w:val="clear" w:color="auto" w:fill="auto"/>
                  <w:noWrap/>
                  <w:vAlign w:val="center"/>
                </w:tcPr>
                <w:p w14:paraId="6CD40CA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CAE2F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0ED93AB7">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72E4E886">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4722828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G3下风向</w:t>
                  </w:r>
                </w:p>
              </w:tc>
              <w:tc>
                <w:tcPr>
                  <w:tcW w:w="833" w:type="dxa"/>
                  <w:shd w:val="clear" w:color="auto" w:fill="auto"/>
                  <w:vAlign w:val="center"/>
                </w:tcPr>
                <w:p w14:paraId="781880D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854" w:type="dxa"/>
                  <w:shd w:val="clear" w:color="auto" w:fill="auto"/>
                  <w:vAlign w:val="center"/>
                </w:tcPr>
                <w:p w14:paraId="0C27847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54" w:type="dxa"/>
                  <w:shd w:val="clear" w:color="auto" w:fill="auto"/>
                  <w:vAlign w:val="center"/>
                </w:tcPr>
                <w:p w14:paraId="54D145B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54" w:type="dxa"/>
                  <w:shd w:val="clear" w:color="auto" w:fill="auto"/>
                  <w:noWrap/>
                  <w:vAlign w:val="center"/>
                </w:tcPr>
                <w:p w14:paraId="27721AC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88" w:type="dxa"/>
                  <w:shd w:val="clear" w:color="auto" w:fill="auto"/>
                  <w:noWrap/>
                  <w:vAlign w:val="center"/>
                </w:tcPr>
                <w:p w14:paraId="5FDE103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47" w:type="dxa"/>
                  <w:shd w:val="clear" w:color="auto" w:fill="auto"/>
                  <w:noWrap/>
                  <w:vAlign w:val="center"/>
                </w:tcPr>
                <w:p w14:paraId="11C32A4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3FCAA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4EF53AB2">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6757BFF3">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6AE12F8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G4下风向</w:t>
                  </w:r>
                </w:p>
              </w:tc>
              <w:tc>
                <w:tcPr>
                  <w:tcW w:w="833" w:type="dxa"/>
                  <w:shd w:val="clear" w:color="auto" w:fill="auto"/>
                  <w:vAlign w:val="center"/>
                </w:tcPr>
                <w:p w14:paraId="07C379D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854" w:type="dxa"/>
                  <w:shd w:val="clear" w:color="auto" w:fill="auto"/>
                  <w:vAlign w:val="center"/>
                </w:tcPr>
                <w:p w14:paraId="68138E2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54" w:type="dxa"/>
                  <w:shd w:val="clear" w:color="auto" w:fill="auto"/>
                  <w:vAlign w:val="center"/>
                </w:tcPr>
                <w:p w14:paraId="6C7E511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54" w:type="dxa"/>
                  <w:shd w:val="clear" w:color="auto" w:fill="auto"/>
                  <w:noWrap/>
                  <w:vAlign w:val="center"/>
                </w:tcPr>
                <w:p w14:paraId="3561CA2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88" w:type="dxa"/>
                  <w:shd w:val="clear" w:color="auto" w:fill="auto"/>
                  <w:noWrap/>
                  <w:vAlign w:val="center"/>
                </w:tcPr>
                <w:p w14:paraId="0BAD588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47" w:type="dxa"/>
                  <w:shd w:val="clear" w:color="auto" w:fill="auto"/>
                  <w:noWrap/>
                  <w:vAlign w:val="center"/>
                </w:tcPr>
                <w:p w14:paraId="5D5F34B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4835A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276F823B">
                  <w:pPr>
                    <w:adjustRightInd/>
                    <w:snapToGrid/>
                    <w:spacing w:after="0"/>
                    <w:rPr>
                      <w:rFonts w:hint="default" w:ascii="Times New Roman" w:hAnsi="Times New Roman" w:eastAsia="宋体" w:cs="Times New Roman"/>
                      <w:color w:val="auto"/>
                      <w:sz w:val="21"/>
                      <w:szCs w:val="21"/>
                    </w:rPr>
                  </w:pPr>
                </w:p>
              </w:tc>
              <w:tc>
                <w:tcPr>
                  <w:tcW w:w="956" w:type="dxa"/>
                  <w:vMerge w:val="restart"/>
                  <w:shd w:val="clear" w:color="auto" w:fill="auto"/>
                  <w:vAlign w:val="center"/>
                </w:tcPr>
                <w:p w14:paraId="23454CD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臭气浓度（无量纲）</w:t>
                  </w:r>
                </w:p>
              </w:tc>
              <w:tc>
                <w:tcPr>
                  <w:tcW w:w="1239" w:type="dxa"/>
                  <w:shd w:val="clear" w:color="auto" w:fill="auto"/>
                  <w:vAlign w:val="center"/>
                </w:tcPr>
                <w:p w14:paraId="422494D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G1上风向</w:t>
                  </w:r>
                </w:p>
              </w:tc>
              <w:tc>
                <w:tcPr>
                  <w:tcW w:w="833" w:type="dxa"/>
                  <w:shd w:val="clear" w:color="auto" w:fill="auto"/>
                  <w:vAlign w:val="center"/>
                </w:tcPr>
                <w:p w14:paraId="1CC22C04">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vAlign w:val="center"/>
                </w:tcPr>
                <w:p w14:paraId="39F77222">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vAlign w:val="center"/>
                </w:tcPr>
                <w:p w14:paraId="44629790">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noWrap/>
                  <w:vAlign w:val="center"/>
                </w:tcPr>
                <w:p w14:paraId="47C222DB">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88" w:type="dxa"/>
                  <w:shd w:val="clear" w:color="auto" w:fill="auto"/>
                  <w:noWrap/>
                  <w:vAlign w:val="center"/>
                </w:tcPr>
                <w:p w14:paraId="20079ED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7" w:type="dxa"/>
                  <w:shd w:val="clear" w:color="auto" w:fill="auto"/>
                  <w:noWrap/>
                  <w:vAlign w:val="center"/>
                </w:tcPr>
                <w:p w14:paraId="74AA414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EB858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7C9391F1">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4E408470">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45E2B04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G2下风向</w:t>
                  </w:r>
                </w:p>
              </w:tc>
              <w:tc>
                <w:tcPr>
                  <w:tcW w:w="833" w:type="dxa"/>
                  <w:shd w:val="clear" w:color="auto" w:fill="auto"/>
                  <w:vAlign w:val="center"/>
                </w:tcPr>
                <w:p w14:paraId="03A9A4FB">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vAlign w:val="center"/>
                </w:tcPr>
                <w:p w14:paraId="6865DBFF">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vAlign w:val="center"/>
                </w:tcPr>
                <w:p w14:paraId="4447B2C1">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noWrap/>
                  <w:vAlign w:val="center"/>
                </w:tcPr>
                <w:p w14:paraId="2273D610">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88" w:type="dxa"/>
                  <w:shd w:val="clear" w:color="auto" w:fill="auto"/>
                  <w:noWrap/>
                  <w:vAlign w:val="center"/>
                </w:tcPr>
                <w:p w14:paraId="52C8D9A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7" w:type="dxa"/>
                  <w:shd w:val="clear" w:color="auto" w:fill="auto"/>
                  <w:noWrap/>
                  <w:vAlign w:val="center"/>
                </w:tcPr>
                <w:p w14:paraId="20E332E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F6E0F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6C4ED3C0">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28707BE2">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684D120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G3下风向</w:t>
                  </w:r>
                </w:p>
              </w:tc>
              <w:tc>
                <w:tcPr>
                  <w:tcW w:w="833" w:type="dxa"/>
                  <w:shd w:val="clear" w:color="auto" w:fill="auto"/>
                  <w:vAlign w:val="center"/>
                </w:tcPr>
                <w:p w14:paraId="0EF4D1FF">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vAlign w:val="center"/>
                </w:tcPr>
                <w:p w14:paraId="6C7DD9F1">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vAlign w:val="center"/>
                </w:tcPr>
                <w:p w14:paraId="3EB0F81E">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noWrap/>
                  <w:vAlign w:val="center"/>
                </w:tcPr>
                <w:p w14:paraId="6976DD62">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88" w:type="dxa"/>
                  <w:shd w:val="clear" w:color="auto" w:fill="auto"/>
                  <w:noWrap/>
                  <w:vAlign w:val="center"/>
                </w:tcPr>
                <w:p w14:paraId="2542FAD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7" w:type="dxa"/>
                  <w:shd w:val="clear" w:color="auto" w:fill="auto"/>
                  <w:noWrap/>
                  <w:vAlign w:val="center"/>
                </w:tcPr>
                <w:p w14:paraId="7E24A69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284DC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02BFE25D">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5D920933">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64D0CA1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G4下风向</w:t>
                  </w:r>
                </w:p>
              </w:tc>
              <w:tc>
                <w:tcPr>
                  <w:tcW w:w="833" w:type="dxa"/>
                  <w:shd w:val="clear" w:color="auto" w:fill="auto"/>
                  <w:vAlign w:val="center"/>
                </w:tcPr>
                <w:p w14:paraId="49A96679">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vAlign w:val="center"/>
                </w:tcPr>
                <w:p w14:paraId="53F9F107">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vAlign w:val="center"/>
                </w:tcPr>
                <w:p w14:paraId="2E9D4AEE">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54" w:type="dxa"/>
                  <w:shd w:val="clear" w:color="auto" w:fill="auto"/>
                  <w:noWrap/>
                  <w:vAlign w:val="center"/>
                </w:tcPr>
                <w:p w14:paraId="55D84C2C">
                  <w:pPr>
                    <w:adjustRightInd/>
                    <w:snapToGrid/>
                    <w:spacing w:after="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&lt;</w:t>
                  </w:r>
                  <w:r>
                    <w:rPr>
                      <w:rFonts w:hint="default" w:ascii="Times New Roman" w:hAnsi="Times New Roman" w:eastAsia="宋体" w:cs="Times New Roman"/>
                      <w:color w:val="auto"/>
                      <w:sz w:val="21"/>
                      <w:szCs w:val="21"/>
                    </w:rPr>
                    <w:t>10</w:t>
                  </w:r>
                </w:p>
              </w:tc>
              <w:tc>
                <w:tcPr>
                  <w:tcW w:w="888" w:type="dxa"/>
                  <w:shd w:val="clear" w:color="auto" w:fill="auto"/>
                  <w:noWrap/>
                  <w:vAlign w:val="center"/>
                </w:tcPr>
                <w:p w14:paraId="1579F33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7" w:type="dxa"/>
                  <w:shd w:val="clear" w:color="auto" w:fill="auto"/>
                  <w:noWrap/>
                  <w:vAlign w:val="center"/>
                </w:tcPr>
                <w:p w14:paraId="30F650D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9BA62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18CCFD4C">
                  <w:pPr>
                    <w:adjustRightInd/>
                    <w:snapToGrid/>
                    <w:spacing w:after="0"/>
                    <w:rPr>
                      <w:rFonts w:hint="default" w:ascii="Times New Roman" w:hAnsi="Times New Roman" w:eastAsia="宋体" w:cs="Times New Roman"/>
                      <w:color w:val="auto"/>
                      <w:sz w:val="21"/>
                      <w:szCs w:val="21"/>
                    </w:rPr>
                  </w:pPr>
                </w:p>
              </w:tc>
              <w:tc>
                <w:tcPr>
                  <w:tcW w:w="956" w:type="dxa"/>
                  <w:vMerge w:val="restart"/>
                  <w:shd w:val="clear" w:color="auto" w:fill="auto"/>
                  <w:vAlign w:val="center"/>
                </w:tcPr>
                <w:p w14:paraId="1F599EE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239" w:type="dxa"/>
                  <w:shd w:val="clear" w:color="auto" w:fill="auto"/>
                  <w:vAlign w:val="center"/>
                </w:tcPr>
                <w:p w14:paraId="00C7AE3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G1上风向</w:t>
                  </w:r>
                </w:p>
              </w:tc>
              <w:tc>
                <w:tcPr>
                  <w:tcW w:w="833" w:type="dxa"/>
                  <w:shd w:val="clear" w:color="auto" w:fill="auto"/>
                  <w:vAlign w:val="center"/>
                </w:tcPr>
                <w:p w14:paraId="0636B53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0.71</w:t>
                  </w:r>
                </w:p>
              </w:tc>
              <w:tc>
                <w:tcPr>
                  <w:tcW w:w="854" w:type="dxa"/>
                  <w:shd w:val="clear" w:color="auto" w:fill="auto"/>
                  <w:vAlign w:val="center"/>
                </w:tcPr>
                <w:p w14:paraId="5BCFBC5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0.73</w:t>
                  </w:r>
                </w:p>
              </w:tc>
              <w:tc>
                <w:tcPr>
                  <w:tcW w:w="854" w:type="dxa"/>
                  <w:shd w:val="clear" w:color="auto" w:fill="auto"/>
                  <w:vAlign w:val="center"/>
                </w:tcPr>
                <w:p w14:paraId="74EAE5F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0.64</w:t>
                  </w:r>
                </w:p>
              </w:tc>
              <w:tc>
                <w:tcPr>
                  <w:tcW w:w="854" w:type="dxa"/>
                  <w:shd w:val="clear" w:color="auto" w:fill="auto"/>
                  <w:noWrap/>
                  <w:vAlign w:val="center"/>
                </w:tcPr>
                <w:p w14:paraId="221088F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0.69</w:t>
                  </w:r>
                </w:p>
              </w:tc>
              <w:tc>
                <w:tcPr>
                  <w:tcW w:w="888" w:type="dxa"/>
                  <w:shd w:val="clear" w:color="auto" w:fill="auto"/>
                  <w:vAlign w:val="center"/>
                </w:tcPr>
                <w:p w14:paraId="2F9F740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47" w:type="dxa"/>
                  <w:shd w:val="clear" w:color="auto" w:fill="auto"/>
                  <w:noWrap/>
                  <w:vAlign w:val="center"/>
                </w:tcPr>
                <w:p w14:paraId="66F8D30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8B69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49FE1D42">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28B84067">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0608D4C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G2下风向</w:t>
                  </w:r>
                </w:p>
              </w:tc>
              <w:tc>
                <w:tcPr>
                  <w:tcW w:w="833" w:type="dxa"/>
                  <w:shd w:val="clear" w:color="auto" w:fill="auto"/>
                  <w:vAlign w:val="center"/>
                </w:tcPr>
                <w:p w14:paraId="5CAF410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w:t>
                  </w:r>
                </w:p>
              </w:tc>
              <w:tc>
                <w:tcPr>
                  <w:tcW w:w="854" w:type="dxa"/>
                  <w:shd w:val="clear" w:color="auto" w:fill="auto"/>
                  <w:vAlign w:val="center"/>
                </w:tcPr>
                <w:p w14:paraId="5B1E174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w:t>
                  </w:r>
                </w:p>
              </w:tc>
              <w:tc>
                <w:tcPr>
                  <w:tcW w:w="854" w:type="dxa"/>
                  <w:shd w:val="clear" w:color="auto" w:fill="auto"/>
                  <w:vAlign w:val="center"/>
                </w:tcPr>
                <w:p w14:paraId="5006C9A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854" w:type="dxa"/>
                  <w:shd w:val="clear" w:color="auto" w:fill="auto"/>
                  <w:noWrap/>
                  <w:vAlign w:val="center"/>
                </w:tcPr>
                <w:p w14:paraId="66D4A92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88" w:type="dxa"/>
                  <w:shd w:val="clear" w:color="auto" w:fill="auto"/>
                  <w:vAlign w:val="center"/>
                </w:tcPr>
                <w:p w14:paraId="2237496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47" w:type="dxa"/>
                  <w:shd w:val="clear" w:color="auto" w:fill="auto"/>
                  <w:noWrap/>
                  <w:vAlign w:val="center"/>
                </w:tcPr>
                <w:p w14:paraId="21F8B7D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ACA7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69F61FB3">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1C2204C2">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55731B6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G3下风向</w:t>
                  </w:r>
                </w:p>
              </w:tc>
              <w:tc>
                <w:tcPr>
                  <w:tcW w:w="833" w:type="dxa"/>
                  <w:shd w:val="clear" w:color="auto" w:fill="auto"/>
                  <w:vAlign w:val="center"/>
                </w:tcPr>
                <w:p w14:paraId="5E05ED3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854" w:type="dxa"/>
                  <w:shd w:val="clear" w:color="auto" w:fill="auto"/>
                  <w:vAlign w:val="center"/>
                </w:tcPr>
                <w:p w14:paraId="70BC9B1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w:t>
                  </w:r>
                </w:p>
              </w:tc>
              <w:tc>
                <w:tcPr>
                  <w:tcW w:w="854" w:type="dxa"/>
                  <w:shd w:val="clear" w:color="auto" w:fill="auto"/>
                  <w:vAlign w:val="center"/>
                </w:tcPr>
                <w:p w14:paraId="08BC001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1.14</w:t>
                  </w:r>
                </w:p>
              </w:tc>
              <w:tc>
                <w:tcPr>
                  <w:tcW w:w="854" w:type="dxa"/>
                  <w:shd w:val="clear" w:color="auto" w:fill="auto"/>
                  <w:noWrap/>
                  <w:vAlign w:val="center"/>
                </w:tcPr>
                <w:p w14:paraId="45A490E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888" w:type="dxa"/>
                  <w:shd w:val="clear" w:color="auto" w:fill="auto"/>
                  <w:vAlign w:val="center"/>
                </w:tcPr>
                <w:p w14:paraId="7284F6B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47" w:type="dxa"/>
                  <w:shd w:val="clear" w:color="auto" w:fill="auto"/>
                  <w:noWrap/>
                  <w:vAlign w:val="center"/>
                </w:tcPr>
                <w:p w14:paraId="371D8DB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6C51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10795433">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0F793519">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7AE7B1A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G4下风向</w:t>
                  </w:r>
                </w:p>
              </w:tc>
              <w:tc>
                <w:tcPr>
                  <w:tcW w:w="833" w:type="dxa"/>
                  <w:shd w:val="clear" w:color="auto" w:fill="auto"/>
                  <w:vAlign w:val="center"/>
                </w:tcPr>
                <w:p w14:paraId="20737F0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w:t>
                  </w:r>
                </w:p>
              </w:tc>
              <w:tc>
                <w:tcPr>
                  <w:tcW w:w="854" w:type="dxa"/>
                  <w:shd w:val="clear" w:color="auto" w:fill="auto"/>
                  <w:vAlign w:val="center"/>
                </w:tcPr>
                <w:p w14:paraId="2D523B5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54" w:type="dxa"/>
                  <w:shd w:val="clear" w:color="auto" w:fill="auto"/>
                  <w:vAlign w:val="center"/>
                </w:tcPr>
                <w:p w14:paraId="781B801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854" w:type="dxa"/>
                  <w:shd w:val="clear" w:color="auto" w:fill="auto"/>
                  <w:noWrap/>
                  <w:vAlign w:val="center"/>
                </w:tcPr>
                <w:p w14:paraId="4DBD027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1.14</w:t>
                  </w:r>
                </w:p>
              </w:tc>
              <w:tc>
                <w:tcPr>
                  <w:tcW w:w="888" w:type="dxa"/>
                  <w:shd w:val="clear" w:color="auto" w:fill="auto"/>
                  <w:vAlign w:val="center"/>
                </w:tcPr>
                <w:p w14:paraId="0E84380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47" w:type="dxa"/>
                  <w:shd w:val="clear" w:color="auto" w:fill="auto"/>
                  <w:noWrap/>
                  <w:vAlign w:val="center"/>
                </w:tcPr>
                <w:p w14:paraId="7E3E8E1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FC652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37" w:type="dxa"/>
                  <w:vMerge w:val="continue"/>
                  <w:vAlign w:val="center"/>
                </w:tcPr>
                <w:p w14:paraId="16939AEE">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75D8CBFA">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09420B1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G5车间外1米</w:t>
                  </w:r>
                </w:p>
              </w:tc>
              <w:tc>
                <w:tcPr>
                  <w:tcW w:w="833" w:type="dxa"/>
                  <w:shd w:val="clear" w:color="auto" w:fill="auto"/>
                  <w:vAlign w:val="center"/>
                </w:tcPr>
                <w:p w14:paraId="6AA9767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854" w:type="dxa"/>
                  <w:shd w:val="clear" w:color="auto" w:fill="auto"/>
                  <w:vAlign w:val="center"/>
                </w:tcPr>
                <w:p w14:paraId="645E026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1.62</w:t>
                  </w:r>
                </w:p>
              </w:tc>
              <w:tc>
                <w:tcPr>
                  <w:tcW w:w="854" w:type="dxa"/>
                  <w:shd w:val="clear" w:color="auto" w:fill="auto"/>
                  <w:vAlign w:val="center"/>
                </w:tcPr>
                <w:p w14:paraId="082AB69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1.59</w:t>
                  </w:r>
                </w:p>
              </w:tc>
              <w:tc>
                <w:tcPr>
                  <w:tcW w:w="854" w:type="dxa"/>
                  <w:shd w:val="clear" w:color="auto" w:fill="auto"/>
                  <w:noWrap/>
                  <w:vAlign w:val="center"/>
                </w:tcPr>
                <w:p w14:paraId="6401F5D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888" w:type="dxa"/>
                  <w:shd w:val="clear" w:color="auto" w:fill="auto"/>
                  <w:vAlign w:val="center"/>
                </w:tcPr>
                <w:p w14:paraId="12174FE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847" w:type="dxa"/>
                  <w:shd w:val="clear" w:color="auto" w:fill="auto"/>
                  <w:noWrap/>
                  <w:vAlign w:val="center"/>
                </w:tcPr>
                <w:p w14:paraId="5177EC4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311BD70A">
            <w:pPr>
              <w:spacing w:after="0" w:line="500" w:lineRule="exact"/>
              <w:ind w:firstLine="482"/>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监测</w:t>
            </w:r>
            <w:r>
              <w:rPr>
                <w:rFonts w:hint="eastAsia" w:ascii="Times New Roman" w:hAnsi="Times New Roman" w:eastAsia="宋体" w:cs="Times New Roman"/>
                <w:color w:val="auto"/>
                <w:sz w:val="24"/>
                <w:szCs w:val="24"/>
                <w:lang w:eastAsia="zh-CN"/>
              </w:rPr>
              <w:t>结果表明：</w:t>
            </w:r>
            <w:r>
              <w:rPr>
                <w:rFonts w:hint="default" w:ascii="Times New Roman" w:hAnsi="Times New Roman" w:eastAsia="宋体" w:cs="Times New Roman"/>
                <w:color w:val="auto"/>
                <w:sz w:val="24"/>
                <w:szCs w:val="24"/>
                <w:lang w:eastAsia="zh-CN"/>
              </w:rPr>
              <w:t>污水处理站无组织氨、硫化氢、臭气浓度排放满足</w:t>
            </w:r>
            <w:bookmarkStart w:id="12" w:name="_Hlk182473609"/>
            <w:r>
              <w:rPr>
                <w:rFonts w:hint="default" w:ascii="Times New Roman" w:hAnsi="Times New Roman" w:eastAsia="宋体" w:cs="Times New Roman"/>
                <w:color w:val="auto"/>
                <w:sz w:val="24"/>
                <w:szCs w:val="24"/>
                <w:lang w:eastAsia="zh-CN"/>
              </w:rPr>
              <w:t>《恶臭污染物排放标准》（GB14554-93）中表1恶臭污染物厂界标准值中的二级（新扩改建）排放标准</w:t>
            </w:r>
            <w:bookmarkEnd w:id="12"/>
            <w:r>
              <w:rPr>
                <w:rFonts w:hint="default" w:ascii="Times New Roman" w:hAnsi="Times New Roman" w:eastAsia="宋体" w:cs="Times New Roman"/>
                <w:color w:val="auto"/>
                <w:sz w:val="24"/>
                <w:szCs w:val="24"/>
                <w:lang w:eastAsia="zh-CN"/>
              </w:rPr>
              <w:t>，厂界执行《大气污染物综合排放标准》（DB32/4041-2021）表3 单位边界大气污染物排放监控浓度限值。</w:t>
            </w:r>
          </w:p>
          <w:p w14:paraId="243CD51C">
            <w:pPr>
              <w:pStyle w:val="2"/>
              <w:ind w:left="0" w:leftChars="0" w:firstLine="720" w:firstLineChars="300"/>
              <w:rPr>
                <w:rFonts w:hint="default" w:ascii="Times New Roman" w:hAnsi="Times New Roman" w:eastAsia="宋体" w:cs="Times New Roman"/>
                <w:color w:val="auto"/>
                <w:sz w:val="24"/>
                <w:szCs w:val="24"/>
              </w:rPr>
            </w:pPr>
          </w:p>
          <w:p w14:paraId="4F1B6474">
            <w:pPr>
              <w:pStyle w:val="2"/>
              <w:ind w:left="0" w:leftChars="0"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w:t>
            </w:r>
          </w:p>
          <w:p w14:paraId="64834EC0">
            <w:pPr>
              <w:spacing w:after="0" w:line="500" w:lineRule="exact"/>
              <w:ind w:firstLine="48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现有项目</w:t>
            </w:r>
            <w:r>
              <w:rPr>
                <w:rFonts w:hint="default" w:ascii="Times New Roman" w:hAnsi="Times New Roman" w:eastAsia="宋体" w:cs="Times New Roman"/>
                <w:color w:val="auto"/>
                <w:sz w:val="24"/>
                <w:szCs w:val="24"/>
              </w:rPr>
              <w:t>数据来自NVTT-2024-Y0312号报告。厂界噪声监测结果见表</w:t>
            </w:r>
            <w:r>
              <w:rPr>
                <w:rFonts w:hint="eastAsia" w:ascii="Times New Roman" w:hAnsi="Times New Roman" w:eastAsia="宋体" w:cs="Times New Roman"/>
                <w:color w:val="auto"/>
                <w:sz w:val="24"/>
                <w:szCs w:val="24"/>
                <w:lang w:val="en-US" w:eastAsia="zh-CN"/>
              </w:rPr>
              <w:t>2-1</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w:t>
            </w:r>
          </w:p>
          <w:p w14:paraId="4C688C13">
            <w:pPr>
              <w:spacing w:before="48" w:beforeLines="20" w:after="0"/>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w:t>
            </w:r>
            <w:r>
              <w:rPr>
                <w:rFonts w:hint="eastAsia" w:ascii="Times New Roman" w:hAnsi="Times New Roman" w:eastAsia="宋体" w:cs="Times New Roman"/>
                <w:b/>
                <w:color w:val="auto"/>
                <w:sz w:val="24"/>
                <w:szCs w:val="21"/>
                <w:lang w:val="en-US" w:eastAsia="zh-CN"/>
              </w:rPr>
              <w:t>2-1</w:t>
            </w:r>
            <w:r>
              <w:rPr>
                <w:rFonts w:hint="eastAsia" w:cs="Times New Roman"/>
                <w:b/>
                <w:color w:val="auto"/>
                <w:sz w:val="24"/>
                <w:szCs w:val="21"/>
                <w:lang w:val="en-US" w:eastAsia="zh-CN"/>
              </w:rPr>
              <w:t>2</w:t>
            </w:r>
            <w:r>
              <w:rPr>
                <w:rFonts w:hint="default" w:ascii="Times New Roman" w:hAnsi="Times New Roman" w:eastAsia="宋体" w:cs="Times New Roman"/>
                <w:b/>
                <w:color w:val="auto"/>
                <w:sz w:val="24"/>
                <w:szCs w:val="21"/>
              </w:rPr>
              <w:t xml:space="preserve">  厂界噪声监测结果 单位dB（A）</w:t>
            </w:r>
          </w:p>
          <w:tbl>
            <w:tblPr>
              <w:tblStyle w:val="32"/>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3135"/>
              <w:gridCol w:w="3135"/>
            </w:tblGrid>
            <w:tr w14:paraId="28E7C6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75" w:type="pct"/>
                  <w:vMerge w:val="restart"/>
                  <w:shd w:val="clear" w:color="auto" w:fill="auto"/>
                  <w:noWrap/>
                  <w:vAlign w:val="center"/>
                </w:tcPr>
                <w:p w14:paraId="0F3D4771">
                  <w:pPr>
                    <w:spacing w:after="0"/>
                    <w:ind w:firstLine="420"/>
                    <w:jc w:val="both"/>
                    <w:textAlignment w:val="baseline"/>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监测</w:t>
                  </w:r>
                  <w:r>
                    <w:rPr>
                      <w:rFonts w:hint="eastAsia" w:cs="Times New Roman"/>
                      <w:b/>
                      <w:color w:val="auto"/>
                      <w:sz w:val="21"/>
                      <w:szCs w:val="21"/>
                      <w:lang w:eastAsia="zh-CN"/>
                    </w:rPr>
                    <w:t>点位</w:t>
                  </w:r>
                </w:p>
              </w:tc>
              <w:tc>
                <w:tcPr>
                  <w:tcW w:w="1862" w:type="pct"/>
                  <w:shd w:val="clear" w:color="auto" w:fill="auto"/>
                  <w:noWrap/>
                  <w:vAlign w:val="center"/>
                </w:tcPr>
                <w:p w14:paraId="1B303CB1">
                  <w:pPr>
                    <w:spacing w:after="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2024年10月23日</w:t>
                  </w:r>
                </w:p>
              </w:tc>
              <w:tc>
                <w:tcPr>
                  <w:tcW w:w="1862" w:type="pct"/>
                  <w:shd w:val="clear" w:color="auto" w:fill="auto"/>
                  <w:noWrap/>
                  <w:vAlign w:val="center"/>
                </w:tcPr>
                <w:p w14:paraId="5F262896">
                  <w:pPr>
                    <w:spacing w:after="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2024年10月24日</w:t>
                  </w:r>
                </w:p>
              </w:tc>
            </w:tr>
            <w:tr w14:paraId="4EE8DC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75" w:type="pct"/>
                  <w:vMerge w:val="continue"/>
                  <w:shd w:val="clear" w:color="auto" w:fill="auto"/>
                  <w:noWrap/>
                  <w:vAlign w:val="center"/>
                </w:tcPr>
                <w:p w14:paraId="6A71AA8C">
                  <w:pPr>
                    <w:spacing w:after="0"/>
                    <w:jc w:val="center"/>
                    <w:textAlignment w:val="baseline"/>
                    <w:rPr>
                      <w:rFonts w:hint="default" w:ascii="Times New Roman" w:hAnsi="Times New Roman" w:eastAsia="宋体" w:cs="Times New Roman"/>
                      <w:b/>
                      <w:color w:val="auto"/>
                      <w:sz w:val="21"/>
                      <w:szCs w:val="21"/>
                    </w:rPr>
                  </w:pPr>
                </w:p>
              </w:tc>
              <w:tc>
                <w:tcPr>
                  <w:tcW w:w="1862" w:type="pct"/>
                  <w:shd w:val="clear" w:color="auto" w:fill="auto"/>
                  <w:noWrap/>
                  <w:vAlign w:val="center"/>
                </w:tcPr>
                <w:p w14:paraId="0DAE3433">
                  <w:pPr>
                    <w:spacing w:after="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c>
                <w:tcPr>
                  <w:tcW w:w="1862" w:type="pct"/>
                  <w:shd w:val="clear" w:color="auto" w:fill="auto"/>
                  <w:vAlign w:val="center"/>
                </w:tcPr>
                <w:p w14:paraId="71F4DDCD">
                  <w:pPr>
                    <w:spacing w:after="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r>
            <w:tr w14:paraId="524DED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75" w:type="pct"/>
                  <w:shd w:val="clear" w:color="auto" w:fill="auto"/>
                  <w:noWrap/>
                  <w:vAlign w:val="center"/>
                </w:tcPr>
                <w:p w14:paraId="4B2832EF">
                  <w:pPr>
                    <w:spacing w:after="0"/>
                    <w:jc w:val="center"/>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N1</w:t>
                  </w:r>
                  <w:r>
                    <w:rPr>
                      <w:rFonts w:hint="eastAsia" w:cs="Times New Roman"/>
                      <w:color w:val="auto"/>
                      <w:sz w:val="21"/>
                      <w:szCs w:val="21"/>
                      <w:lang w:eastAsia="zh-CN"/>
                    </w:rPr>
                    <w:t>（</w:t>
                  </w:r>
                  <w:r>
                    <w:rPr>
                      <w:rFonts w:hint="eastAsia"/>
                      <w:color w:val="auto"/>
                      <w:lang w:eastAsia="zh-CN"/>
                    </w:rPr>
                    <w:t>东侧</w:t>
                  </w:r>
                  <w:r>
                    <w:rPr>
                      <w:rFonts w:hint="eastAsia" w:cs="Times New Roman"/>
                      <w:color w:val="auto"/>
                      <w:sz w:val="21"/>
                      <w:szCs w:val="21"/>
                      <w:lang w:eastAsia="zh-CN"/>
                    </w:rPr>
                    <w:t>）</w:t>
                  </w:r>
                </w:p>
              </w:tc>
              <w:tc>
                <w:tcPr>
                  <w:tcW w:w="1862" w:type="pct"/>
                  <w:shd w:val="clear" w:color="auto" w:fill="auto"/>
                  <w:noWrap/>
                  <w:vAlign w:val="center"/>
                </w:tcPr>
                <w:p w14:paraId="03379F46">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w:t>
                  </w:r>
                </w:p>
              </w:tc>
              <w:tc>
                <w:tcPr>
                  <w:tcW w:w="1862" w:type="pct"/>
                  <w:shd w:val="clear" w:color="auto" w:fill="auto"/>
                  <w:vAlign w:val="center"/>
                </w:tcPr>
                <w:p w14:paraId="5CB4C825">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64.4</w:t>
                  </w:r>
                </w:p>
              </w:tc>
            </w:tr>
            <w:tr w14:paraId="106499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5" w:type="pct"/>
                  <w:shd w:val="clear" w:color="auto" w:fill="auto"/>
                  <w:noWrap/>
                  <w:vAlign w:val="center"/>
                </w:tcPr>
                <w:p w14:paraId="4FD7C28A">
                  <w:pPr>
                    <w:spacing w:after="0"/>
                    <w:jc w:val="center"/>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N2</w:t>
                  </w:r>
                  <w:r>
                    <w:rPr>
                      <w:rFonts w:hint="eastAsia" w:cs="Times New Roman"/>
                      <w:color w:val="auto"/>
                      <w:sz w:val="21"/>
                      <w:szCs w:val="21"/>
                      <w:lang w:eastAsia="zh-CN"/>
                    </w:rPr>
                    <w:t>（南侧）</w:t>
                  </w:r>
                </w:p>
              </w:tc>
              <w:tc>
                <w:tcPr>
                  <w:tcW w:w="1862" w:type="pct"/>
                  <w:shd w:val="clear" w:color="auto" w:fill="auto"/>
                  <w:noWrap/>
                  <w:vAlign w:val="center"/>
                </w:tcPr>
                <w:p w14:paraId="5CAC6C99">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58.1</w:t>
                  </w:r>
                </w:p>
              </w:tc>
              <w:tc>
                <w:tcPr>
                  <w:tcW w:w="1862" w:type="pct"/>
                  <w:shd w:val="clear" w:color="auto" w:fill="auto"/>
                  <w:vAlign w:val="center"/>
                </w:tcPr>
                <w:p w14:paraId="4040DA51">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62.6</w:t>
                  </w:r>
                </w:p>
              </w:tc>
            </w:tr>
            <w:tr w14:paraId="2B3B5F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5" w:type="pct"/>
                  <w:shd w:val="clear" w:color="auto" w:fill="auto"/>
                  <w:noWrap/>
                  <w:vAlign w:val="center"/>
                </w:tcPr>
                <w:p w14:paraId="72DAF0F7">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N3</w:t>
                  </w:r>
                  <w:r>
                    <w:rPr>
                      <w:rFonts w:hint="eastAsia" w:cs="Times New Roman"/>
                      <w:color w:val="auto"/>
                      <w:sz w:val="21"/>
                      <w:szCs w:val="21"/>
                      <w:lang w:eastAsia="zh-CN"/>
                    </w:rPr>
                    <w:t>（西侧）</w:t>
                  </w:r>
                </w:p>
              </w:tc>
              <w:tc>
                <w:tcPr>
                  <w:tcW w:w="1862" w:type="pct"/>
                  <w:shd w:val="clear" w:color="auto" w:fill="auto"/>
                  <w:noWrap/>
                  <w:vAlign w:val="center"/>
                </w:tcPr>
                <w:p w14:paraId="45986360">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56.3</w:t>
                  </w:r>
                </w:p>
              </w:tc>
              <w:tc>
                <w:tcPr>
                  <w:tcW w:w="1862" w:type="pct"/>
                  <w:shd w:val="clear" w:color="auto" w:fill="auto"/>
                  <w:vAlign w:val="center"/>
                </w:tcPr>
                <w:p w14:paraId="5F28EA98">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58.5</w:t>
                  </w:r>
                </w:p>
              </w:tc>
            </w:tr>
            <w:tr w14:paraId="400236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5" w:type="pct"/>
                  <w:shd w:val="clear" w:color="auto" w:fill="auto"/>
                  <w:noWrap/>
                  <w:vAlign w:val="center"/>
                </w:tcPr>
                <w:p w14:paraId="2B907284">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N4</w:t>
                  </w:r>
                  <w:r>
                    <w:rPr>
                      <w:rFonts w:hint="eastAsia" w:cs="Times New Roman"/>
                      <w:color w:val="auto"/>
                      <w:sz w:val="21"/>
                      <w:szCs w:val="21"/>
                      <w:lang w:eastAsia="zh-CN"/>
                    </w:rPr>
                    <w:t>（北侧）</w:t>
                  </w:r>
                </w:p>
              </w:tc>
              <w:tc>
                <w:tcPr>
                  <w:tcW w:w="1862" w:type="pct"/>
                  <w:shd w:val="clear" w:color="auto" w:fill="auto"/>
                  <w:noWrap/>
                  <w:vAlign w:val="center"/>
                </w:tcPr>
                <w:p w14:paraId="42FF6167">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56.6</w:t>
                  </w:r>
                </w:p>
              </w:tc>
              <w:tc>
                <w:tcPr>
                  <w:tcW w:w="1862" w:type="pct"/>
                  <w:shd w:val="clear" w:color="auto" w:fill="auto"/>
                  <w:vAlign w:val="center"/>
                </w:tcPr>
                <w:p w14:paraId="47B96075">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55.5</w:t>
                  </w:r>
                </w:p>
              </w:tc>
            </w:tr>
            <w:tr w14:paraId="03314E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5" w:type="pct"/>
                  <w:shd w:val="clear" w:color="auto" w:fill="auto"/>
                  <w:noWrap/>
                  <w:vAlign w:val="center"/>
                </w:tcPr>
                <w:p w14:paraId="5B627AB1">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w:t>
                  </w:r>
                </w:p>
              </w:tc>
              <w:tc>
                <w:tcPr>
                  <w:tcW w:w="1862" w:type="pct"/>
                  <w:shd w:val="clear" w:color="auto" w:fill="auto"/>
                  <w:noWrap/>
                  <w:vAlign w:val="center"/>
                </w:tcPr>
                <w:p w14:paraId="08F74704">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w:t>
                  </w:r>
                </w:p>
              </w:tc>
              <w:tc>
                <w:tcPr>
                  <w:tcW w:w="1862" w:type="pct"/>
                  <w:shd w:val="clear" w:color="auto" w:fill="auto"/>
                  <w:vAlign w:val="center"/>
                </w:tcPr>
                <w:p w14:paraId="2F784FF0">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64.4</w:t>
                  </w:r>
                </w:p>
              </w:tc>
            </w:tr>
            <w:tr w14:paraId="64CFE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5" w:type="pct"/>
                  <w:shd w:val="clear" w:color="auto" w:fill="auto"/>
                  <w:noWrap/>
                  <w:vAlign w:val="center"/>
                </w:tcPr>
                <w:p w14:paraId="6BA94E71">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1862" w:type="pct"/>
                  <w:shd w:val="clear" w:color="auto" w:fill="auto"/>
                  <w:noWrap/>
                  <w:vAlign w:val="center"/>
                </w:tcPr>
                <w:p w14:paraId="786A8CAC">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862" w:type="pct"/>
                  <w:shd w:val="clear" w:color="auto" w:fill="auto"/>
                  <w:vAlign w:val="center"/>
                </w:tcPr>
                <w:p w14:paraId="60BEC0FC">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14:paraId="1C0EBF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5" w:type="pct"/>
                  <w:shd w:val="clear" w:color="auto" w:fill="auto"/>
                  <w:noWrap/>
                  <w:vAlign w:val="center"/>
                </w:tcPr>
                <w:p w14:paraId="653609F9">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评价结果</w:t>
                  </w:r>
                </w:p>
              </w:tc>
              <w:tc>
                <w:tcPr>
                  <w:tcW w:w="1862" w:type="pct"/>
                  <w:shd w:val="clear" w:color="auto" w:fill="auto"/>
                  <w:noWrap/>
                  <w:vAlign w:val="center"/>
                </w:tcPr>
                <w:p w14:paraId="58646B1A">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862" w:type="pct"/>
                  <w:shd w:val="clear" w:color="auto" w:fill="auto"/>
                  <w:vAlign w:val="center"/>
                </w:tcPr>
                <w:p w14:paraId="047F48EB">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566A5818">
            <w:pPr>
              <w:widowControl w:val="0"/>
              <w:spacing w:before="120" w:beforeLines="50" w:after="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监测结果表明，监测期间厂界噪声昼间等效连续A声级值符合《工业企业厂界环境噪声排放标准》（GB12348-2008</w:t>
            </w:r>
            <w:r>
              <w:rPr>
                <w:rFonts w:hint="eastAsia" w:cs="Times New Roman"/>
                <w:color w:val="auto"/>
                <w:sz w:val="24"/>
                <w:szCs w:val="24"/>
                <w:lang w:eastAsia="zh-CN"/>
              </w:rPr>
              <w:t>）第</w:t>
            </w:r>
            <w:r>
              <w:rPr>
                <w:rFonts w:hint="default" w:ascii="Times New Roman" w:hAnsi="Times New Roman" w:eastAsia="宋体" w:cs="Times New Roman"/>
                <w:color w:val="auto"/>
                <w:sz w:val="24"/>
                <w:szCs w:val="24"/>
              </w:rPr>
              <w:t>3类标准。</w:t>
            </w:r>
          </w:p>
          <w:p w14:paraId="0EB8AC27">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（4）固体废物</w:t>
            </w:r>
          </w:p>
          <w:p w14:paraId="5FBD94CB">
            <w:pPr>
              <w:widowControl/>
              <w:adjustRightInd w:val="0"/>
              <w:snapToGrid w:val="0"/>
              <w:ind w:firstLine="482" w:firstLineChars="200"/>
              <w:jc w:val="center"/>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rPr>
              <w:t>表</w:t>
            </w:r>
            <w:r>
              <w:rPr>
                <w:rFonts w:hint="default" w:ascii="Times New Roman" w:hAnsi="Times New Roman" w:eastAsia="宋体" w:cs="Times New Roman"/>
                <w:b/>
                <w:color w:val="auto"/>
                <w:kern w:val="0"/>
                <w:sz w:val="24"/>
                <w:lang w:val="fr-FR"/>
              </w:rPr>
              <w:t>2-</w:t>
            </w:r>
            <w:r>
              <w:rPr>
                <w:rFonts w:hint="eastAsia" w:ascii="Times New Roman" w:hAnsi="Times New Roman" w:eastAsia="宋体" w:cs="Times New Roman"/>
                <w:b/>
                <w:color w:val="auto"/>
                <w:kern w:val="0"/>
                <w:sz w:val="24"/>
                <w:lang w:val="en-US" w:eastAsia="zh-CN"/>
              </w:rPr>
              <w:t>1</w:t>
            </w:r>
            <w:r>
              <w:rPr>
                <w:rFonts w:hint="eastAsia" w:cs="Times New Roman"/>
                <w:b/>
                <w:color w:val="auto"/>
                <w:kern w:val="0"/>
                <w:sz w:val="24"/>
                <w:lang w:val="en-US" w:eastAsia="zh-CN"/>
              </w:rPr>
              <w:t>3</w:t>
            </w:r>
            <w:r>
              <w:rPr>
                <w:rFonts w:hint="default" w:ascii="Times New Roman" w:hAnsi="Times New Roman" w:eastAsia="宋体" w:cs="Times New Roman"/>
                <w:b/>
                <w:color w:val="auto"/>
                <w:kern w:val="0"/>
                <w:sz w:val="24"/>
                <w:lang w:val="fr-FR"/>
              </w:rPr>
              <w:t>全厂</w:t>
            </w:r>
            <w:r>
              <w:rPr>
                <w:rFonts w:hint="default" w:ascii="Times New Roman" w:hAnsi="Times New Roman" w:eastAsia="宋体" w:cs="Times New Roman"/>
                <w:b/>
                <w:color w:val="auto"/>
                <w:sz w:val="24"/>
                <w:szCs w:val="22"/>
              </w:rPr>
              <w:t>现有项目固废产生及处置情况</w:t>
            </w:r>
          </w:p>
          <w:tbl>
            <w:tblPr>
              <w:tblStyle w:val="3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72"/>
              <w:gridCol w:w="1149"/>
              <w:gridCol w:w="812"/>
              <w:gridCol w:w="812"/>
              <w:gridCol w:w="812"/>
              <w:gridCol w:w="1486"/>
              <w:gridCol w:w="1033"/>
              <w:gridCol w:w="1033"/>
              <w:gridCol w:w="812"/>
            </w:tblGrid>
            <w:tr w14:paraId="6D9FA0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0" w:hRule="atLeast"/>
              </w:trPr>
              <w:tc>
                <w:tcPr>
                  <w:tcW w:w="281" w:type="pct"/>
                  <w:shd w:val="clear" w:color="auto" w:fill="auto"/>
                  <w:vAlign w:val="center"/>
                </w:tcPr>
                <w:p w14:paraId="566AB9B4">
                  <w:pPr>
                    <w:adjustRightInd/>
                    <w:snapToGrid/>
                    <w:spacing w:after="0"/>
                    <w:jc w:val="center"/>
                    <w:rPr>
                      <w:rFonts w:hint="default" w:ascii="Times New Roman" w:hAnsi="Times New Roman" w:eastAsia="宋体" w:cs="Times New Roman"/>
                      <w:b/>
                      <w:bCs/>
                      <w:color w:val="auto"/>
                    </w:rPr>
                  </w:pPr>
                  <w:bookmarkStart w:id="13" w:name="RANGE!B4"/>
                  <w:r>
                    <w:rPr>
                      <w:rFonts w:hint="default" w:ascii="Times New Roman" w:hAnsi="Times New Roman" w:eastAsia="宋体" w:cs="Times New Roman"/>
                      <w:b/>
                      <w:bCs/>
                      <w:color w:val="auto"/>
                    </w:rPr>
                    <w:t>序号</w:t>
                  </w:r>
                  <w:bookmarkEnd w:id="13"/>
                </w:p>
              </w:tc>
              <w:tc>
                <w:tcPr>
                  <w:tcW w:w="682" w:type="pct"/>
                  <w:shd w:val="clear" w:color="auto" w:fill="auto"/>
                  <w:vAlign w:val="center"/>
                </w:tcPr>
                <w:p w14:paraId="6E160771">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固体废物名称</w:t>
                  </w:r>
                </w:p>
              </w:tc>
              <w:tc>
                <w:tcPr>
                  <w:tcW w:w="482" w:type="pct"/>
                  <w:shd w:val="clear" w:color="auto" w:fill="auto"/>
                  <w:vAlign w:val="center"/>
                </w:tcPr>
                <w:p w14:paraId="2F003109">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产生工序</w:t>
                  </w:r>
                </w:p>
              </w:tc>
              <w:tc>
                <w:tcPr>
                  <w:tcW w:w="482" w:type="pct"/>
                  <w:shd w:val="clear" w:color="auto" w:fill="auto"/>
                  <w:vAlign w:val="center"/>
                </w:tcPr>
                <w:p w14:paraId="13324024">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属性</w:t>
                  </w:r>
                </w:p>
              </w:tc>
              <w:tc>
                <w:tcPr>
                  <w:tcW w:w="482" w:type="pct"/>
                  <w:shd w:val="clear" w:color="auto" w:fill="auto"/>
                  <w:vAlign w:val="center"/>
                </w:tcPr>
                <w:p w14:paraId="43540FD2">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固废类别</w:t>
                  </w:r>
                </w:p>
              </w:tc>
              <w:tc>
                <w:tcPr>
                  <w:tcW w:w="882" w:type="pct"/>
                  <w:shd w:val="clear" w:color="auto" w:fill="auto"/>
                  <w:vAlign w:val="center"/>
                </w:tcPr>
                <w:p w14:paraId="25A31DD1">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固废代码</w:t>
                  </w:r>
                </w:p>
              </w:tc>
              <w:tc>
                <w:tcPr>
                  <w:tcW w:w="613" w:type="pct"/>
                  <w:shd w:val="clear" w:color="auto" w:fill="auto"/>
                  <w:vAlign w:val="center"/>
                </w:tcPr>
                <w:p w14:paraId="42E2536F">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环评预估量（t/a）</w:t>
                  </w:r>
                </w:p>
              </w:tc>
              <w:tc>
                <w:tcPr>
                  <w:tcW w:w="613" w:type="pct"/>
                  <w:shd w:val="clear" w:color="auto" w:fill="auto"/>
                  <w:vAlign w:val="center"/>
                </w:tcPr>
                <w:p w14:paraId="4A733DB2">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实际产生量（t/a）</w:t>
                  </w:r>
                </w:p>
              </w:tc>
              <w:tc>
                <w:tcPr>
                  <w:tcW w:w="482" w:type="pct"/>
                  <w:shd w:val="clear" w:color="auto" w:fill="auto"/>
                  <w:vAlign w:val="center"/>
                </w:tcPr>
                <w:p w14:paraId="5D9E1898">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处置方式</w:t>
                  </w:r>
                </w:p>
              </w:tc>
            </w:tr>
            <w:tr w14:paraId="5D732B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81" w:type="pct"/>
                  <w:shd w:val="clear" w:color="auto" w:fill="auto"/>
                  <w:vAlign w:val="center"/>
                </w:tcPr>
                <w:p w14:paraId="6902994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82" w:type="pct"/>
                  <w:shd w:val="clear" w:color="auto" w:fill="auto"/>
                  <w:vAlign w:val="center"/>
                </w:tcPr>
                <w:p w14:paraId="378B22D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废蔬菜</w:t>
                  </w:r>
                </w:p>
              </w:tc>
              <w:tc>
                <w:tcPr>
                  <w:tcW w:w="482" w:type="pct"/>
                  <w:shd w:val="clear" w:color="auto" w:fill="auto"/>
                  <w:vAlign w:val="center"/>
                </w:tcPr>
                <w:p w14:paraId="624B575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挑选</w:t>
                  </w:r>
                </w:p>
              </w:tc>
              <w:tc>
                <w:tcPr>
                  <w:tcW w:w="482" w:type="pct"/>
                  <w:shd w:val="clear" w:color="auto" w:fill="auto"/>
                  <w:vAlign w:val="center"/>
                </w:tcPr>
                <w:p w14:paraId="43A8DD4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1D62FEE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SW61</w:t>
                  </w:r>
                </w:p>
              </w:tc>
              <w:tc>
                <w:tcPr>
                  <w:tcW w:w="882" w:type="pct"/>
                  <w:shd w:val="clear" w:color="auto" w:fill="auto"/>
                  <w:vAlign w:val="center"/>
                </w:tcPr>
                <w:p w14:paraId="748ED53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900-002-S61</w:t>
                  </w:r>
                </w:p>
              </w:tc>
              <w:tc>
                <w:tcPr>
                  <w:tcW w:w="613" w:type="pct"/>
                  <w:shd w:val="clear" w:color="auto" w:fill="auto"/>
                  <w:vAlign w:val="center"/>
                </w:tcPr>
                <w:p w14:paraId="537D5A04">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2014.1</w:t>
                  </w:r>
                </w:p>
              </w:tc>
              <w:tc>
                <w:tcPr>
                  <w:tcW w:w="613" w:type="pct"/>
                  <w:shd w:val="clear" w:color="auto" w:fill="auto"/>
                  <w:vAlign w:val="center"/>
                </w:tcPr>
                <w:p w14:paraId="7574EC5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2014.1</w:t>
                  </w:r>
                </w:p>
              </w:tc>
              <w:tc>
                <w:tcPr>
                  <w:tcW w:w="482" w:type="pct"/>
                  <w:shd w:val="clear" w:color="auto" w:fill="auto"/>
                  <w:vAlign w:val="center"/>
                </w:tcPr>
                <w:p w14:paraId="5B98D9B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环卫清运</w:t>
                  </w:r>
                </w:p>
              </w:tc>
            </w:tr>
            <w:tr w14:paraId="4D8B5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281" w:type="pct"/>
                  <w:shd w:val="clear" w:color="auto" w:fill="auto"/>
                  <w:vAlign w:val="center"/>
                </w:tcPr>
                <w:p w14:paraId="1D629508">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682" w:type="pct"/>
                  <w:shd w:val="clear" w:color="auto" w:fill="auto"/>
                  <w:vAlign w:val="center"/>
                </w:tcPr>
                <w:p w14:paraId="23840AC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废包装材料</w:t>
                  </w:r>
                </w:p>
              </w:tc>
              <w:tc>
                <w:tcPr>
                  <w:tcW w:w="482" w:type="pct"/>
                  <w:shd w:val="clear" w:color="auto" w:fill="auto"/>
                  <w:vAlign w:val="center"/>
                </w:tcPr>
                <w:p w14:paraId="511F20A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原辅料包装</w:t>
                  </w:r>
                </w:p>
              </w:tc>
              <w:tc>
                <w:tcPr>
                  <w:tcW w:w="482" w:type="pct"/>
                  <w:shd w:val="clear" w:color="auto" w:fill="auto"/>
                  <w:vAlign w:val="center"/>
                </w:tcPr>
                <w:p w14:paraId="07E52D4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4B75BB8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SW17</w:t>
                  </w:r>
                </w:p>
              </w:tc>
              <w:tc>
                <w:tcPr>
                  <w:tcW w:w="882" w:type="pct"/>
                  <w:shd w:val="clear" w:color="auto" w:fill="auto"/>
                  <w:vAlign w:val="center"/>
                </w:tcPr>
                <w:p w14:paraId="11C5710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900-003-S17</w:t>
                  </w:r>
                </w:p>
              </w:tc>
              <w:tc>
                <w:tcPr>
                  <w:tcW w:w="613" w:type="pct"/>
                  <w:shd w:val="clear" w:color="auto" w:fill="auto"/>
                  <w:vAlign w:val="center"/>
                </w:tcPr>
                <w:p w14:paraId="12FE3E2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613" w:type="pct"/>
                  <w:shd w:val="clear" w:color="auto" w:fill="auto"/>
                  <w:vAlign w:val="center"/>
                </w:tcPr>
                <w:p w14:paraId="74A271F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482" w:type="pct"/>
                  <w:vMerge w:val="restart"/>
                  <w:shd w:val="clear" w:color="auto" w:fill="auto"/>
                  <w:vAlign w:val="center"/>
                </w:tcPr>
                <w:p w14:paraId="2CD21FD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外售淮安市沃隆农业科技有限公司</w:t>
                  </w:r>
                </w:p>
              </w:tc>
            </w:tr>
            <w:tr w14:paraId="289887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81" w:type="pct"/>
                  <w:shd w:val="clear" w:color="auto" w:fill="auto"/>
                  <w:vAlign w:val="center"/>
                </w:tcPr>
                <w:p w14:paraId="3027D38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682" w:type="pct"/>
                  <w:shd w:val="clear" w:color="auto" w:fill="auto"/>
                  <w:vAlign w:val="center"/>
                </w:tcPr>
                <w:p w14:paraId="69AEAD35">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污泥</w:t>
                  </w:r>
                </w:p>
              </w:tc>
              <w:tc>
                <w:tcPr>
                  <w:tcW w:w="482" w:type="pct"/>
                  <w:vMerge w:val="restart"/>
                  <w:shd w:val="clear" w:color="auto" w:fill="auto"/>
                  <w:vAlign w:val="center"/>
                </w:tcPr>
                <w:p w14:paraId="04FE24E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污水处理站</w:t>
                  </w:r>
                </w:p>
              </w:tc>
              <w:tc>
                <w:tcPr>
                  <w:tcW w:w="482" w:type="pct"/>
                  <w:shd w:val="clear" w:color="auto" w:fill="auto"/>
                  <w:vAlign w:val="center"/>
                </w:tcPr>
                <w:p w14:paraId="186F4DAC">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0EA3A144">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SW07</w:t>
                  </w:r>
                </w:p>
              </w:tc>
              <w:tc>
                <w:tcPr>
                  <w:tcW w:w="882" w:type="pct"/>
                  <w:shd w:val="clear" w:color="auto" w:fill="auto"/>
                  <w:noWrap/>
                  <w:vAlign w:val="center"/>
                </w:tcPr>
                <w:p w14:paraId="320CB3A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900-099-S07</w:t>
                  </w:r>
                </w:p>
              </w:tc>
              <w:tc>
                <w:tcPr>
                  <w:tcW w:w="613" w:type="pct"/>
                  <w:shd w:val="clear" w:color="auto" w:fill="auto"/>
                  <w:vAlign w:val="center"/>
                </w:tcPr>
                <w:p w14:paraId="76875A1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w:t>
                  </w:r>
                </w:p>
              </w:tc>
              <w:tc>
                <w:tcPr>
                  <w:tcW w:w="613" w:type="pct"/>
                  <w:shd w:val="clear" w:color="auto" w:fill="auto"/>
                  <w:vAlign w:val="center"/>
                </w:tcPr>
                <w:p w14:paraId="15DDD942">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w:t>
                  </w:r>
                </w:p>
              </w:tc>
              <w:tc>
                <w:tcPr>
                  <w:tcW w:w="482" w:type="pct"/>
                  <w:vMerge w:val="continue"/>
                  <w:vAlign w:val="center"/>
                </w:tcPr>
                <w:p w14:paraId="0CAFC09D">
                  <w:pPr>
                    <w:adjustRightInd/>
                    <w:snapToGrid/>
                    <w:spacing w:after="0"/>
                    <w:rPr>
                      <w:rFonts w:hint="default" w:ascii="Times New Roman" w:hAnsi="Times New Roman" w:eastAsia="宋体" w:cs="Times New Roman"/>
                      <w:color w:val="auto"/>
                    </w:rPr>
                  </w:pPr>
                </w:p>
              </w:tc>
            </w:tr>
            <w:tr w14:paraId="6495BE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81" w:type="pct"/>
                  <w:shd w:val="clear" w:color="auto" w:fill="auto"/>
                  <w:vAlign w:val="center"/>
                </w:tcPr>
                <w:p w14:paraId="617762B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682" w:type="pct"/>
                  <w:shd w:val="clear" w:color="auto" w:fill="auto"/>
                  <w:vAlign w:val="center"/>
                </w:tcPr>
                <w:p w14:paraId="48AB5E74">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废食用油渣</w:t>
                  </w:r>
                </w:p>
              </w:tc>
              <w:tc>
                <w:tcPr>
                  <w:tcW w:w="482" w:type="pct"/>
                  <w:vMerge w:val="continue"/>
                  <w:vAlign w:val="center"/>
                </w:tcPr>
                <w:p w14:paraId="4FD5F9CF">
                  <w:pPr>
                    <w:adjustRightInd/>
                    <w:snapToGrid/>
                    <w:spacing w:after="0"/>
                    <w:rPr>
                      <w:rFonts w:hint="default" w:ascii="Times New Roman" w:hAnsi="Times New Roman" w:eastAsia="宋体" w:cs="Times New Roman"/>
                      <w:color w:val="auto"/>
                    </w:rPr>
                  </w:pPr>
                </w:p>
              </w:tc>
              <w:tc>
                <w:tcPr>
                  <w:tcW w:w="482" w:type="pct"/>
                  <w:shd w:val="clear" w:color="auto" w:fill="auto"/>
                  <w:vAlign w:val="center"/>
                </w:tcPr>
                <w:p w14:paraId="3BC26D28">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3929EB82">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SW13</w:t>
                  </w:r>
                </w:p>
              </w:tc>
              <w:tc>
                <w:tcPr>
                  <w:tcW w:w="882" w:type="pct"/>
                  <w:shd w:val="clear" w:color="auto" w:fill="auto"/>
                  <w:noWrap/>
                  <w:vAlign w:val="center"/>
                </w:tcPr>
                <w:p w14:paraId="3433E51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900-099-S13</w:t>
                  </w:r>
                </w:p>
              </w:tc>
              <w:tc>
                <w:tcPr>
                  <w:tcW w:w="613" w:type="pct"/>
                  <w:shd w:val="clear" w:color="auto" w:fill="auto"/>
                  <w:vAlign w:val="center"/>
                </w:tcPr>
                <w:p w14:paraId="20159D5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0.48</w:t>
                  </w:r>
                </w:p>
              </w:tc>
              <w:tc>
                <w:tcPr>
                  <w:tcW w:w="613" w:type="pct"/>
                  <w:shd w:val="clear" w:color="auto" w:fill="auto"/>
                  <w:vAlign w:val="center"/>
                </w:tcPr>
                <w:p w14:paraId="2B40317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0.48</w:t>
                  </w:r>
                </w:p>
              </w:tc>
              <w:tc>
                <w:tcPr>
                  <w:tcW w:w="482" w:type="pct"/>
                  <w:vMerge w:val="continue"/>
                  <w:vAlign w:val="center"/>
                </w:tcPr>
                <w:p w14:paraId="122C60CC">
                  <w:pPr>
                    <w:adjustRightInd/>
                    <w:snapToGrid/>
                    <w:spacing w:after="0"/>
                    <w:rPr>
                      <w:rFonts w:hint="default" w:ascii="Times New Roman" w:hAnsi="Times New Roman" w:eastAsia="宋体" w:cs="Times New Roman"/>
                      <w:color w:val="auto"/>
                    </w:rPr>
                  </w:pPr>
                </w:p>
              </w:tc>
            </w:tr>
            <w:tr w14:paraId="495A3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281" w:type="pct"/>
                  <w:shd w:val="clear" w:color="auto" w:fill="auto"/>
                  <w:vAlign w:val="center"/>
                </w:tcPr>
                <w:p w14:paraId="117C232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682" w:type="pct"/>
                  <w:shd w:val="clear" w:color="auto" w:fill="auto"/>
                  <w:vAlign w:val="center"/>
                </w:tcPr>
                <w:p w14:paraId="71C952D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废3M检测试片</w:t>
                  </w:r>
                </w:p>
              </w:tc>
              <w:tc>
                <w:tcPr>
                  <w:tcW w:w="482" w:type="pct"/>
                  <w:shd w:val="clear" w:color="auto" w:fill="auto"/>
                  <w:vAlign w:val="center"/>
                </w:tcPr>
                <w:p w14:paraId="6C07FCC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化验室</w:t>
                  </w:r>
                </w:p>
              </w:tc>
              <w:tc>
                <w:tcPr>
                  <w:tcW w:w="482" w:type="pct"/>
                  <w:shd w:val="clear" w:color="auto" w:fill="auto"/>
                  <w:vAlign w:val="center"/>
                </w:tcPr>
                <w:p w14:paraId="5F798BA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3DC1202C">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SW92</w:t>
                  </w:r>
                </w:p>
              </w:tc>
              <w:tc>
                <w:tcPr>
                  <w:tcW w:w="882" w:type="pct"/>
                  <w:shd w:val="clear" w:color="auto" w:fill="auto"/>
                  <w:noWrap/>
                  <w:vAlign w:val="center"/>
                </w:tcPr>
                <w:p w14:paraId="0660C9CF">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900-001-S92</w:t>
                  </w:r>
                </w:p>
              </w:tc>
              <w:tc>
                <w:tcPr>
                  <w:tcW w:w="613" w:type="pct"/>
                  <w:shd w:val="clear" w:color="auto" w:fill="auto"/>
                  <w:vAlign w:val="center"/>
                </w:tcPr>
                <w:p w14:paraId="20B79E5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0.072</w:t>
                  </w:r>
                </w:p>
              </w:tc>
              <w:tc>
                <w:tcPr>
                  <w:tcW w:w="613" w:type="pct"/>
                  <w:shd w:val="clear" w:color="auto" w:fill="auto"/>
                  <w:vAlign w:val="center"/>
                </w:tcPr>
                <w:p w14:paraId="3A969ACF">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0.072</w:t>
                  </w:r>
                </w:p>
              </w:tc>
              <w:tc>
                <w:tcPr>
                  <w:tcW w:w="482" w:type="pct"/>
                  <w:shd w:val="clear" w:color="auto" w:fill="auto"/>
                  <w:vAlign w:val="center"/>
                </w:tcPr>
                <w:p w14:paraId="3ABB481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环卫清运</w:t>
                  </w:r>
                </w:p>
              </w:tc>
            </w:tr>
            <w:tr w14:paraId="6DAB50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281" w:type="pct"/>
                  <w:shd w:val="clear" w:color="auto" w:fill="auto"/>
                  <w:vAlign w:val="center"/>
                </w:tcPr>
                <w:p w14:paraId="3946A17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682" w:type="pct"/>
                  <w:shd w:val="clear" w:color="auto" w:fill="auto"/>
                  <w:vAlign w:val="center"/>
                </w:tcPr>
                <w:p w14:paraId="10DCAB4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废食用油</w:t>
                  </w:r>
                </w:p>
              </w:tc>
              <w:tc>
                <w:tcPr>
                  <w:tcW w:w="482" w:type="pct"/>
                  <w:shd w:val="clear" w:color="auto" w:fill="auto"/>
                  <w:vAlign w:val="center"/>
                </w:tcPr>
                <w:p w14:paraId="0EC7B01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油烟净化器</w:t>
                  </w:r>
                </w:p>
              </w:tc>
              <w:tc>
                <w:tcPr>
                  <w:tcW w:w="482" w:type="pct"/>
                  <w:shd w:val="clear" w:color="auto" w:fill="auto"/>
                  <w:vAlign w:val="center"/>
                </w:tcPr>
                <w:p w14:paraId="3C26D7CF">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3246B6A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SW61</w:t>
                  </w:r>
                </w:p>
              </w:tc>
              <w:tc>
                <w:tcPr>
                  <w:tcW w:w="882" w:type="pct"/>
                  <w:shd w:val="clear" w:color="auto" w:fill="auto"/>
                  <w:vAlign w:val="center"/>
                </w:tcPr>
                <w:p w14:paraId="2691030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900-002-S61</w:t>
                  </w:r>
                </w:p>
              </w:tc>
              <w:tc>
                <w:tcPr>
                  <w:tcW w:w="613" w:type="pct"/>
                  <w:shd w:val="clear" w:color="auto" w:fill="auto"/>
                  <w:vAlign w:val="center"/>
                </w:tcPr>
                <w:p w14:paraId="0715BF05">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0.8082</w:t>
                  </w:r>
                </w:p>
              </w:tc>
              <w:tc>
                <w:tcPr>
                  <w:tcW w:w="613" w:type="pct"/>
                  <w:shd w:val="clear" w:color="auto" w:fill="auto"/>
                  <w:vAlign w:val="center"/>
                </w:tcPr>
                <w:p w14:paraId="386F2E1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0.8082</w:t>
                  </w:r>
                </w:p>
              </w:tc>
              <w:tc>
                <w:tcPr>
                  <w:tcW w:w="482" w:type="pct"/>
                  <w:shd w:val="clear" w:color="auto" w:fill="auto"/>
                  <w:vAlign w:val="center"/>
                </w:tcPr>
                <w:p w14:paraId="15B6A67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环卫清运</w:t>
                  </w:r>
                </w:p>
              </w:tc>
            </w:tr>
            <w:tr w14:paraId="3E8E5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281" w:type="pct"/>
                  <w:shd w:val="clear" w:color="auto" w:fill="auto"/>
                  <w:vAlign w:val="center"/>
                </w:tcPr>
                <w:p w14:paraId="18F1D5A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682" w:type="pct"/>
                  <w:shd w:val="clear" w:color="auto" w:fill="auto"/>
                  <w:vAlign w:val="center"/>
                </w:tcPr>
                <w:p w14:paraId="1653C26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职工生活垃圾</w:t>
                  </w:r>
                </w:p>
              </w:tc>
              <w:tc>
                <w:tcPr>
                  <w:tcW w:w="482" w:type="pct"/>
                  <w:shd w:val="clear" w:color="auto" w:fill="auto"/>
                  <w:vAlign w:val="center"/>
                </w:tcPr>
                <w:p w14:paraId="5DCFEB2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生活办公</w:t>
                  </w:r>
                </w:p>
              </w:tc>
              <w:tc>
                <w:tcPr>
                  <w:tcW w:w="482" w:type="pct"/>
                  <w:shd w:val="clear" w:color="auto" w:fill="auto"/>
                  <w:vAlign w:val="center"/>
                </w:tcPr>
                <w:p w14:paraId="7935C29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2A6CC6B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SW64</w:t>
                  </w:r>
                </w:p>
              </w:tc>
              <w:tc>
                <w:tcPr>
                  <w:tcW w:w="882" w:type="pct"/>
                  <w:shd w:val="clear" w:color="auto" w:fill="auto"/>
                  <w:noWrap/>
                  <w:vAlign w:val="center"/>
                </w:tcPr>
                <w:p w14:paraId="21156AC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900-099-S64</w:t>
                  </w:r>
                </w:p>
              </w:tc>
              <w:tc>
                <w:tcPr>
                  <w:tcW w:w="613" w:type="pct"/>
                  <w:shd w:val="clear" w:color="auto" w:fill="auto"/>
                  <w:vAlign w:val="center"/>
                </w:tcPr>
                <w:p w14:paraId="2774B24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613" w:type="pct"/>
                  <w:shd w:val="clear" w:color="auto" w:fill="auto"/>
                  <w:vAlign w:val="center"/>
                </w:tcPr>
                <w:p w14:paraId="07FD549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482" w:type="pct"/>
                  <w:shd w:val="clear" w:color="auto" w:fill="auto"/>
                  <w:vAlign w:val="center"/>
                </w:tcPr>
                <w:p w14:paraId="5213A48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环卫清运</w:t>
                  </w:r>
                </w:p>
              </w:tc>
            </w:tr>
          </w:tbl>
          <w:p w14:paraId="585DAF59">
            <w:pPr>
              <w:widowControl/>
              <w:adjustRightInd w:val="0"/>
              <w:snapToGrid w:val="0"/>
              <w:spacing w:before="120" w:beforeLines="50"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4.现有项目污染物排放情况</w:t>
            </w:r>
          </w:p>
          <w:p w14:paraId="187F1C3B">
            <w:pPr>
              <w:spacing w:line="500" w:lineRule="exact"/>
              <w:ind w:firstLine="480" w:firstLineChars="200"/>
              <w:jc w:val="left"/>
              <w:rPr>
                <w:rFonts w:hint="default" w:ascii="Times New Roman" w:hAnsi="Times New Roman" w:eastAsia="宋体" w:cs="Times New Roman"/>
                <w:bCs/>
                <w:color w:val="auto"/>
                <w:szCs w:val="21"/>
              </w:rPr>
            </w:pPr>
            <w:r>
              <w:rPr>
                <w:rFonts w:hint="default" w:ascii="Times New Roman" w:hAnsi="Times New Roman" w:eastAsia="宋体" w:cs="Times New Roman"/>
                <w:color w:val="auto"/>
                <w:sz w:val="24"/>
              </w:rPr>
              <w:t>现有项目总量达标情况见表2-1</w:t>
            </w:r>
            <w:r>
              <w:rPr>
                <w:rFonts w:hint="eastAsia" w:cs="Times New Roman"/>
                <w:color w:val="auto"/>
                <w:sz w:val="24"/>
                <w:lang w:val="en-US" w:eastAsia="zh-CN"/>
              </w:rPr>
              <w:t>4</w:t>
            </w:r>
            <w:r>
              <w:rPr>
                <w:rFonts w:hint="default" w:ascii="Times New Roman" w:hAnsi="Times New Roman" w:eastAsia="宋体" w:cs="Times New Roman"/>
                <w:color w:val="auto"/>
                <w:sz w:val="24"/>
              </w:rPr>
              <w:t>。</w:t>
            </w:r>
          </w:p>
          <w:p w14:paraId="3AD0ED43">
            <w:pPr>
              <w:spacing w:line="500" w:lineRule="exact"/>
              <w:jc w:val="center"/>
              <w:rPr>
                <w:rStyle w:val="116"/>
                <w:rFonts w:hint="default" w:ascii="Times New Roman" w:hAnsi="Times New Roman" w:eastAsia="宋体" w:cs="Times New Roman"/>
                <w:b/>
                <w:color w:val="auto"/>
                <w:sz w:val="24"/>
                <w:szCs w:val="24"/>
              </w:rPr>
            </w:pPr>
          </w:p>
          <w:p w14:paraId="5136D853">
            <w:pPr>
              <w:spacing w:line="500" w:lineRule="exact"/>
              <w:jc w:val="center"/>
              <w:rPr>
                <w:rFonts w:hint="default" w:ascii="Times New Roman" w:hAnsi="Times New Roman" w:eastAsia="宋体" w:cs="Times New Roman"/>
                <w:b/>
                <w:color w:val="auto"/>
                <w:sz w:val="24"/>
              </w:rPr>
            </w:pPr>
            <w:r>
              <w:rPr>
                <w:rStyle w:val="116"/>
                <w:rFonts w:hint="default" w:ascii="Times New Roman" w:hAnsi="Times New Roman" w:eastAsia="宋体" w:cs="Times New Roman"/>
                <w:b/>
                <w:color w:val="auto"/>
                <w:sz w:val="24"/>
                <w:szCs w:val="24"/>
              </w:rPr>
              <w:t>表2-1</w:t>
            </w:r>
            <w:r>
              <w:rPr>
                <w:rStyle w:val="116"/>
                <w:rFonts w:hint="eastAsia" w:cs="Times New Roman"/>
                <w:b/>
                <w:color w:val="auto"/>
                <w:sz w:val="24"/>
                <w:szCs w:val="24"/>
                <w:lang w:val="en-US" w:eastAsia="zh-CN"/>
              </w:rPr>
              <w:t>4</w:t>
            </w:r>
            <w:r>
              <w:rPr>
                <w:rStyle w:val="116"/>
                <w:rFonts w:hint="default" w:ascii="Times New Roman" w:hAnsi="Times New Roman" w:eastAsia="宋体" w:cs="Times New Roman"/>
                <w:b/>
                <w:color w:val="auto"/>
                <w:sz w:val="24"/>
                <w:szCs w:val="24"/>
              </w:rPr>
              <w:t>现有项目污染物排放总量与控制指标对照情况</w:t>
            </w:r>
          </w:p>
          <w:tbl>
            <w:tblPr>
              <w:tblStyle w:val="3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1469"/>
              <w:gridCol w:w="1772"/>
              <w:gridCol w:w="1577"/>
              <w:gridCol w:w="1400"/>
              <w:gridCol w:w="802"/>
            </w:tblGrid>
            <w:tr w14:paraId="0087E8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2" w:type="pct"/>
                  <w:gridSpan w:val="2"/>
                  <w:shd w:val="clear" w:color="auto" w:fill="auto"/>
                  <w:vAlign w:val="center"/>
                </w:tcPr>
                <w:p w14:paraId="1CCA5A31">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1052" w:type="pct"/>
                  <w:shd w:val="clear" w:color="auto" w:fill="auto"/>
                  <w:vAlign w:val="center"/>
                </w:tcPr>
                <w:p w14:paraId="498BD0F9">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936" w:type="pct"/>
                  <w:shd w:val="clear" w:color="auto" w:fill="auto"/>
                  <w:vAlign w:val="center"/>
                </w:tcPr>
                <w:p w14:paraId="1AABD016">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w:t>
                  </w:r>
                  <w:r>
                    <w:rPr>
                      <w:rFonts w:hint="eastAsia" w:cs="Times New Roman"/>
                      <w:b/>
                      <w:bCs/>
                      <w:color w:val="auto"/>
                      <w:sz w:val="21"/>
                      <w:szCs w:val="21"/>
                      <w:lang w:val="en-US" w:eastAsia="zh-CN"/>
                    </w:rPr>
                    <w:t>批复接管</w:t>
                  </w:r>
                  <w:r>
                    <w:rPr>
                      <w:rFonts w:hint="default" w:ascii="Times New Roman" w:hAnsi="Times New Roman" w:eastAsia="宋体" w:cs="Times New Roman"/>
                      <w:b/>
                      <w:bCs/>
                      <w:color w:val="auto"/>
                      <w:sz w:val="21"/>
                      <w:szCs w:val="21"/>
                    </w:rPr>
                    <w:t>量（t/a）</w:t>
                  </w:r>
                </w:p>
              </w:tc>
              <w:tc>
                <w:tcPr>
                  <w:tcW w:w="831" w:type="pct"/>
                  <w:shd w:val="clear" w:color="auto" w:fill="auto"/>
                  <w:vAlign w:val="center"/>
                </w:tcPr>
                <w:p w14:paraId="26252E38">
                  <w:pPr>
                    <w:adjustRightInd/>
                    <w:snapToGrid/>
                    <w:spacing w:after="0"/>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实际接管</w:t>
                  </w:r>
                  <w:r>
                    <w:rPr>
                      <w:rFonts w:hint="default" w:ascii="Times New Roman" w:hAnsi="Times New Roman" w:eastAsia="宋体" w:cs="Times New Roman"/>
                      <w:b/>
                      <w:bCs/>
                      <w:color w:val="auto"/>
                      <w:sz w:val="21"/>
                      <w:szCs w:val="21"/>
                    </w:rPr>
                    <w:t>量（t/a）</w:t>
                  </w:r>
                  <w:r>
                    <w:rPr>
                      <w:rFonts w:hint="eastAsia" w:cs="Times New Roman"/>
                      <w:b/>
                      <w:bCs/>
                      <w:color w:val="auto"/>
                      <w:sz w:val="21"/>
                      <w:szCs w:val="21"/>
                      <w:lang w:val="en-US" w:eastAsia="zh-CN"/>
                    </w:rPr>
                    <w:t>*</w:t>
                  </w:r>
                </w:p>
              </w:tc>
              <w:tc>
                <w:tcPr>
                  <w:tcW w:w="476" w:type="pct"/>
                  <w:shd w:val="clear" w:color="auto" w:fill="auto"/>
                  <w:vAlign w:val="center"/>
                </w:tcPr>
                <w:p w14:paraId="53C04FC2">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3F0596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restart"/>
                  <w:shd w:val="clear" w:color="auto" w:fill="auto"/>
                  <w:vAlign w:val="center"/>
                </w:tcPr>
                <w:p w14:paraId="2FCA116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72" w:type="pct"/>
                  <w:vMerge w:val="restart"/>
                  <w:shd w:val="clear" w:color="auto" w:fill="auto"/>
                  <w:vAlign w:val="center"/>
                </w:tcPr>
                <w:p w14:paraId="4670C08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综合废水（生产废水+生活污水）</w:t>
                  </w:r>
                </w:p>
              </w:tc>
              <w:tc>
                <w:tcPr>
                  <w:tcW w:w="1052" w:type="pct"/>
                  <w:shd w:val="clear" w:color="auto" w:fill="auto"/>
                  <w:vAlign w:val="center"/>
                </w:tcPr>
                <w:p w14:paraId="29CA08A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936" w:type="pct"/>
                  <w:shd w:val="clear" w:color="auto" w:fill="auto"/>
                  <w:vAlign w:val="center"/>
                </w:tcPr>
                <w:p w14:paraId="0BB4DDC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429074</w:t>
                  </w:r>
                </w:p>
              </w:tc>
              <w:tc>
                <w:tcPr>
                  <w:tcW w:w="831" w:type="pct"/>
                  <w:shd w:val="clear" w:color="auto" w:fill="auto"/>
                  <w:vAlign w:val="center"/>
                </w:tcPr>
                <w:p w14:paraId="3A7FB755">
                  <w:pPr>
                    <w:adjustRightInd/>
                    <w:snapToGrid/>
                    <w:spacing w:after="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138534</w:t>
                  </w:r>
                </w:p>
              </w:tc>
              <w:tc>
                <w:tcPr>
                  <w:tcW w:w="476" w:type="pct"/>
                  <w:shd w:val="clear" w:color="auto" w:fill="auto"/>
                  <w:noWrap/>
                  <w:vAlign w:val="center"/>
                </w:tcPr>
                <w:p w14:paraId="67A1F22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67D370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5F44465D">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3DFA2A90">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74B40E6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77" w:type="dxa"/>
                  <w:shd w:val="clear" w:color="auto" w:fill="auto"/>
                  <w:vAlign w:val="center"/>
                </w:tcPr>
                <w:p w14:paraId="40779C2E">
                  <w:pPr>
                    <w:widowControl/>
                    <w:jc w:val="center"/>
                    <w:rPr>
                      <w:rFonts w:hint="default" w:ascii="Times New Roman" w:hAnsi="Times New Roman" w:eastAsia="宋体" w:cs="Times New Roman"/>
                      <w:color w:val="auto"/>
                      <w:sz w:val="21"/>
                      <w:szCs w:val="21"/>
                    </w:rPr>
                  </w:pPr>
                  <w:r>
                    <w:rPr>
                      <w:rFonts w:hint="eastAsia"/>
                      <w:color w:val="auto"/>
                      <w:sz w:val="21"/>
                      <w:szCs w:val="21"/>
                    </w:rPr>
                    <w:t>57.40</w:t>
                  </w:r>
                </w:p>
              </w:tc>
              <w:tc>
                <w:tcPr>
                  <w:tcW w:w="1400" w:type="dxa"/>
                  <w:shd w:val="clear" w:color="auto" w:fill="auto"/>
                  <w:vAlign w:val="center"/>
                </w:tcPr>
                <w:p w14:paraId="54FC75C2">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2.2512</w:t>
                  </w:r>
                </w:p>
              </w:tc>
              <w:tc>
                <w:tcPr>
                  <w:tcW w:w="476" w:type="pct"/>
                  <w:shd w:val="clear" w:color="auto" w:fill="auto"/>
                  <w:noWrap/>
                  <w:vAlign w:val="center"/>
                </w:tcPr>
                <w:p w14:paraId="6A55F6B4">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5D3266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572277FD">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1172D1FA">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6C078B7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577" w:type="dxa"/>
                  <w:shd w:val="clear" w:color="auto" w:fill="auto"/>
                  <w:vAlign w:val="center"/>
                </w:tcPr>
                <w:p w14:paraId="39D512A2">
                  <w:pPr>
                    <w:widowControl/>
                    <w:jc w:val="center"/>
                    <w:rPr>
                      <w:rFonts w:hint="default" w:ascii="Times New Roman" w:hAnsi="Times New Roman" w:eastAsia="宋体" w:cs="Times New Roman"/>
                      <w:color w:val="auto"/>
                      <w:sz w:val="21"/>
                      <w:szCs w:val="21"/>
                    </w:rPr>
                  </w:pPr>
                  <w:r>
                    <w:rPr>
                      <w:rFonts w:hint="eastAsia"/>
                      <w:color w:val="auto"/>
                      <w:sz w:val="21"/>
                      <w:szCs w:val="21"/>
                    </w:rPr>
                    <w:t>36.49</w:t>
                  </w:r>
                </w:p>
              </w:tc>
              <w:tc>
                <w:tcPr>
                  <w:tcW w:w="1400" w:type="dxa"/>
                  <w:shd w:val="clear" w:color="auto" w:fill="auto"/>
                  <w:vAlign w:val="center"/>
                </w:tcPr>
                <w:p w14:paraId="21E6201B">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0.4727</w:t>
                  </w:r>
                </w:p>
              </w:tc>
              <w:tc>
                <w:tcPr>
                  <w:tcW w:w="476" w:type="pct"/>
                  <w:shd w:val="clear" w:color="auto" w:fill="auto"/>
                  <w:noWrap/>
                  <w:vAlign w:val="center"/>
                </w:tcPr>
                <w:p w14:paraId="5695E58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07C6F7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180FE898">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297081FF">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6189881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77" w:type="dxa"/>
                  <w:shd w:val="clear" w:color="auto" w:fill="auto"/>
                  <w:vAlign w:val="center"/>
                </w:tcPr>
                <w:p w14:paraId="407E224A">
                  <w:pPr>
                    <w:widowControl/>
                    <w:jc w:val="center"/>
                    <w:rPr>
                      <w:rFonts w:hint="default" w:ascii="Times New Roman" w:hAnsi="Times New Roman" w:eastAsia="宋体" w:cs="Times New Roman"/>
                      <w:color w:val="auto"/>
                      <w:sz w:val="21"/>
                      <w:szCs w:val="21"/>
                    </w:rPr>
                  </w:pPr>
                  <w:r>
                    <w:rPr>
                      <w:rFonts w:hint="eastAsia"/>
                      <w:color w:val="auto"/>
                      <w:sz w:val="21"/>
                      <w:szCs w:val="21"/>
                    </w:rPr>
                    <w:t>17.11</w:t>
                  </w:r>
                </w:p>
              </w:tc>
              <w:tc>
                <w:tcPr>
                  <w:tcW w:w="1400" w:type="dxa"/>
                  <w:shd w:val="clear" w:color="auto" w:fill="auto"/>
                  <w:vAlign w:val="center"/>
                </w:tcPr>
                <w:p w14:paraId="71916EF2">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3.827</w:t>
                  </w:r>
                </w:p>
              </w:tc>
              <w:tc>
                <w:tcPr>
                  <w:tcW w:w="476" w:type="pct"/>
                  <w:shd w:val="clear" w:color="auto" w:fill="auto"/>
                  <w:noWrap/>
                  <w:vAlign w:val="center"/>
                </w:tcPr>
                <w:p w14:paraId="4C6FF49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0D2E0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648FE646">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205BFFE1">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6CB02BE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577" w:type="dxa"/>
                  <w:shd w:val="clear" w:color="auto" w:fill="auto"/>
                  <w:vAlign w:val="center"/>
                </w:tcPr>
                <w:p w14:paraId="0E4D8169">
                  <w:pPr>
                    <w:widowControl/>
                    <w:jc w:val="center"/>
                    <w:rPr>
                      <w:rFonts w:hint="default" w:ascii="Times New Roman" w:hAnsi="Times New Roman" w:eastAsia="宋体" w:cs="Times New Roman"/>
                      <w:color w:val="auto"/>
                      <w:sz w:val="21"/>
                      <w:szCs w:val="21"/>
                    </w:rPr>
                  </w:pPr>
                  <w:r>
                    <w:rPr>
                      <w:rFonts w:hint="eastAsia"/>
                      <w:color w:val="auto"/>
                      <w:sz w:val="21"/>
                      <w:szCs w:val="21"/>
                    </w:rPr>
                    <w:t>1.20</w:t>
                  </w:r>
                </w:p>
              </w:tc>
              <w:tc>
                <w:tcPr>
                  <w:tcW w:w="1400" w:type="dxa"/>
                  <w:shd w:val="clear" w:color="auto" w:fill="auto"/>
                  <w:vAlign w:val="center"/>
                </w:tcPr>
                <w:p w14:paraId="4EF91821">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0.0904</w:t>
                  </w:r>
                </w:p>
              </w:tc>
              <w:tc>
                <w:tcPr>
                  <w:tcW w:w="476" w:type="pct"/>
                  <w:shd w:val="clear" w:color="auto" w:fill="auto"/>
                  <w:noWrap/>
                  <w:vAlign w:val="center"/>
                </w:tcPr>
                <w:p w14:paraId="0FF107A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602A44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741AAA07">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53A7BB40">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328BB5F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1577" w:type="dxa"/>
                  <w:shd w:val="clear" w:color="auto" w:fill="auto"/>
                  <w:vAlign w:val="center"/>
                </w:tcPr>
                <w:p w14:paraId="290D212D">
                  <w:pPr>
                    <w:widowControl/>
                    <w:jc w:val="center"/>
                    <w:rPr>
                      <w:rFonts w:hint="default" w:ascii="Times New Roman" w:hAnsi="Times New Roman" w:eastAsia="宋体" w:cs="Times New Roman"/>
                      <w:color w:val="auto"/>
                      <w:sz w:val="21"/>
                      <w:szCs w:val="21"/>
                    </w:rPr>
                  </w:pPr>
                  <w:r>
                    <w:rPr>
                      <w:rFonts w:hint="eastAsia"/>
                      <w:color w:val="auto"/>
                      <w:sz w:val="21"/>
                      <w:szCs w:val="21"/>
                    </w:rPr>
                    <w:t>2.27</w:t>
                  </w:r>
                </w:p>
              </w:tc>
              <w:tc>
                <w:tcPr>
                  <w:tcW w:w="1400" w:type="dxa"/>
                  <w:shd w:val="clear" w:color="auto" w:fill="auto"/>
                  <w:vAlign w:val="center"/>
                </w:tcPr>
                <w:p w14:paraId="6A5E7169">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0.1698</w:t>
                  </w:r>
                </w:p>
              </w:tc>
              <w:tc>
                <w:tcPr>
                  <w:tcW w:w="476" w:type="pct"/>
                  <w:shd w:val="clear" w:color="auto" w:fill="auto"/>
                  <w:noWrap/>
                  <w:vAlign w:val="center"/>
                </w:tcPr>
                <w:p w14:paraId="7A4A5ECC">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77D6DE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24EC0CEC">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283F293C">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618384F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1577" w:type="dxa"/>
                  <w:shd w:val="clear" w:color="auto" w:fill="auto"/>
                  <w:vAlign w:val="center"/>
                </w:tcPr>
                <w:p w14:paraId="24C059E9">
                  <w:pPr>
                    <w:widowControl/>
                    <w:jc w:val="center"/>
                    <w:rPr>
                      <w:rFonts w:hint="default" w:ascii="Times New Roman" w:hAnsi="Times New Roman" w:eastAsia="宋体" w:cs="Times New Roman"/>
                      <w:color w:val="auto"/>
                      <w:sz w:val="21"/>
                      <w:szCs w:val="21"/>
                    </w:rPr>
                  </w:pPr>
                  <w:r>
                    <w:rPr>
                      <w:rFonts w:hint="eastAsia"/>
                      <w:color w:val="auto"/>
                      <w:sz w:val="21"/>
                      <w:szCs w:val="21"/>
                    </w:rPr>
                    <w:t>0.21</w:t>
                  </w:r>
                </w:p>
              </w:tc>
              <w:tc>
                <w:tcPr>
                  <w:tcW w:w="1400" w:type="dxa"/>
                  <w:shd w:val="clear" w:color="auto" w:fill="auto"/>
                  <w:vAlign w:val="center"/>
                </w:tcPr>
                <w:p w14:paraId="4333A76B">
                  <w:pPr>
                    <w:adjustRightInd/>
                    <w:snapToGrid/>
                    <w:spacing w:after="0"/>
                    <w:jc w:val="center"/>
                    <w:rPr>
                      <w:rFonts w:hint="default" w:ascii="Times New Roman" w:hAnsi="Times New Roman" w:eastAsia="宋体" w:cs="Times New Roman"/>
                      <w:color w:val="auto"/>
                      <w:sz w:val="21"/>
                      <w:szCs w:val="21"/>
                    </w:rPr>
                  </w:pPr>
                  <w:r>
                    <w:rPr>
                      <w:rFonts w:ascii="Times New Roman" w:hAnsi="Times New Roman" w:eastAsia="等线"/>
                      <w:color w:val="auto"/>
                      <w:sz w:val="21"/>
                      <w:szCs w:val="21"/>
                    </w:rPr>
                    <w:t>0.0418</w:t>
                  </w:r>
                </w:p>
              </w:tc>
              <w:tc>
                <w:tcPr>
                  <w:tcW w:w="476" w:type="pct"/>
                  <w:shd w:val="clear" w:color="auto" w:fill="auto"/>
                  <w:noWrap/>
                  <w:vAlign w:val="center"/>
                </w:tcPr>
                <w:p w14:paraId="1E6C985F">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A28CC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pct"/>
                  <w:vMerge w:val="continue"/>
                  <w:vAlign w:val="center"/>
                </w:tcPr>
                <w:p w14:paraId="0D37B6A3">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6C152763">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6406176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1577" w:type="dxa"/>
                  <w:shd w:val="clear" w:color="auto" w:fill="auto"/>
                  <w:vAlign w:val="center"/>
                </w:tcPr>
                <w:p w14:paraId="234E1B69">
                  <w:pPr>
                    <w:widowControl/>
                    <w:jc w:val="center"/>
                    <w:rPr>
                      <w:rFonts w:hint="default" w:ascii="Times New Roman" w:hAnsi="Times New Roman" w:eastAsia="宋体" w:cs="Times New Roman"/>
                      <w:color w:val="auto"/>
                      <w:sz w:val="21"/>
                      <w:szCs w:val="21"/>
                    </w:rPr>
                  </w:pPr>
                  <w:r>
                    <w:rPr>
                      <w:rFonts w:hint="eastAsia"/>
                      <w:color w:val="auto"/>
                      <w:sz w:val="21"/>
                      <w:szCs w:val="21"/>
                    </w:rPr>
                    <w:t>0.09</w:t>
                  </w:r>
                </w:p>
              </w:tc>
              <w:tc>
                <w:tcPr>
                  <w:tcW w:w="1400" w:type="dxa"/>
                  <w:shd w:val="clear" w:color="auto" w:fill="auto"/>
                  <w:vAlign w:val="center"/>
                </w:tcPr>
                <w:p w14:paraId="412F0297">
                  <w:pPr>
                    <w:adjustRightInd/>
                    <w:snapToGrid/>
                    <w:spacing w:after="0"/>
                    <w:jc w:val="center"/>
                    <w:rPr>
                      <w:rFonts w:hint="default" w:ascii="Times New Roman" w:hAnsi="Times New Roman" w:eastAsia="宋体" w:cs="Times New Roman"/>
                      <w:color w:val="auto"/>
                      <w:sz w:val="21"/>
                      <w:szCs w:val="21"/>
                    </w:rPr>
                  </w:pPr>
                  <w:r>
                    <w:rPr>
                      <w:rFonts w:ascii="Times New Roman" w:hAnsi="Times New Roman" w:eastAsia="等线"/>
                      <w:color w:val="auto"/>
                      <w:sz w:val="21"/>
                      <w:szCs w:val="21"/>
                    </w:rPr>
                    <w:t>0.0042</w:t>
                  </w:r>
                </w:p>
              </w:tc>
              <w:tc>
                <w:tcPr>
                  <w:tcW w:w="476" w:type="pct"/>
                  <w:shd w:val="clear" w:color="auto" w:fill="auto"/>
                  <w:noWrap/>
                  <w:vAlign w:val="center"/>
                </w:tcPr>
                <w:p w14:paraId="06FC050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34E3AB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16589605">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3F8CC802">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67AE94D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LAS</w:t>
                  </w:r>
                </w:p>
              </w:tc>
              <w:tc>
                <w:tcPr>
                  <w:tcW w:w="1577" w:type="dxa"/>
                  <w:shd w:val="clear" w:color="auto" w:fill="auto"/>
                  <w:vAlign w:val="center"/>
                </w:tcPr>
                <w:p w14:paraId="6147560E">
                  <w:pPr>
                    <w:widowControl/>
                    <w:jc w:val="center"/>
                    <w:rPr>
                      <w:rFonts w:hint="default" w:ascii="Times New Roman" w:hAnsi="Times New Roman" w:eastAsia="宋体" w:cs="Times New Roman"/>
                      <w:color w:val="auto"/>
                      <w:sz w:val="21"/>
                      <w:szCs w:val="21"/>
                    </w:rPr>
                  </w:pPr>
                  <w:r>
                    <w:rPr>
                      <w:rFonts w:hint="eastAsia"/>
                      <w:color w:val="auto"/>
                      <w:sz w:val="21"/>
                      <w:szCs w:val="21"/>
                    </w:rPr>
                    <w:t>0.22</w:t>
                  </w:r>
                </w:p>
              </w:tc>
              <w:tc>
                <w:tcPr>
                  <w:tcW w:w="1400" w:type="dxa"/>
                  <w:shd w:val="clear" w:color="auto" w:fill="auto"/>
                  <w:vAlign w:val="center"/>
                </w:tcPr>
                <w:p w14:paraId="7D9B8FFD">
                  <w:pPr>
                    <w:adjustRightInd/>
                    <w:snapToGrid/>
                    <w:spacing w:after="0"/>
                    <w:jc w:val="center"/>
                    <w:rPr>
                      <w:rFonts w:hint="default" w:ascii="Times New Roman" w:hAnsi="Times New Roman" w:eastAsia="宋体" w:cs="Times New Roman"/>
                      <w:color w:val="auto"/>
                      <w:sz w:val="21"/>
                      <w:szCs w:val="21"/>
                    </w:rPr>
                  </w:pPr>
                  <w:r>
                    <w:rPr>
                      <w:rFonts w:ascii="Times New Roman" w:hAnsi="Times New Roman" w:eastAsia="等线"/>
                      <w:color w:val="auto"/>
                      <w:sz w:val="21"/>
                      <w:szCs w:val="21"/>
                    </w:rPr>
                    <w:t>0.0035</w:t>
                  </w:r>
                </w:p>
              </w:tc>
              <w:tc>
                <w:tcPr>
                  <w:tcW w:w="476" w:type="pct"/>
                  <w:shd w:val="clear" w:color="auto" w:fill="auto"/>
                  <w:noWrap/>
                  <w:vAlign w:val="center"/>
                </w:tcPr>
                <w:p w14:paraId="35F9173C">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270698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restart"/>
                  <w:shd w:val="clear" w:color="auto" w:fill="auto"/>
                  <w:vAlign w:val="center"/>
                </w:tcPr>
                <w:p w14:paraId="79D53D8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72" w:type="pct"/>
                  <w:shd w:val="clear" w:color="auto" w:fill="auto"/>
                  <w:vAlign w:val="center"/>
                </w:tcPr>
                <w:p w14:paraId="073B58A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1052" w:type="pct"/>
                  <w:shd w:val="clear" w:color="auto" w:fill="auto"/>
                  <w:vAlign w:val="center"/>
                </w:tcPr>
                <w:p w14:paraId="59A60EC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w:t>
                  </w:r>
                </w:p>
              </w:tc>
              <w:tc>
                <w:tcPr>
                  <w:tcW w:w="936" w:type="pct"/>
                  <w:shd w:val="clear" w:color="auto" w:fill="auto"/>
                  <w:vAlign w:val="center"/>
                </w:tcPr>
                <w:p w14:paraId="27FA2DD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0.09205</w:t>
                  </w:r>
                </w:p>
              </w:tc>
              <w:tc>
                <w:tcPr>
                  <w:tcW w:w="831" w:type="pct"/>
                  <w:shd w:val="clear" w:color="auto" w:fill="auto"/>
                  <w:noWrap/>
                  <w:vAlign w:val="center"/>
                </w:tcPr>
                <w:p w14:paraId="4874CE1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0.0232</w:t>
                  </w:r>
                </w:p>
              </w:tc>
              <w:tc>
                <w:tcPr>
                  <w:tcW w:w="476" w:type="pct"/>
                  <w:shd w:val="clear" w:color="auto" w:fill="auto"/>
                  <w:noWrap/>
                  <w:vAlign w:val="center"/>
                </w:tcPr>
                <w:p w14:paraId="2A14EC7F">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C62CF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10BDD167">
                  <w:pPr>
                    <w:adjustRightInd/>
                    <w:snapToGrid/>
                    <w:spacing w:after="0"/>
                    <w:jc w:val="center"/>
                    <w:rPr>
                      <w:rFonts w:hint="default" w:ascii="Times New Roman" w:hAnsi="Times New Roman" w:eastAsia="宋体" w:cs="Times New Roman"/>
                      <w:color w:val="auto"/>
                      <w:sz w:val="21"/>
                      <w:szCs w:val="21"/>
                    </w:rPr>
                  </w:pPr>
                </w:p>
              </w:tc>
              <w:tc>
                <w:tcPr>
                  <w:tcW w:w="872" w:type="pct"/>
                  <w:vMerge w:val="restart"/>
                  <w:shd w:val="clear" w:color="auto" w:fill="auto"/>
                  <w:vAlign w:val="center"/>
                </w:tcPr>
                <w:p w14:paraId="639041E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1052" w:type="pct"/>
                  <w:shd w:val="clear" w:color="auto" w:fill="auto"/>
                  <w:vAlign w:val="center"/>
                </w:tcPr>
                <w:p w14:paraId="06C1A39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936" w:type="pct"/>
                  <w:shd w:val="clear" w:color="auto" w:fill="auto"/>
                  <w:vAlign w:val="center"/>
                </w:tcPr>
                <w:p w14:paraId="166F4D4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c>
                <w:tcPr>
                  <w:tcW w:w="831" w:type="pct"/>
                  <w:shd w:val="clear" w:color="auto" w:fill="auto"/>
                  <w:noWrap/>
                  <w:vAlign w:val="center"/>
                </w:tcPr>
                <w:p w14:paraId="1A3DAD7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76" w:type="pct"/>
                  <w:shd w:val="clear" w:color="auto" w:fill="auto"/>
                  <w:noWrap/>
                  <w:vAlign w:val="center"/>
                </w:tcPr>
                <w:p w14:paraId="0EC096D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E972C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26C557BE">
                  <w:pPr>
                    <w:adjustRightInd/>
                    <w:snapToGrid/>
                    <w:spacing w:after="0"/>
                    <w:jc w:val="center"/>
                    <w:rPr>
                      <w:rFonts w:hint="default" w:ascii="Times New Roman" w:hAnsi="Times New Roman" w:eastAsia="宋体" w:cs="Times New Roman"/>
                      <w:color w:val="auto"/>
                      <w:sz w:val="21"/>
                      <w:szCs w:val="21"/>
                    </w:rPr>
                  </w:pPr>
                </w:p>
              </w:tc>
              <w:tc>
                <w:tcPr>
                  <w:tcW w:w="872" w:type="pct"/>
                  <w:vMerge w:val="continue"/>
                  <w:vAlign w:val="center"/>
                </w:tcPr>
                <w:p w14:paraId="63503073">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2B948C0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936" w:type="pct"/>
                  <w:shd w:val="clear" w:color="auto" w:fill="auto"/>
                  <w:vAlign w:val="center"/>
                </w:tcPr>
                <w:p w14:paraId="5304D39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831" w:type="pct"/>
                  <w:shd w:val="clear" w:color="auto" w:fill="auto"/>
                  <w:noWrap/>
                  <w:vAlign w:val="center"/>
                </w:tcPr>
                <w:p w14:paraId="75FE3E2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76" w:type="pct"/>
                  <w:shd w:val="clear" w:color="auto" w:fill="auto"/>
                  <w:noWrap/>
                  <w:vAlign w:val="center"/>
                </w:tcPr>
                <w:p w14:paraId="66CDAD75">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3947B6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43687D59">
                  <w:pPr>
                    <w:adjustRightInd/>
                    <w:snapToGrid/>
                    <w:spacing w:after="0"/>
                    <w:jc w:val="center"/>
                    <w:rPr>
                      <w:rFonts w:hint="default" w:ascii="Times New Roman" w:hAnsi="Times New Roman" w:eastAsia="宋体" w:cs="Times New Roman"/>
                      <w:color w:val="auto"/>
                      <w:sz w:val="21"/>
                      <w:szCs w:val="21"/>
                    </w:rPr>
                  </w:pPr>
                </w:p>
              </w:tc>
              <w:tc>
                <w:tcPr>
                  <w:tcW w:w="872" w:type="pct"/>
                  <w:vMerge w:val="continue"/>
                  <w:vAlign w:val="center"/>
                </w:tcPr>
                <w:p w14:paraId="2D3DA2CC">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211C6BC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936" w:type="pct"/>
                  <w:shd w:val="clear" w:color="auto" w:fill="auto"/>
                  <w:vAlign w:val="center"/>
                </w:tcPr>
                <w:p w14:paraId="45D57A7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831" w:type="pct"/>
                  <w:shd w:val="clear" w:color="auto" w:fill="auto"/>
                  <w:noWrap/>
                  <w:vAlign w:val="center"/>
                </w:tcPr>
                <w:p w14:paraId="4A4E244F">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76" w:type="pct"/>
                  <w:shd w:val="clear" w:color="auto" w:fill="auto"/>
                  <w:noWrap/>
                  <w:vAlign w:val="center"/>
                </w:tcPr>
                <w:p w14:paraId="4BF0F72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23C136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restart"/>
                  <w:vAlign w:val="center"/>
                </w:tcPr>
                <w:p w14:paraId="383A73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924" w:type="pct"/>
                  <w:gridSpan w:val="2"/>
                  <w:vAlign w:val="center"/>
                </w:tcPr>
                <w:p w14:paraId="7E2DECE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一般工业固体废物</w:t>
                  </w:r>
                </w:p>
              </w:tc>
              <w:tc>
                <w:tcPr>
                  <w:tcW w:w="936" w:type="pct"/>
                  <w:shd w:val="clear" w:color="auto" w:fill="auto"/>
                  <w:vAlign w:val="center"/>
                </w:tcPr>
                <w:p w14:paraId="6668C77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831" w:type="pct"/>
                  <w:shd w:val="clear" w:color="auto" w:fill="auto"/>
                  <w:noWrap/>
                  <w:vAlign w:val="center"/>
                </w:tcPr>
                <w:p w14:paraId="67C35C9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0</w:t>
                  </w:r>
                </w:p>
              </w:tc>
              <w:tc>
                <w:tcPr>
                  <w:tcW w:w="476" w:type="pct"/>
                  <w:shd w:val="clear" w:color="auto" w:fill="auto"/>
                  <w:noWrap/>
                  <w:vAlign w:val="center"/>
                </w:tcPr>
                <w:p w14:paraId="031B8514">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570E0A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30" w:type="pct"/>
                  <w:vMerge w:val="continue"/>
                  <w:vAlign w:val="center"/>
                </w:tcPr>
                <w:p w14:paraId="62214256">
                  <w:pPr>
                    <w:adjustRightInd/>
                    <w:snapToGrid/>
                    <w:spacing w:after="0"/>
                    <w:rPr>
                      <w:rFonts w:hint="default" w:ascii="Times New Roman" w:hAnsi="Times New Roman" w:eastAsia="宋体" w:cs="Times New Roman"/>
                      <w:color w:val="auto"/>
                      <w:sz w:val="21"/>
                      <w:szCs w:val="21"/>
                    </w:rPr>
                  </w:pPr>
                </w:p>
              </w:tc>
              <w:tc>
                <w:tcPr>
                  <w:tcW w:w="1924" w:type="pct"/>
                  <w:gridSpan w:val="2"/>
                  <w:vAlign w:val="center"/>
                </w:tcPr>
                <w:p w14:paraId="3EFD390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936" w:type="pct"/>
                  <w:shd w:val="clear" w:color="auto" w:fill="auto"/>
                  <w:vAlign w:val="center"/>
                </w:tcPr>
                <w:p w14:paraId="00BA0D5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831" w:type="pct"/>
                  <w:shd w:val="clear" w:color="auto" w:fill="auto"/>
                  <w:noWrap/>
                  <w:vAlign w:val="center"/>
                </w:tcPr>
                <w:p w14:paraId="4833326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0</w:t>
                  </w:r>
                </w:p>
              </w:tc>
              <w:tc>
                <w:tcPr>
                  <w:tcW w:w="476" w:type="pct"/>
                  <w:shd w:val="clear" w:color="auto" w:fill="auto"/>
                  <w:noWrap/>
                  <w:vAlign w:val="center"/>
                </w:tcPr>
                <w:p w14:paraId="4FDBBAF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bl>
          <w:p w14:paraId="1C6F81D1">
            <w:pPr>
              <w:widowControl/>
              <w:adjustRightInd w:val="0"/>
              <w:snapToGrid w:val="0"/>
              <w:spacing w:before="120" w:beforeLines="50" w:line="360" w:lineRule="auto"/>
              <w:ind w:firstLine="422"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注：</w:t>
            </w:r>
            <w:r>
              <w:rPr>
                <w:rFonts w:hint="eastAsia" w:ascii="Times New Roman" w:hAnsi="Times New Roman" w:eastAsia="宋体" w:cs="Times New Roman"/>
                <w:bCs/>
                <w:color w:val="auto"/>
                <w:sz w:val="21"/>
                <w:szCs w:val="21"/>
                <w:lang w:eastAsia="zh-CN"/>
              </w:rPr>
              <w:t>根据验收</w:t>
            </w:r>
            <w:r>
              <w:rPr>
                <w:rFonts w:hint="eastAsia" w:cs="Times New Roman"/>
                <w:bCs/>
                <w:color w:val="auto"/>
                <w:sz w:val="21"/>
                <w:szCs w:val="21"/>
                <w:lang w:eastAsia="zh-CN"/>
              </w:rPr>
              <w:t>废水排放量数据，企业生产负荷</w:t>
            </w:r>
            <w:r>
              <w:rPr>
                <w:rFonts w:hint="eastAsia" w:cs="Times New Roman"/>
                <w:bCs/>
                <w:color w:val="auto"/>
                <w:sz w:val="21"/>
                <w:szCs w:val="21"/>
                <w:lang w:val="en-US" w:eastAsia="zh-CN"/>
              </w:rPr>
              <w:t>95%，折算满负荷生产时，水量为145825</w:t>
            </w:r>
            <w:r>
              <w:rPr>
                <w:rFonts w:hint="default" w:ascii="Times New Roman" w:hAnsi="Times New Roman" w:eastAsia="宋体" w:cs="Times New Roman"/>
                <w:b w:val="0"/>
                <w:bCs w:val="0"/>
                <w:color w:val="auto"/>
                <w:sz w:val="21"/>
                <w:szCs w:val="21"/>
              </w:rPr>
              <w:t>t/a</w:t>
            </w: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实际污染物排放量根据2024年10月23日—24日，南京万全检测技术有限公司的检测报告核算，实际污水处理厂处理效率比环评预估效率高（详见表2-10），故实际排放量较低。</w:t>
            </w:r>
          </w:p>
          <w:p w14:paraId="79515827">
            <w:pPr>
              <w:widowControl/>
              <w:adjustRightInd w:val="0"/>
              <w:snapToGrid w:val="0"/>
              <w:spacing w:before="120" w:beforeLines="50"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5.现有项目存在的主要环境问题</w:t>
            </w:r>
            <w:r>
              <w:rPr>
                <w:rFonts w:hint="eastAsia" w:cs="Times New Roman"/>
                <w:b/>
                <w:bCs/>
                <w:color w:val="auto"/>
                <w:sz w:val="24"/>
                <w:lang w:eastAsia="zh-CN"/>
              </w:rPr>
              <w:t>及</w:t>
            </w:r>
            <w:r>
              <w:rPr>
                <w:rFonts w:hint="eastAsia" w:ascii="Times New Roman" w:hAnsi="Times New Roman" w:eastAsia="宋体" w:cs="Times New Roman"/>
                <w:b/>
                <w:bCs/>
                <w:color w:val="auto"/>
                <w:sz w:val="24"/>
              </w:rPr>
              <w:t>“以新带老”措施</w:t>
            </w:r>
          </w:p>
          <w:p w14:paraId="76FD1555">
            <w:pPr>
              <w:widowControl/>
              <w:adjustRightInd w:val="0"/>
              <w:snapToGrid w:val="0"/>
              <w:spacing w:line="360" w:lineRule="auto"/>
              <w:ind w:firstLine="480" w:firstLineChars="200"/>
              <w:rPr>
                <w:rFonts w:hint="eastAsia"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经现场勘查，现有项目各排污口、原料仓库均规范化设置及管理，同时，企业</w:t>
            </w:r>
            <w:r>
              <w:rPr>
                <w:rFonts w:hint="eastAsia" w:cs="Times New Roman"/>
                <w:bCs/>
                <w:color w:val="auto"/>
                <w:sz w:val="24"/>
                <w:lang w:eastAsia="zh-CN"/>
              </w:rPr>
              <w:t>已</w:t>
            </w:r>
            <w:r>
              <w:rPr>
                <w:rFonts w:hint="default" w:ascii="Times New Roman" w:hAnsi="Times New Roman" w:eastAsia="宋体" w:cs="Times New Roman"/>
                <w:bCs/>
                <w:color w:val="auto"/>
                <w:sz w:val="24"/>
              </w:rPr>
              <w:t>完善排污许可申报、执行报告</w:t>
            </w:r>
            <w:r>
              <w:rPr>
                <w:rFonts w:hint="eastAsia" w:cs="Times New Roman"/>
                <w:bCs/>
                <w:color w:val="auto"/>
                <w:sz w:val="24"/>
                <w:lang w:eastAsia="zh-CN"/>
              </w:rPr>
              <w:t>。但发现企业第三季度噪声</w:t>
            </w:r>
            <w:r>
              <w:rPr>
                <w:rFonts w:hint="default" w:ascii="Times New Roman" w:hAnsi="Times New Roman" w:eastAsia="宋体" w:cs="Times New Roman"/>
                <w:bCs/>
                <w:color w:val="auto"/>
                <w:sz w:val="24"/>
              </w:rPr>
              <w:t>例行监测</w:t>
            </w:r>
            <w:r>
              <w:rPr>
                <w:rFonts w:hint="eastAsia" w:cs="Times New Roman"/>
                <w:bCs/>
                <w:color w:val="auto"/>
                <w:sz w:val="24"/>
                <w:lang w:eastAsia="zh-CN"/>
              </w:rPr>
              <w:t>还未开展</w:t>
            </w:r>
            <w:r>
              <w:rPr>
                <w:rFonts w:hint="default" w:ascii="Times New Roman" w:hAnsi="Times New Roman" w:eastAsia="宋体" w:cs="Times New Roman"/>
                <w:bCs/>
                <w:color w:val="auto"/>
                <w:sz w:val="24"/>
              </w:rPr>
              <w:t>。</w:t>
            </w:r>
            <w:r>
              <w:rPr>
                <w:rFonts w:hint="eastAsia" w:cs="Times New Roman"/>
                <w:bCs/>
                <w:color w:val="auto"/>
                <w:sz w:val="24"/>
                <w:lang w:eastAsia="zh-CN"/>
              </w:rPr>
              <w:t>此外，</w:t>
            </w:r>
            <w:r>
              <w:rPr>
                <w:rFonts w:hint="eastAsia" w:cs="Times New Roman"/>
                <w:bCs/>
                <w:color w:val="auto"/>
                <w:sz w:val="24"/>
                <w:lang w:val="en-US" w:eastAsia="zh-CN"/>
              </w:rPr>
              <w:t>本次扩建</w:t>
            </w:r>
            <w:r>
              <w:rPr>
                <w:rFonts w:hint="eastAsia" w:cs="Times New Roman"/>
                <w:bCs/>
                <w:color w:val="auto"/>
                <w:sz w:val="24"/>
                <w:lang w:eastAsia="zh-CN"/>
              </w:rPr>
              <w:t>项目</w:t>
            </w:r>
            <w:r>
              <w:rPr>
                <w:rFonts w:hint="eastAsia" w:cs="Times New Roman"/>
                <w:bCs/>
                <w:color w:val="auto"/>
                <w:sz w:val="24"/>
                <w:lang w:val="en-US" w:eastAsia="zh-CN"/>
              </w:rPr>
              <w:t>于2025年8月设备已进厂安装，属于未批先建。</w:t>
            </w:r>
            <w:r>
              <w:rPr>
                <w:rFonts w:hint="eastAsia" w:cs="Times New Roman"/>
                <w:bCs/>
                <w:color w:val="auto"/>
                <w:sz w:val="24"/>
                <w:lang w:eastAsia="zh-CN"/>
              </w:rPr>
              <w:t>具体见下表：</w:t>
            </w:r>
          </w:p>
          <w:tbl>
            <w:tblPr>
              <w:tblStyle w:val="32"/>
              <w:tblW w:w="825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667"/>
              <w:gridCol w:w="2526"/>
              <w:gridCol w:w="5063"/>
            </w:tblGrid>
            <w:tr w14:paraId="01FC63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667" w:type="dxa"/>
                  <w:noWrap w:val="0"/>
                  <w:vAlign w:val="bottom"/>
                </w:tcPr>
                <w:p w14:paraId="718E9499">
                  <w:pPr>
                    <w:adjustRightInd/>
                    <w:snapToGrid/>
                    <w:spacing w:after="0"/>
                    <w:jc w:val="center"/>
                    <w:rPr>
                      <w:rFonts w:hint="eastAsia" w:ascii="Times New Roman" w:hAnsi="Times New Roman" w:eastAsia="宋体" w:cs="Times New Roman"/>
                      <w:b/>
                      <w:bCs/>
                      <w:color w:val="auto"/>
                      <w:sz w:val="22"/>
                      <w:szCs w:val="22"/>
                    </w:rPr>
                  </w:pPr>
                  <w:r>
                    <w:rPr>
                      <w:rFonts w:hint="eastAsia" w:ascii="Times New Roman" w:hAnsi="Times New Roman" w:eastAsia="宋体" w:cs="Times New Roman"/>
                      <w:b/>
                      <w:bCs/>
                      <w:color w:val="auto"/>
                      <w:sz w:val="22"/>
                      <w:szCs w:val="22"/>
                    </w:rPr>
                    <w:t>序号</w:t>
                  </w:r>
                </w:p>
              </w:tc>
              <w:tc>
                <w:tcPr>
                  <w:tcW w:w="2526" w:type="dxa"/>
                  <w:noWrap w:val="0"/>
                  <w:vAlign w:val="bottom"/>
                </w:tcPr>
                <w:p w14:paraId="21A348D2">
                  <w:pPr>
                    <w:adjustRightInd/>
                    <w:snapToGrid/>
                    <w:spacing w:after="0"/>
                    <w:jc w:val="center"/>
                    <w:rPr>
                      <w:rFonts w:hint="eastAsia" w:ascii="Times New Roman" w:hAnsi="Times New Roman" w:eastAsia="宋体" w:cs="Times New Roman"/>
                      <w:b/>
                      <w:bCs/>
                      <w:color w:val="auto"/>
                      <w:sz w:val="22"/>
                      <w:szCs w:val="22"/>
                    </w:rPr>
                  </w:pPr>
                  <w:r>
                    <w:rPr>
                      <w:rFonts w:hint="eastAsia" w:ascii="Times New Roman" w:hAnsi="Times New Roman" w:eastAsia="宋体" w:cs="Times New Roman"/>
                      <w:b/>
                      <w:bCs/>
                      <w:color w:val="auto"/>
                      <w:sz w:val="22"/>
                      <w:szCs w:val="22"/>
                    </w:rPr>
                    <w:t>现有主要环境问题</w:t>
                  </w:r>
                </w:p>
              </w:tc>
              <w:tc>
                <w:tcPr>
                  <w:tcW w:w="5063" w:type="dxa"/>
                  <w:noWrap w:val="0"/>
                  <w:vAlign w:val="bottom"/>
                </w:tcPr>
                <w:p w14:paraId="43AC5539">
                  <w:pPr>
                    <w:adjustRightInd/>
                    <w:snapToGrid/>
                    <w:spacing w:after="0"/>
                    <w:jc w:val="center"/>
                    <w:rPr>
                      <w:rFonts w:hint="eastAsia" w:ascii="Times New Roman" w:hAnsi="Times New Roman" w:eastAsia="宋体" w:cs="Times New Roman"/>
                      <w:b/>
                      <w:bCs/>
                      <w:color w:val="auto"/>
                      <w:sz w:val="22"/>
                      <w:szCs w:val="22"/>
                      <w:lang w:eastAsia="zh-CN"/>
                    </w:rPr>
                  </w:pPr>
                  <w:r>
                    <w:rPr>
                      <w:rFonts w:hint="eastAsia" w:ascii="Times New Roman" w:hAnsi="Times New Roman" w:eastAsia="宋体" w:cs="Times New Roman"/>
                      <w:b/>
                      <w:bCs/>
                      <w:color w:val="auto"/>
                      <w:sz w:val="22"/>
                      <w:szCs w:val="22"/>
                      <w:lang w:eastAsia="zh-CN"/>
                    </w:rPr>
                    <w:t>整改方案</w:t>
                  </w:r>
                </w:p>
              </w:tc>
            </w:tr>
            <w:tr w14:paraId="78C406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60" w:hRule="atLeast"/>
                <w:jc w:val="center"/>
              </w:trPr>
              <w:tc>
                <w:tcPr>
                  <w:tcW w:w="667" w:type="dxa"/>
                  <w:noWrap w:val="0"/>
                  <w:vAlign w:val="bottom"/>
                </w:tcPr>
                <w:p w14:paraId="245A29DC">
                  <w:pPr>
                    <w:adjustRightInd/>
                    <w:snapToGrid/>
                    <w:spacing w:after="0"/>
                    <w:jc w:val="center"/>
                    <w:rPr>
                      <w:rFonts w:hint="eastAsia"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1</w:t>
                  </w:r>
                </w:p>
              </w:tc>
              <w:tc>
                <w:tcPr>
                  <w:tcW w:w="2526" w:type="dxa"/>
                  <w:noWrap w:val="0"/>
                  <w:vAlign w:val="bottom"/>
                </w:tcPr>
                <w:p w14:paraId="1C841CA7">
                  <w:pPr>
                    <w:adjustRightInd/>
                    <w:snapToGrid/>
                    <w:spacing w:after="0"/>
                    <w:jc w:val="center"/>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第三季度噪声还未检测</w:t>
                  </w:r>
                </w:p>
              </w:tc>
              <w:tc>
                <w:tcPr>
                  <w:tcW w:w="5063" w:type="dxa"/>
                  <w:noWrap w:val="0"/>
                  <w:vAlign w:val="bottom"/>
                </w:tcPr>
                <w:p w14:paraId="77A81639">
                  <w:pPr>
                    <w:adjustRightInd/>
                    <w:snapToGrid/>
                    <w:spacing w:after="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eastAsia="zh-CN"/>
                    </w:rPr>
                    <w:t>已安排第三方检测公司，</w:t>
                  </w:r>
                  <w:r>
                    <w:rPr>
                      <w:rFonts w:hint="eastAsia" w:ascii="Times New Roman" w:hAnsi="Times New Roman" w:eastAsia="宋体" w:cs="Times New Roman"/>
                      <w:color w:val="auto"/>
                      <w:sz w:val="22"/>
                      <w:szCs w:val="22"/>
                      <w:lang w:val="en-US" w:eastAsia="zh-CN"/>
                    </w:rPr>
                    <w:t>9月中下旬进行例行检测</w:t>
                  </w:r>
                </w:p>
              </w:tc>
            </w:tr>
            <w:tr w14:paraId="226EAB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667" w:type="dxa"/>
                  <w:noWrap w:val="0"/>
                  <w:vAlign w:val="bottom"/>
                </w:tcPr>
                <w:p w14:paraId="1892EBE5">
                  <w:pPr>
                    <w:adjustRightInd/>
                    <w:snapToGrid/>
                    <w:spacing w:after="0"/>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w:t>
                  </w:r>
                </w:p>
              </w:tc>
              <w:tc>
                <w:tcPr>
                  <w:tcW w:w="2526" w:type="dxa"/>
                  <w:noWrap w:val="0"/>
                  <w:vAlign w:val="bottom"/>
                </w:tcPr>
                <w:p w14:paraId="1D9246F7">
                  <w:pPr>
                    <w:adjustRightInd/>
                    <w:snapToGrid/>
                    <w:spacing w:after="0"/>
                    <w:jc w:val="center"/>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污水站标识牌螺丝脱落</w:t>
                  </w:r>
                </w:p>
              </w:tc>
              <w:tc>
                <w:tcPr>
                  <w:tcW w:w="5063" w:type="dxa"/>
                  <w:noWrap w:val="0"/>
                  <w:vAlign w:val="bottom"/>
                </w:tcPr>
                <w:p w14:paraId="44EDB254">
                  <w:pPr>
                    <w:adjustRightInd/>
                    <w:snapToGrid/>
                    <w:spacing w:after="0"/>
                    <w:jc w:val="center"/>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eastAsia="zh-CN"/>
                    </w:rPr>
                    <w:t>已对标识牌重新安装</w:t>
                  </w:r>
                </w:p>
              </w:tc>
            </w:tr>
            <w:tr w14:paraId="5BC888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667" w:type="dxa"/>
                  <w:noWrap w:val="0"/>
                  <w:vAlign w:val="bottom"/>
                </w:tcPr>
                <w:p w14:paraId="1DF66B13">
                  <w:pPr>
                    <w:adjustRightInd/>
                    <w:snapToGrid/>
                    <w:spacing w:after="0"/>
                    <w:jc w:val="center"/>
                    <w:rPr>
                      <w:rFonts w:hint="default" w:ascii="Times New Roman" w:hAnsi="Times New Roman" w:eastAsia="宋体" w:cs="Times New Roman"/>
                      <w:color w:val="auto"/>
                      <w:sz w:val="22"/>
                      <w:szCs w:val="22"/>
                      <w:lang w:val="en-US" w:eastAsia="zh-CN"/>
                    </w:rPr>
                  </w:pPr>
                  <w:r>
                    <w:rPr>
                      <w:rFonts w:hint="eastAsia" w:cs="Times New Roman"/>
                      <w:color w:val="auto"/>
                      <w:sz w:val="22"/>
                      <w:szCs w:val="22"/>
                      <w:lang w:val="en-US" w:eastAsia="zh-CN"/>
                    </w:rPr>
                    <w:t>3</w:t>
                  </w:r>
                </w:p>
              </w:tc>
              <w:tc>
                <w:tcPr>
                  <w:tcW w:w="2526" w:type="dxa"/>
                  <w:noWrap w:val="0"/>
                  <w:vAlign w:val="center"/>
                </w:tcPr>
                <w:p w14:paraId="44A5092B">
                  <w:pPr>
                    <w:adjustRightInd/>
                    <w:snapToGrid/>
                    <w:spacing w:after="0"/>
                    <w:jc w:val="center"/>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val="en-US" w:eastAsia="zh-CN"/>
                    </w:rPr>
                    <w:t>本次扩建</w:t>
                  </w:r>
                  <w:r>
                    <w:rPr>
                      <w:rFonts w:hint="eastAsia" w:ascii="Times New Roman" w:hAnsi="Times New Roman" w:eastAsia="宋体" w:cs="Times New Roman"/>
                      <w:color w:val="auto"/>
                      <w:sz w:val="22"/>
                      <w:szCs w:val="22"/>
                      <w:lang w:eastAsia="zh-CN"/>
                    </w:rPr>
                    <w:t>项目</w:t>
                  </w:r>
                  <w:r>
                    <w:rPr>
                      <w:rFonts w:hint="eastAsia" w:ascii="Times New Roman" w:hAnsi="Times New Roman" w:eastAsia="宋体" w:cs="Times New Roman"/>
                      <w:color w:val="auto"/>
                      <w:sz w:val="22"/>
                      <w:szCs w:val="22"/>
                      <w:lang w:val="en-US" w:eastAsia="zh-CN"/>
                    </w:rPr>
                    <w:t>于2025年8月设备已</w:t>
                  </w:r>
                  <w:r>
                    <w:rPr>
                      <w:rFonts w:hint="eastAsia" w:cs="Times New Roman"/>
                      <w:color w:val="auto"/>
                      <w:sz w:val="22"/>
                      <w:szCs w:val="22"/>
                      <w:lang w:val="en-US" w:eastAsia="zh-CN"/>
                    </w:rPr>
                    <w:t>进场安装</w:t>
                  </w:r>
                  <w:r>
                    <w:rPr>
                      <w:rFonts w:hint="eastAsia" w:ascii="Times New Roman" w:hAnsi="Times New Roman" w:eastAsia="宋体" w:cs="Times New Roman"/>
                      <w:color w:val="auto"/>
                      <w:sz w:val="22"/>
                      <w:szCs w:val="22"/>
                      <w:lang w:val="en-US" w:eastAsia="zh-CN"/>
                    </w:rPr>
                    <w:t>，属于未批先建</w:t>
                  </w:r>
                </w:p>
              </w:tc>
              <w:tc>
                <w:tcPr>
                  <w:tcW w:w="5063" w:type="dxa"/>
                  <w:noWrap w:val="0"/>
                  <w:vAlign w:val="center"/>
                </w:tcPr>
                <w:p w14:paraId="2C5ACEA3">
                  <w:pPr>
                    <w:adjustRightInd/>
                    <w:snapToGrid/>
                    <w:spacing w:after="0"/>
                    <w:jc w:val="center"/>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val="en-US" w:eastAsia="zh-CN"/>
                    </w:rPr>
                    <w:t>企业已</w:t>
                  </w:r>
                  <w:r>
                    <w:rPr>
                      <w:rFonts w:hint="eastAsia" w:cs="Times New Roman"/>
                      <w:color w:val="auto"/>
                      <w:sz w:val="22"/>
                      <w:szCs w:val="22"/>
                      <w:lang w:val="en-US" w:eastAsia="zh-CN"/>
                    </w:rPr>
                    <w:t>主动</w:t>
                  </w:r>
                  <w:r>
                    <w:rPr>
                      <w:rFonts w:hint="eastAsia" w:ascii="Times New Roman" w:hAnsi="Times New Roman" w:eastAsia="宋体" w:cs="Times New Roman"/>
                      <w:color w:val="auto"/>
                      <w:sz w:val="22"/>
                      <w:szCs w:val="22"/>
                      <w:lang w:val="en-US" w:eastAsia="zh-CN"/>
                    </w:rPr>
                    <w:t>将设备</w:t>
                  </w:r>
                  <w:r>
                    <w:rPr>
                      <w:rFonts w:hint="eastAsia" w:cs="Times New Roman"/>
                      <w:color w:val="auto"/>
                      <w:sz w:val="22"/>
                      <w:szCs w:val="22"/>
                      <w:lang w:val="en-US" w:eastAsia="zh-CN"/>
                    </w:rPr>
                    <w:t>拆除</w:t>
                  </w:r>
                  <w:r>
                    <w:rPr>
                      <w:rFonts w:hint="eastAsia" w:ascii="Times New Roman" w:hAnsi="Times New Roman" w:eastAsia="宋体" w:cs="Times New Roman"/>
                      <w:color w:val="auto"/>
                      <w:sz w:val="22"/>
                      <w:szCs w:val="22"/>
                      <w:lang w:val="en-US" w:eastAsia="zh-CN"/>
                    </w:rPr>
                    <w:t>，</w:t>
                  </w:r>
                  <w:r>
                    <w:rPr>
                      <w:rFonts w:hint="eastAsia" w:cs="Times New Roman"/>
                      <w:color w:val="auto"/>
                      <w:sz w:val="22"/>
                      <w:szCs w:val="22"/>
                      <w:lang w:val="en-US" w:eastAsia="zh-CN"/>
                    </w:rPr>
                    <w:t>该厂房已</w:t>
                  </w:r>
                  <w:r>
                    <w:rPr>
                      <w:rFonts w:hint="eastAsia" w:ascii="Times New Roman" w:hAnsi="Times New Roman" w:eastAsia="宋体" w:cs="Times New Roman"/>
                      <w:color w:val="auto"/>
                      <w:sz w:val="22"/>
                      <w:szCs w:val="22"/>
                      <w:lang w:val="en-US" w:eastAsia="zh-CN"/>
                    </w:rPr>
                    <w:t>恢复</w:t>
                  </w:r>
                  <w:r>
                    <w:rPr>
                      <w:rFonts w:hint="eastAsia" w:cs="Times New Roman"/>
                      <w:color w:val="auto"/>
                      <w:sz w:val="22"/>
                      <w:szCs w:val="22"/>
                      <w:lang w:val="en-US" w:eastAsia="zh-CN"/>
                    </w:rPr>
                    <w:t>原</w:t>
                  </w:r>
                  <w:r>
                    <w:rPr>
                      <w:rFonts w:hint="eastAsia" w:ascii="Times New Roman" w:hAnsi="Times New Roman" w:eastAsia="宋体" w:cs="Times New Roman"/>
                      <w:color w:val="auto"/>
                      <w:sz w:val="22"/>
                      <w:szCs w:val="22"/>
                      <w:lang w:val="en-US" w:eastAsia="zh-CN"/>
                    </w:rPr>
                    <w:t>状</w:t>
                  </w:r>
                  <w:r>
                    <w:rPr>
                      <w:rFonts w:hint="eastAsia" w:cs="Times New Roman"/>
                      <w:color w:val="auto"/>
                      <w:sz w:val="22"/>
                      <w:szCs w:val="22"/>
                      <w:lang w:val="en-US" w:eastAsia="zh-CN"/>
                    </w:rPr>
                    <w:t>，该厂房没有与现有项目共用的环保设施，拆除后不影响现有项目的生产</w:t>
                  </w:r>
                </w:p>
              </w:tc>
            </w:tr>
          </w:tbl>
          <w:p w14:paraId="5E982152">
            <w:pPr>
              <w:widowControl/>
              <w:adjustRightInd w:val="0"/>
              <w:snapToGrid w:val="0"/>
              <w:spacing w:line="360" w:lineRule="auto"/>
              <w:ind w:firstLine="480" w:firstLineChars="200"/>
              <w:rPr>
                <w:rFonts w:hint="default" w:eastAsia="宋体"/>
                <w:color w:val="auto"/>
                <w:sz w:val="24"/>
                <w:lang w:val="en-US" w:eastAsia="zh-CN"/>
              </w:rPr>
            </w:pPr>
            <w:r>
              <w:rPr>
                <w:rFonts w:hint="eastAsia" w:eastAsia="宋体"/>
                <w:color w:val="auto"/>
                <w:sz w:val="24"/>
                <w:lang w:val="en-US" w:eastAsia="zh-CN"/>
              </w:rPr>
              <w:t>根据企业二期未建设项目盖世食品(江苏)有限公司年产7000吨预制水产及肉类智能制造项目）中提及：企业对生产环境部分工艺进行改进，减少废水排放量。清洗环节原来是直接排放，现在改为过滤循环使用，水量减少原计划水量的约30%；杀菌冷却原来靠进自来水调节冷却水温度，现在改为冷水机对杀菌冷却水降温，这个环节减少约37.6%。按照企业减排措施，现有项目生产废水削减量约283249t/a。</w:t>
            </w:r>
            <w:r>
              <w:rPr>
                <w:rFonts w:hint="eastAsia"/>
                <w:color w:val="auto"/>
                <w:sz w:val="24"/>
                <w:lang w:val="en-US" w:eastAsia="zh-CN"/>
              </w:rPr>
              <w:t>二期项目新增水量</w:t>
            </w:r>
            <w:r>
              <w:rPr>
                <w:rFonts w:hint="eastAsia" w:eastAsia="宋体"/>
                <w:color w:val="auto"/>
                <w:sz w:val="24"/>
                <w:lang w:val="en-US" w:eastAsia="zh-CN"/>
              </w:rPr>
              <w:t>148530t/a</w:t>
            </w:r>
            <w:r>
              <w:rPr>
                <w:rFonts w:hint="eastAsia"/>
                <w:color w:val="auto"/>
                <w:sz w:val="24"/>
                <w:lang w:val="en-US" w:eastAsia="zh-CN"/>
              </w:rPr>
              <w:t>，</w:t>
            </w:r>
            <w:r>
              <w:rPr>
                <w:rFonts w:hint="eastAsia" w:eastAsia="宋体"/>
                <w:color w:val="auto"/>
                <w:sz w:val="24"/>
                <w:lang w:val="en-US" w:eastAsia="zh-CN"/>
              </w:rPr>
              <w:t>还剩134719t/a的削减量可用于本项目</w:t>
            </w:r>
            <w:r>
              <w:rPr>
                <w:rFonts w:hint="eastAsia"/>
                <w:color w:val="auto"/>
                <w:sz w:val="24"/>
                <w:lang w:val="en-US" w:eastAsia="zh-CN"/>
              </w:rPr>
              <w:t>水量平衡</w:t>
            </w:r>
            <w:r>
              <w:rPr>
                <w:rFonts w:hint="eastAsia" w:eastAsia="宋体"/>
                <w:color w:val="auto"/>
                <w:sz w:val="24"/>
                <w:lang w:val="en-US" w:eastAsia="zh-CN"/>
              </w:rPr>
              <w:t>。</w:t>
            </w:r>
          </w:p>
          <w:p w14:paraId="37035B0E">
            <w:pPr>
              <w:widowControl/>
              <w:adjustRightInd w:val="0"/>
              <w:snapToGrid w:val="0"/>
              <w:spacing w:line="360" w:lineRule="auto"/>
              <w:ind w:firstLine="480" w:firstLineChars="200"/>
              <w:rPr>
                <w:rFonts w:hint="default"/>
                <w:color w:val="auto"/>
                <w:sz w:val="24"/>
                <w:lang w:val="en-US" w:eastAsia="zh-CN"/>
              </w:rPr>
            </w:pPr>
          </w:p>
          <w:p w14:paraId="5CA922B5">
            <w:pPr>
              <w:widowControl/>
              <w:adjustRightInd w:val="0"/>
              <w:snapToGrid w:val="0"/>
              <w:spacing w:line="360" w:lineRule="auto"/>
              <w:rPr>
                <w:rFonts w:hint="default" w:cs="Times New Roman"/>
                <w:bCs/>
                <w:color w:val="auto"/>
                <w:sz w:val="24"/>
                <w:lang w:val="en-US" w:eastAsia="zh-CN"/>
              </w:rPr>
            </w:pPr>
          </w:p>
        </w:tc>
      </w:tr>
    </w:tbl>
    <w:p w14:paraId="4B86F197">
      <w:pPr>
        <w:widowControl/>
        <w:jc w:val="center"/>
        <w:outlineLvl w:val="0"/>
        <w:rPr>
          <w:b/>
          <w:snapToGrid w:val="0"/>
          <w:color w:val="auto"/>
          <w:sz w:val="30"/>
          <w:szCs w:val="30"/>
        </w:rPr>
      </w:pPr>
      <w:r>
        <w:rPr>
          <w:snapToGrid w:val="0"/>
          <w:color w:val="auto"/>
          <w:sz w:val="36"/>
          <w:szCs w:val="36"/>
        </w:rPr>
        <w:br w:type="page"/>
      </w:r>
      <w:bookmarkStart w:id="14" w:name="_Toc22431"/>
      <w:r>
        <w:rPr>
          <w:rFonts w:hAnsi="宋体"/>
          <w:b/>
          <w:snapToGrid w:val="0"/>
          <w:color w:val="auto"/>
          <w:sz w:val="30"/>
          <w:szCs w:val="30"/>
        </w:rPr>
        <w:t>三、区域环境质量现状、环境保护目标及评价标准</w:t>
      </w:r>
      <w:bookmarkEnd w:id="14"/>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34"/>
      </w:tblGrid>
      <w:tr w14:paraId="67E34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34" w:type="pct"/>
            <w:vAlign w:val="center"/>
          </w:tcPr>
          <w:p w14:paraId="3DE97023">
            <w:pPr>
              <w:adjustRightInd w:val="0"/>
              <w:snapToGrid w:val="0"/>
              <w:jc w:val="center"/>
              <w:rPr>
                <w:b/>
                <w:bCs/>
                <w:color w:val="auto"/>
                <w:kern w:val="0"/>
                <w:szCs w:val="21"/>
              </w:rPr>
            </w:pPr>
            <w:r>
              <w:rPr>
                <w:rFonts w:hAnsi="宋体"/>
                <w:b/>
                <w:bCs/>
                <w:color w:val="auto"/>
                <w:kern w:val="0"/>
                <w:szCs w:val="21"/>
              </w:rPr>
              <w:t>区域</w:t>
            </w:r>
          </w:p>
          <w:p w14:paraId="075D6AD3">
            <w:pPr>
              <w:adjustRightInd w:val="0"/>
              <w:snapToGrid w:val="0"/>
              <w:jc w:val="center"/>
              <w:rPr>
                <w:b/>
                <w:bCs/>
                <w:color w:val="auto"/>
                <w:kern w:val="0"/>
                <w:szCs w:val="21"/>
              </w:rPr>
            </w:pPr>
            <w:r>
              <w:rPr>
                <w:rFonts w:hAnsi="宋体"/>
                <w:b/>
                <w:bCs/>
                <w:color w:val="auto"/>
                <w:kern w:val="0"/>
                <w:szCs w:val="21"/>
              </w:rPr>
              <w:t>环境</w:t>
            </w:r>
          </w:p>
          <w:p w14:paraId="4D8B99E7">
            <w:pPr>
              <w:adjustRightInd w:val="0"/>
              <w:snapToGrid w:val="0"/>
              <w:jc w:val="center"/>
              <w:rPr>
                <w:b/>
                <w:bCs/>
                <w:color w:val="auto"/>
                <w:kern w:val="0"/>
                <w:szCs w:val="21"/>
              </w:rPr>
            </w:pPr>
            <w:r>
              <w:rPr>
                <w:rFonts w:hAnsi="宋体"/>
                <w:b/>
                <w:bCs/>
                <w:color w:val="auto"/>
                <w:kern w:val="0"/>
                <w:szCs w:val="21"/>
              </w:rPr>
              <w:t>质量</w:t>
            </w:r>
          </w:p>
          <w:p w14:paraId="6A9ABC87">
            <w:pPr>
              <w:adjustRightInd w:val="0"/>
              <w:snapToGrid w:val="0"/>
              <w:jc w:val="center"/>
              <w:rPr>
                <w:b/>
                <w:bCs/>
                <w:color w:val="auto"/>
                <w:kern w:val="0"/>
                <w:szCs w:val="21"/>
              </w:rPr>
            </w:pPr>
            <w:r>
              <w:rPr>
                <w:rFonts w:hAnsi="宋体"/>
                <w:b/>
                <w:bCs/>
                <w:color w:val="auto"/>
                <w:kern w:val="0"/>
                <w:szCs w:val="21"/>
              </w:rPr>
              <w:t>现状</w:t>
            </w:r>
          </w:p>
        </w:tc>
        <w:tc>
          <w:tcPr>
            <w:tcW w:w="4766" w:type="pct"/>
            <w:vAlign w:val="center"/>
          </w:tcPr>
          <w:p w14:paraId="582DB854">
            <w:pPr>
              <w:widowControl/>
              <w:adjustRightInd w:val="0"/>
              <w:snapToGrid w:val="0"/>
              <w:spacing w:line="360" w:lineRule="auto"/>
              <w:ind w:firstLine="482" w:firstLineChars="200"/>
              <w:rPr>
                <w:b/>
                <w:color w:val="auto"/>
                <w:kern w:val="0"/>
                <w:sz w:val="24"/>
                <w:szCs w:val="20"/>
              </w:rPr>
            </w:pPr>
            <w:r>
              <w:rPr>
                <w:b/>
                <w:color w:val="auto"/>
                <w:kern w:val="0"/>
                <w:sz w:val="24"/>
                <w:szCs w:val="20"/>
              </w:rPr>
              <w:t>1.</w:t>
            </w:r>
            <w:r>
              <w:rPr>
                <w:rFonts w:hAnsi="宋体"/>
                <w:b/>
                <w:color w:val="auto"/>
                <w:kern w:val="0"/>
                <w:sz w:val="24"/>
                <w:szCs w:val="20"/>
              </w:rPr>
              <w:t>大气环境质量</w:t>
            </w:r>
            <w:r>
              <w:rPr>
                <w:rFonts w:hAnsi="宋体"/>
                <w:b/>
                <w:color w:val="auto"/>
                <w:kern w:val="0"/>
                <w:sz w:val="24"/>
                <w:szCs w:val="28"/>
              </w:rPr>
              <w:t>现状</w:t>
            </w:r>
          </w:p>
          <w:p w14:paraId="4A757458">
            <w:pPr>
              <w:adjustRightInd w:val="0"/>
              <w:snapToGrid w:val="0"/>
              <w:spacing w:line="360" w:lineRule="auto"/>
              <w:ind w:firstLine="480" w:firstLineChars="200"/>
              <w:rPr>
                <w:color w:val="auto"/>
                <w:sz w:val="24"/>
              </w:rPr>
            </w:pPr>
            <w:r>
              <w:rPr>
                <w:rFonts w:hAnsi="宋体"/>
                <w:color w:val="auto"/>
                <w:sz w:val="24"/>
              </w:rPr>
              <w:t>（</w:t>
            </w:r>
            <w:r>
              <w:rPr>
                <w:color w:val="auto"/>
                <w:sz w:val="24"/>
              </w:rPr>
              <w:t>1</w:t>
            </w:r>
            <w:r>
              <w:rPr>
                <w:rFonts w:hAnsi="宋体"/>
                <w:color w:val="auto"/>
                <w:sz w:val="24"/>
              </w:rPr>
              <w:t>）项目所在区域达标判断</w:t>
            </w:r>
          </w:p>
          <w:p w14:paraId="4A39762C">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default" w:ascii="Times New Roman" w:hAnsi="Times New Roman" w:cs="Times New Roman"/>
                <w:color w:val="auto"/>
                <w:sz w:val="24"/>
              </w:rPr>
            </w:pPr>
            <w:r>
              <w:rPr>
                <w:color w:val="auto"/>
                <w:sz w:val="24"/>
              </w:rPr>
              <w:t>本项目位于</w:t>
            </w:r>
            <w:r>
              <w:rPr>
                <w:rFonts w:hint="eastAsia"/>
                <w:color w:val="auto"/>
                <w:sz w:val="24"/>
              </w:rPr>
              <w:t>淮安市</w:t>
            </w:r>
            <w:r>
              <w:rPr>
                <w:rFonts w:hint="eastAsia"/>
                <w:color w:val="auto"/>
                <w:sz w:val="24"/>
                <w:lang w:eastAsia="zh-CN"/>
              </w:rPr>
              <w:t>涟水县</w:t>
            </w:r>
            <w:r>
              <w:rPr>
                <w:rFonts w:hint="eastAsia"/>
                <w:color w:val="auto"/>
                <w:sz w:val="24"/>
                <w:lang w:val="en-US" w:eastAsia="zh-CN"/>
              </w:rPr>
              <w:t>经济开发区</w:t>
            </w:r>
            <w:r>
              <w:rPr>
                <w:color w:val="auto"/>
                <w:sz w:val="24"/>
              </w:rPr>
              <w:t>，</w:t>
            </w:r>
            <w:r>
              <w:rPr>
                <w:rFonts w:hint="eastAsia"/>
                <w:color w:val="auto"/>
                <w:sz w:val="24"/>
              </w:rPr>
              <w:t>项目</w:t>
            </w:r>
            <w:r>
              <w:rPr>
                <w:rFonts w:hint="eastAsia"/>
                <w:color w:val="auto"/>
                <w:sz w:val="24"/>
                <w:lang w:eastAsia="zh-CN"/>
              </w:rPr>
              <w:t>所在</w:t>
            </w:r>
            <w:r>
              <w:rPr>
                <w:rFonts w:hint="eastAsia"/>
                <w:color w:val="auto"/>
                <w:sz w:val="24"/>
              </w:rPr>
              <w:t>区域为环境空气二类功能区，执行《环境空气质量标准》（</w:t>
            </w:r>
            <w:r>
              <w:rPr>
                <w:color w:val="auto"/>
                <w:sz w:val="24"/>
              </w:rPr>
              <w:t>GB3095-2012</w:t>
            </w:r>
            <w:r>
              <w:rPr>
                <w:rFonts w:hint="eastAsia"/>
                <w:color w:val="auto"/>
                <w:sz w:val="24"/>
              </w:rPr>
              <w:t>）及其修改单中二级标准。</w:t>
            </w:r>
            <w:r>
              <w:rPr>
                <w:rFonts w:hint="default" w:ascii="Times New Roman" w:hAnsi="Times New Roman" w:cs="Times New Roman"/>
                <w:color w:val="auto"/>
                <w:sz w:val="24"/>
              </w:rPr>
              <w:t>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cs="Times New Roman"/>
                <w:color w:val="auto"/>
                <w:sz w:val="24"/>
              </w:rPr>
              <w:t>》</w:t>
            </w:r>
            <w:r>
              <w:rPr>
                <w:rFonts w:hint="eastAsia" w:cs="Times New Roman"/>
                <w:color w:val="auto"/>
                <w:sz w:val="24"/>
                <w:lang w:eastAsia="zh-CN"/>
              </w:rPr>
              <w:t>：</w:t>
            </w:r>
            <w:r>
              <w:rPr>
                <w:rFonts w:hint="eastAsia" w:cs="Times New Roman"/>
                <w:color w:val="auto"/>
                <w:sz w:val="24"/>
                <w:lang w:val="en-US" w:eastAsia="zh-CN"/>
              </w:rPr>
              <w:t>2024年</w:t>
            </w:r>
            <w:r>
              <w:rPr>
                <w:rFonts w:hint="eastAsia" w:cs="Times New Roman"/>
                <w:color w:val="auto"/>
                <w:sz w:val="24"/>
                <w:lang w:eastAsia="zh-CN"/>
              </w:rPr>
              <w:t>全</w:t>
            </w:r>
            <w:r>
              <w:rPr>
                <w:rFonts w:hint="eastAsia" w:cs="Times New Roman"/>
                <w:color w:val="auto"/>
                <w:sz w:val="24"/>
                <w:lang w:val="en-US" w:eastAsia="zh-CN"/>
              </w:rPr>
              <w:t>县</w:t>
            </w:r>
            <w:r>
              <w:rPr>
                <w:rFonts w:hint="eastAsia" w:cs="Times New Roman"/>
                <w:color w:val="auto"/>
                <w:sz w:val="24"/>
                <w:lang w:eastAsia="zh-CN"/>
              </w:rPr>
              <w:t>细颗粒物（PM</w:t>
            </w:r>
            <w:r>
              <w:rPr>
                <w:rFonts w:hint="eastAsia" w:cs="Times New Roman"/>
                <w:color w:val="auto"/>
                <w:sz w:val="24"/>
                <w:vertAlign w:val="subscript"/>
                <w:lang w:eastAsia="zh-CN"/>
              </w:rPr>
              <w:t>2.5）</w:t>
            </w:r>
            <w:r>
              <w:rPr>
                <w:rFonts w:hint="eastAsia" w:cs="Times New Roman"/>
                <w:color w:val="auto"/>
                <w:sz w:val="24"/>
                <w:lang w:eastAsia="zh-CN"/>
              </w:rPr>
              <w:t>可吸入颗粒物（PM</w:t>
            </w:r>
            <w:r>
              <w:rPr>
                <w:rFonts w:hint="eastAsia" w:cs="Times New Roman"/>
                <w:color w:val="auto"/>
                <w:sz w:val="24"/>
                <w:vertAlign w:val="subscript"/>
                <w:lang w:eastAsia="zh-CN"/>
              </w:rPr>
              <w:t>10</w:t>
            </w:r>
            <w:r>
              <w:rPr>
                <w:rFonts w:hint="eastAsia" w:cs="Times New Roman"/>
                <w:color w:val="auto"/>
                <w:sz w:val="24"/>
                <w:lang w:eastAsia="zh-CN"/>
              </w:rPr>
              <w:t>）、二氧化硫（SO</w:t>
            </w:r>
            <w:r>
              <w:rPr>
                <w:rFonts w:hint="eastAsia" w:cs="Times New Roman"/>
                <w:color w:val="auto"/>
                <w:sz w:val="24"/>
                <w:vertAlign w:val="subscript"/>
                <w:lang w:eastAsia="zh-CN"/>
              </w:rPr>
              <w:t>2</w:t>
            </w:r>
            <w:r>
              <w:rPr>
                <w:rFonts w:hint="eastAsia" w:cs="Times New Roman"/>
                <w:color w:val="auto"/>
                <w:sz w:val="24"/>
                <w:lang w:eastAsia="zh-CN"/>
              </w:rPr>
              <w:t>）、二氧化氮（NO</w:t>
            </w:r>
            <w:r>
              <w:rPr>
                <w:rFonts w:hint="eastAsia" w:cs="Times New Roman"/>
                <w:color w:val="auto"/>
                <w:sz w:val="24"/>
                <w:vertAlign w:val="subscript"/>
                <w:lang w:eastAsia="zh-CN"/>
              </w:rPr>
              <w:t>2</w:t>
            </w:r>
            <w:r>
              <w:rPr>
                <w:rFonts w:hint="eastAsia" w:cs="Times New Roman"/>
                <w:color w:val="auto"/>
                <w:sz w:val="24"/>
                <w:lang w:eastAsia="zh-CN"/>
              </w:rPr>
              <w:t>）、一氧化碳（CO）和臭氧（O</w:t>
            </w:r>
            <w:r>
              <w:rPr>
                <w:rFonts w:hint="eastAsia" w:cs="Times New Roman"/>
                <w:color w:val="auto"/>
                <w:sz w:val="24"/>
                <w:vertAlign w:val="subscript"/>
                <w:lang w:eastAsia="zh-CN"/>
              </w:rPr>
              <w:t>3</w:t>
            </w:r>
            <w:r>
              <w:rPr>
                <w:rFonts w:hint="eastAsia" w:cs="Times New Roman"/>
                <w:color w:val="auto"/>
                <w:sz w:val="24"/>
                <w:lang w:eastAsia="zh-CN"/>
              </w:rPr>
              <w:t>）浓度年均浓度分别为3</w:t>
            </w:r>
            <w:r>
              <w:rPr>
                <w:rFonts w:hint="eastAsia" w:cs="Times New Roman"/>
                <w:color w:val="auto"/>
                <w:sz w:val="24"/>
                <w:lang w:val="en-US" w:eastAsia="zh-CN"/>
              </w:rPr>
              <w:t>4.8</w:t>
            </w:r>
            <w:r>
              <w:rPr>
                <w:rFonts w:hint="eastAsia" w:cs="Times New Roman"/>
                <w:color w:val="auto"/>
                <w:sz w:val="24"/>
                <w:lang w:eastAsia="zh-CN"/>
              </w:rPr>
              <w:t>微克/立方米、5</w:t>
            </w:r>
            <w:r>
              <w:rPr>
                <w:rFonts w:hint="eastAsia" w:cs="Times New Roman"/>
                <w:color w:val="auto"/>
                <w:sz w:val="24"/>
                <w:lang w:val="en-US" w:eastAsia="zh-CN"/>
              </w:rPr>
              <w:t>8</w:t>
            </w:r>
            <w:r>
              <w:rPr>
                <w:rFonts w:hint="eastAsia" w:cs="Times New Roman"/>
                <w:color w:val="auto"/>
                <w:sz w:val="24"/>
                <w:lang w:eastAsia="zh-CN"/>
              </w:rPr>
              <w:t>微克/立方米、</w:t>
            </w:r>
            <w:r>
              <w:rPr>
                <w:rFonts w:hint="eastAsia" w:cs="Times New Roman"/>
                <w:color w:val="auto"/>
                <w:sz w:val="24"/>
                <w:lang w:val="en-US" w:eastAsia="zh-CN"/>
              </w:rPr>
              <w:t>18</w:t>
            </w:r>
            <w:r>
              <w:rPr>
                <w:rFonts w:hint="eastAsia" w:cs="Times New Roman"/>
                <w:color w:val="auto"/>
                <w:sz w:val="24"/>
                <w:lang w:eastAsia="zh-CN"/>
              </w:rPr>
              <w:t>微克/立方米、25微克/立方米、0.</w:t>
            </w:r>
            <w:r>
              <w:rPr>
                <w:rFonts w:hint="eastAsia" w:cs="Times New Roman"/>
                <w:color w:val="auto"/>
                <w:sz w:val="24"/>
                <w:lang w:val="en-US" w:eastAsia="zh-CN"/>
              </w:rPr>
              <w:t>7</w:t>
            </w:r>
            <w:r>
              <w:rPr>
                <w:rFonts w:hint="eastAsia" w:cs="Times New Roman"/>
                <w:color w:val="auto"/>
                <w:sz w:val="24"/>
                <w:lang w:eastAsia="zh-CN"/>
              </w:rPr>
              <w:t>毫克/立方米、1</w:t>
            </w:r>
            <w:r>
              <w:rPr>
                <w:rFonts w:hint="eastAsia" w:cs="Times New Roman"/>
                <w:color w:val="auto"/>
                <w:sz w:val="24"/>
                <w:lang w:val="en-US" w:eastAsia="zh-CN"/>
              </w:rPr>
              <w:t>05</w:t>
            </w:r>
            <w:r>
              <w:rPr>
                <w:rFonts w:hint="eastAsia" w:cs="Times New Roman"/>
                <w:color w:val="auto"/>
                <w:sz w:val="24"/>
                <w:lang w:eastAsia="zh-CN"/>
              </w:rPr>
              <w:t>微克/立方米。PM</w:t>
            </w:r>
            <w:r>
              <w:rPr>
                <w:rFonts w:hint="eastAsia" w:cs="Times New Roman"/>
                <w:color w:val="auto"/>
                <w:sz w:val="24"/>
                <w:vertAlign w:val="subscript"/>
                <w:lang w:eastAsia="zh-CN"/>
              </w:rPr>
              <w:t>10</w:t>
            </w:r>
            <w:r>
              <w:rPr>
                <w:rFonts w:hint="eastAsia" w:cs="Times New Roman"/>
                <w:color w:val="auto"/>
                <w:sz w:val="24"/>
                <w:lang w:eastAsia="zh-CN"/>
              </w:rPr>
              <w:t>、SO</w:t>
            </w:r>
            <w:r>
              <w:rPr>
                <w:rFonts w:hint="eastAsia" w:cs="Times New Roman"/>
                <w:color w:val="auto"/>
                <w:sz w:val="24"/>
                <w:vertAlign w:val="subscript"/>
                <w:lang w:eastAsia="zh-CN"/>
              </w:rPr>
              <w:t>2</w:t>
            </w:r>
            <w:r>
              <w:rPr>
                <w:rFonts w:hint="eastAsia" w:cs="Times New Roman"/>
                <w:color w:val="auto"/>
                <w:sz w:val="24"/>
                <w:lang w:eastAsia="zh-CN"/>
              </w:rPr>
              <w:t>、CO、O</w:t>
            </w:r>
            <w:r>
              <w:rPr>
                <w:rFonts w:hint="eastAsia" w:cs="Times New Roman"/>
                <w:color w:val="auto"/>
                <w:sz w:val="24"/>
                <w:vertAlign w:val="subscript"/>
                <w:lang w:eastAsia="zh-CN"/>
              </w:rPr>
              <w:t>3</w:t>
            </w:r>
            <w:r>
              <w:rPr>
                <w:rFonts w:hint="eastAsia" w:cs="Times New Roman"/>
                <w:color w:val="auto"/>
                <w:sz w:val="24"/>
                <w:lang w:eastAsia="zh-CN"/>
              </w:rPr>
              <w:t>降幅分别为6.9%、12.5%、10%、3.8%。</w:t>
            </w:r>
            <w:r>
              <w:rPr>
                <w:rFonts w:hint="default" w:ascii="Times New Roman" w:hAnsi="Times New Roman" w:cs="Times New Roman"/>
                <w:color w:val="auto"/>
                <w:sz w:val="24"/>
              </w:rPr>
              <w:t>可吸入颗粒物（PM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）、二氧化硫（SO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）、二氧化氮（NO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）、一氧化碳（CO）和臭氧（O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）浓度均达到国家二级标准限值。因此，202</w:t>
            </w:r>
            <w:r>
              <w:rPr>
                <w:rFonts w:hint="eastAsia"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涟水县</w:t>
            </w:r>
            <w:r>
              <w:rPr>
                <w:rFonts w:hint="default" w:ascii="Times New Roman" w:hAnsi="Times New Roman" w:cs="Times New Roman"/>
                <w:color w:val="auto"/>
                <w:sz w:val="24"/>
              </w:rPr>
              <w:t>环境空气质量为达标区。</w:t>
            </w:r>
          </w:p>
          <w:p w14:paraId="6016D579">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color w:val="auto"/>
                <w:sz w:val="24"/>
              </w:rPr>
            </w:pPr>
            <w:r>
              <w:rPr>
                <w:color w:val="auto"/>
                <w:sz w:val="24"/>
              </w:rPr>
              <w:t>（2）特征污染物环境质量现状评价</w:t>
            </w:r>
          </w:p>
          <w:p w14:paraId="4B98C74F">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eastAsia="宋体"/>
                <w:bCs/>
                <w:color w:val="auto"/>
                <w:sz w:val="24"/>
                <w:lang w:eastAsia="zh-CN"/>
              </w:rPr>
            </w:pPr>
            <w:r>
              <w:rPr>
                <w:rFonts w:hint="default" w:ascii="Times New Roman" w:hAnsi="宋体" w:eastAsia="宋体" w:cs="Times New Roman"/>
                <w:bCs/>
                <w:color w:val="auto"/>
                <w:sz w:val="24"/>
              </w:rPr>
              <w:t>根据《环境影响评价技术导则 大气环境》（HJ2.2-2018）中6.2.2中要求引用周边现状数据。</w:t>
            </w:r>
            <w:r>
              <w:rPr>
                <w:rFonts w:hint="eastAsia" w:ascii="Times New Roman" w:hAnsi="宋体" w:eastAsia="宋体" w:cs="Times New Roman"/>
                <w:bCs/>
                <w:color w:val="auto"/>
                <w:sz w:val="24"/>
                <w:lang w:eastAsia="zh-CN"/>
              </w:rPr>
              <w:t>氨、硫化氢</w:t>
            </w:r>
            <w:r>
              <w:rPr>
                <w:rFonts w:hint="default" w:ascii="Times New Roman" w:hAnsi="宋体" w:eastAsia="宋体" w:cs="Times New Roman"/>
                <w:bCs/>
                <w:color w:val="auto"/>
                <w:sz w:val="24"/>
              </w:rPr>
              <w:t>引用监测数据来自《</w:t>
            </w:r>
            <w:bookmarkStart w:id="15" w:name="_Toc410899414"/>
            <w:bookmarkStart w:id="16" w:name="_Toc410833009"/>
            <w:bookmarkStart w:id="17" w:name="_Toc67471736"/>
            <w:bookmarkStart w:id="18" w:name="_Toc68562211"/>
            <w:bookmarkStart w:id="19" w:name="_Toc65075719"/>
            <w:bookmarkStart w:id="20" w:name="_Toc523994995"/>
            <w:bookmarkStart w:id="21" w:name="_Toc67473071"/>
            <w:bookmarkStart w:id="22" w:name="_Toc534897963"/>
            <w:bookmarkStart w:id="23" w:name="_Toc532803390"/>
            <w:bookmarkStart w:id="24" w:name="_Toc524095471"/>
            <w:bookmarkStart w:id="25" w:name="_Toc67469396"/>
            <w:bookmarkStart w:id="26" w:name="_Toc57503573"/>
            <w:bookmarkStart w:id="27" w:name="_Toc2324631"/>
            <w:bookmarkStart w:id="28" w:name="_Toc409710322"/>
            <w:bookmarkStart w:id="29" w:name="_Toc524351740"/>
            <w:bookmarkStart w:id="30" w:name="_Toc532803576"/>
            <w:r>
              <w:rPr>
                <w:rFonts w:hint="default" w:ascii="Times New Roman" w:hAnsi="宋体" w:eastAsia="宋体" w:cs="Times New Roman"/>
                <w:bCs/>
                <w:color w:val="auto"/>
                <w:sz w:val="24"/>
              </w:rPr>
              <w:t>涟水县新港电子产业园开发建设规划（2023-2035）环境影响报告书</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hint="default" w:ascii="Times New Roman" w:hAnsi="宋体" w:eastAsia="宋体" w:cs="Times New Roman"/>
                <w:bCs/>
                <w:color w:val="auto"/>
                <w:sz w:val="24"/>
              </w:rPr>
              <w:t>》（报告编号：</w:t>
            </w:r>
            <w:r>
              <w:rPr>
                <w:rFonts w:hint="eastAsia" w:ascii="Times New Roman" w:hAnsi="宋体" w:eastAsia="宋体" w:cs="Times New Roman"/>
                <w:bCs/>
                <w:color w:val="auto"/>
                <w:sz w:val="24"/>
              </w:rPr>
              <w:t>HR23120613</w:t>
            </w:r>
            <w:r>
              <w:rPr>
                <w:rFonts w:hint="default" w:ascii="Times New Roman" w:hAnsi="宋体" w:eastAsia="宋体" w:cs="Times New Roman"/>
                <w:bCs/>
                <w:color w:val="auto"/>
                <w:sz w:val="24"/>
              </w:rPr>
              <w:t>）。本项目位于</w:t>
            </w:r>
            <w:r>
              <w:rPr>
                <w:rFonts w:hint="eastAsia" w:ascii="Times New Roman" w:hAnsi="宋体" w:eastAsia="宋体" w:cs="Times New Roman"/>
                <w:bCs/>
                <w:color w:val="auto"/>
                <w:sz w:val="24"/>
                <w:lang w:eastAsia="zh-CN"/>
              </w:rPr>
              <w:t>监测点</w:t>
            </w:r>
            <w:r>
              <w:rPr>
                <w:rFonts w:hint="eastAsia" w:ascii="Times New Roman" w:hAnsi="宋体" w:eastAsia="宋体" w:cs="Times New Roman"/>
                <w:bCs/>
                <w:color w:val="auto"/>
                <w:sz w:val="24"/>
              </w:rPr>
              <w:t>嘉立创公司厂区外西南角</w:t>
            </w:r>
            <w:r>
              <w:rPr>
                <w:rFonts w:hint="default" w:ascii="Times New Roman" w:hAnsi="宋体" w:eastAsia="宋体" w:cs="Times New Roman"/>
                <w:bCs/>
                <w:color w:val="auto"/>
                <w:sz w:val="24"/>
              </w:rPr>
              <w:t>方向约</w:t>
            </w:r>
            <w:r>
              <w:rPr>
                <w:rFonts w:hint="eastAsia" w:ascii="Times New Roman" w:hAnsi="宋体" w:eastAsia="宋体" w:cs="Times New Roman"/>
                <w:bCs/>
                <w:color w:val="auto"/>
                <w:sz w:val="24"/>
                <w:lang w:val="en-US" w:eastAsia="zh-CN"/>
              </w:rPr>
              <w:t>3530</w:t>
            </w:r>
            <w:r>
              <w:rPr>
                <w:rFonts w:hint="default" w:ascii="Times New Roman" w:hAnsi="宋体" w:eastAsia="宋体" w:cs="Times New Roman"/>
                <w:bCs/>
                <w:color w:val="auto"/>
                <w:sz w:val="24"/>
              </w:rPr>
              <w:t>m，在大气评价范围内，引用</w:t>
            </w:r>
            <w:r>
              <w:rPr>
                <w:rFonts w:hint="eastAsia" w:ascii="Times New Roman" w:hAnsi="宋体" w:eastAsia="宋体" w:cs="Times New Roman"/>
                <w:bCs/>
                <w:color w:val="auto"/>
                <w:sz w:val="24"/>
                <w:lang w:eastAsia="zh-CN"/>
              </w:rPr>
              <w:t>氨、臭气浓度</w:t>
            </w:r>
            <w:r>
              <w:rPr>
                <w:rFonts w:hint="default" w:ascii="Times New Roman" w:hAnsi="宋体" w:eastAsia="宋体" w:cs="Times New Roman"/>
                <w:bCs/>
                <w:color w:val="auto"/>
                <w:sz w:val="24"/>
              </w:rPr>
              <w:t>实测时间为202</w:t>
            </w:r>
            <w:r>
              <w:rPr>
                <w:rFonts w:hint="eastAsia" w:ascii="Times New Roman" w:hAnsi="宋体" w:eastAsia="宋体" w:cs="Times New Roman"/>
                <w:bCs/>
                <w:color w:val="auto"/>
                <w:sz w:val="24"/>
              </w:rPr>
              <w:t>3</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2</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lang w:val="en-US" w:eastAsia="zh-CN"/>
              </w:rPr>
              <w:t>8</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2</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4</w:t>
            </w:r>
            <w:r>
              <w:rPr>
                <w:rFonts w:hint="default" w:ascii="Times New Roman" w:hAnsi="宋体" w:eastAsia="宋体" w:cs="Times New Roman"/>
                <w:bCs/>
                <w:color w:val="auto"/>
                <w:sz w:val="24"/>
              </w:rPr>
              <w:t>，符合三年有效期的要求，本次引用数据具有可行性。</w:t>
            </w:r>
            <w:r>
              <w:rPr>
                <w:rFonts w:hint="eastAsia" w:eastAsia="宋体"/>
                <w:color w:val="auto"/>
                <w:sz w:val="24"/>
                <w:lang w:eastAsia="zh-CN"/>
              </w:rPr>
              <w:t>具体</w:t>
            </w:r>
            <w:r>
              <w:rPr>
                <w:rFonts w:hint="eastAsia"/>
                <w:color w:val="auto"/>
                <w:sz w:val="24"/>
              </w:rPr>
              <w:t>见表3-1</w:t>
            </w:r>
            <w:r>
              <w:rPr>
                <w:rFonts w:hint="eastAsia"/>
                <w:color w:val="auto"/>
                <w:sz w:val="24"/>
                <w:lang w:eastAsia="zh-CN"/>
              </w:rPr>
              <w:t>。</w:t>
            </w:r>
          </w:p>
          <w:p w14:paraId="30BFFE2C">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firstLine="480" w:firstLineChars="200"/>
              <w:textAlignment w:val="auto"/>
              <w:rPr>
                <w:color w:val="auto"/>
                <w:sz w:val="24"/>
              </w:rPr>
            </w:pPr>
            <w:r>
              <w:rPr>
                <w:color w:val="auto"/>
                <w:sz w:val="24"/>
              </w:rPr>
              <w:t>监测点位及监测因子</w:t>
            </w:r>
          </w:p>
          <w:p w14:paraId="579F0305">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color w:val="auto"/>
                <w:sz w:val="24"/>
              </w:rPr>
            </w:pPr>
            <w:r>
              <w:rPr>
                <w:color w:val="auto"/>
                <w:sz w:val="24"/>
              </w:rPr>
              <w:t>监测点位具体布置见表3-1。</w:t>
            </w:r>
          </w:p>
          <w:p w14:paraId="24387FA9">
            <w:pPr>
              <w:keepNext/>
              <w:keepLines w:val="0"/>
              <w:pageBreakBefore w:val="0"/>
              <w:widowControl w:val="0"/>
              <w:kinsoku/>
              <w:wordWrap/>
              <w:overflowPunct/>
              <w:topLinePunct w:val="0"/>
              <w:autoSpaceDE/>
              <w:autoSpaceDN/>
              <w:bidi w:val="0"/>
              <w:adjustRightInd w:val="0"/>
              <w:snapToGrid w:val="0"/>
              <w:spacing w:line="400" w:lineRule="exact"/>
              <w:jc w:val="center"/>
              <w:textAlignment w:val="auto"/>
              <w:rPr>
                <w:b/>
                <w:color w:val="auto"/>
                <w:szCs w:val="21"/>
              </w:rPr>
            </w:pPr>
            <w:bookmarkStart w:id="31" w:name="_Ref531085711"/>
            <w:r>
              <w:rPr>
                <w:b/>
                <w:color w:val="auto"/>
                <w:szCs w:val="21"/>
              </w:rPr>
              <w:t>表</w:t>
            </w:r>
            <w:bookmarkEnd w:id="31"/>
            <w:r>
              <w:rPr>
                <w:b/>
                <w:color w:val="auto"/>
                <w:szCs w:val="21"/>
              </w:rPr>
              <w:t>3-1  其他污染物补充监测点位基本信息</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8"/>
              <w:gridCol w:w="967"/>
              <w:gridCol w:w="948"/>
              <w:gridCol w:w="1008"/>
              <w:gridCol w:w="1127"/>
              <w:gridCol w:w="2038"/>
              <w:gridCol w:w="734"/>
              <w:gridCol w:w="1078"/>
            </w:tblGrid>
            <w:tr w14:paraId="733F5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4" w:type="dxa"/>
                  <w:vMerge w:val="restart"/>
                  <w:tcBorders>
                    <w:top w:val="single" w:color="auto" w:sz="12" w:space="0"/>
                    <w:bottom w:val="single" w:color="auto" w:sz="4" w:space="0"/>
                  </w:tcBorders>
                  <w:vAlign w:val="center"/>
                </w:tcPr>
                <w:p w14:paraId="203486B5">
                  <w:pPr>
                    <w:pStyle w:val="122"/>
                    <w:spacing w:after="0"/>
                    <w:rPr>
                      <w:b/>
                      <w:color w:val="auto"/>
                      <w:szCs w:val="21"/>
                    </w:rPr>
                  </w:pPr>
                  <w:r>
                    <w:rPr>
                      <w:b/>
                      <w:color w:val="auto"/>
                      <w:szCs w:val="21"/>
                    </w:rPr>
                    <w:t>测点编号</w:t>
                  </w:r>
                </w:p>
              </w:tc>
              <w:tc>
                <w:tcPr>
                  <w:tcW w:w="985" w:type="dxa"/>
                  <w:vMerge w:val="restart"/>
                  <w:tcBorders>
                    <w:top w:val="single" w:color="auto" w:sz="12" w:space="0"/>
                    <w:bottom w:val="single" w:color="auto" w:sz="4" w:space="0"/>
                  </w:tcBorders>
                  <w:vAlign w:val="center"/>
                </w:tcPr>
                <w:p w14:paraId="3F9B2243">
                  <w:pPr>
                    <w:pStyle w:val="122"/>
                    <w:spacing w:after="0"/>
                    <w:rPr>
                      <w:b/>
                      <w:color w:val="auto"/>
                      <w:szCs w:val="21"/>
                    </w:rPr>
                  </w:pPr>
                  <w:r>
                    <w:rPr>
                      <w:b/>
                      <w:color w:val="auto"/>
                      <w:szCs w:val="21"/>
                    </w:rPr>
                    <w:t>监测点名称</w:t>
                  </w:r>
                </w:p>
              </w:tc>
              <w:tc>
                <w:tcPr>
                  <w:tcW w:w="1879" w:type="dxa"/>
                  <w:gridSpan w:val="2"/>
                  <w:tcBorders>
                    <w:top w:val="single" w:color="auto" w:sz="12" w:space="0"/>
                    <w:bottom w:val="single" w:color="auto" w:sz="4" w:space="0"/>
                  </w:tcBorders>
                  <w:vAlign w:val="center"/>
                </w:tcPr>
                <w:p w14:paraId="4A0F3679">
                  <w:pPr>
                    <w:pStyle w:val="122"/>
                    <w:spacing w:after="0"/>
                    <w:rPr>
                      <w:b/>
                      <w:color w:val="auto"/>
                      <w:szCs w:val="21"/>
                    </w:rPr>
                  </w:pPr>
                  <w:r>
                    <w:rPr>
                      <w:b/>
                      <w:color w:val="auto"/>
                      <w:szCs w:val="21"/>
                    </w:rPr>
                    <w:t>监测点坐标</w:t>
                  </w:r>
                </w:p>
              </w:tc>
              <w:tc>
                <w:tcPr>
                  <w:tcW w:w="1144" w:type="dxa"/>
                  <w:vMerge w:val="restart"/>
                  <w:tcBorders>
                    <w:top w:val="single" w:color="auto" w:sz="12" w:space="0"/>
                    <w:bottom w:val="single" w:color="auto" w:sz="4" w:space="0"/>
                  </w:tcBorders>
                  <w:vAlign w:val="center"/>
                </w:tcPr>
                <w:p w14:paraId="3555683D">
                  <w:pPr>
                    <w:pStyle w:val="122"/>
                    <w:spacing w:after="0"/>
                    <w:rPr>
                      <w:b/>
                      <w:color w:val="auto"/>
                      <w:szCs w:val="21"/>
                    </w:rPr>
                  </w:pPr>
                  <w:r>
                    <w:rPr>
                      <w:b/>
                      <w:color w:val="auto"/>
                      <w:szCs w:val="21"/>
                    </w:rPr>
                    <w:t>监测因子</w:t>
                  </w:r>
                </w:p>
              </w:tc>
              <w:tc>
                <w:tcPr>
                  <w:tcW w:w="2047" w:type="dxa"/>
                  <w:vMerge w:val="restart"/>
                  <w:tcBorders>
                    <w:top w:val="single" w:color="auto" w:sz="12" w:space="0"/>
                    <w:bottom w:val="single" w:color="auto" w:sz="4" w:space="0"/>
                  </w:tcBorders>
                  <w:vAlign w:val="center"/>
                </w:tcPr>
                <w:p w14:paraId="4C10BFB0">
                  <w:pPr>
                    <w:pStyle w:val="122"/>
                    <w:spacing w:after="0"/>
                    <w:rPr>
                      <w:b/>
                      <w:color w:val="auto"/>
                      <w:szCs w:val="21"/>
                    </w:rPr>
                  </w:pPr>
                  <w:r>
                    <w:rPr>
                      <w:b/>
                      <w:color w:val="auto"/>
                      <w:szCs w:val="21"/>
                    </w:rPr>
                    <w:t>监测时段</w:t>
                  </w:r>
                </w:p>
              </w:tc>
              <w:tc>
                <w:tcPr>
                  <w:tcW w:w="746" w:type="dxa"/>
                  <w:vMerge w:val="restart"/>
                  <w:tcBorders>
                    <w:top w:val="single" w:color="auto" w:sz="12" w:space="0"/>
                    <w:bottom w:val="single" w:color="auto" w:sz="4" w:space="0"/>
                  </w:tcBorders>
                  <w:vAlign w:val="center"/>
                </w:tcPr>
                <w:p w14:paraId="27BE6DE5">
                  <w:pPr>
                    <w:pStyle w:val="122"/>
                    <w:spacing w:after="0"/>
                    <w:rPr>
                      <w:b/>
                      <w:color w:val="auto"/>
                      <w:szCs w:val="21"/>
                    </w:rPr>
                  </w:pPr>
                  <w:r>
                    <w:rPr>
                      <w:b/>
                      <w:color w:val="auto"/>
                      <w:szCs w:val="21"/>
                    </w:rPr>
                    <w:t>相对厂址方位</w:t>
                  </w:r>
                </w:p>
              </w:tc>
              <w:tc>
                <w:tcPr>
                  <w:tcW w:w="1094" w:type="dxa"/>
                  <w:vMerge w:val="restart"/>
                  <w:tcBorders>
                    <w:top w:val="single" w:color="auto" w:sz="12" w:space="0"/>
                    <w:bottom w:val="single" w:color="auto" w:sz="4" w:space="0"/>
                  </w:tcBorders>
                  <w:vAlign w:val="center"/>
                </w:tcPr>
                <w:p w14:paraId="10B06F1D">
                  <w:pPr>
                    <w:pStyle w:val="122"/>
                    <w:spacing w:after="0"/>
                    <w:rPr>
                      <w:b/>
                      <w:color w:val="auto"/>
                      <w:szCs w:val="21"/>
                    </w:rPr>
                  </w:pPr>
                  <w:r>
                    <w:rPr>
                      <w:b/>
                      <w:color w:val="auto"/>
                      <w:szCs w:val="21"/>
                    </w:rPr>
                    <w:t>相对厂界</w:t>
                  </w:r>
                  <w:r>
                    <w:rPr>
                      <w:rFonts w:hint="eastAsia"/>
                      <w:b/>
                      <w:color w:val="auto"/>
                      <w:szCs w:val="21"/>
                      <w:lang w:eastAsia="zh-CN"/>
                    </w:rPr>
                    <w:t>距离</w:t>
                  </w:r>
                  <w:r>
                    <w:rPr>
                      <w:b/>
                      <w:color w:val="auto"/>
                      <w:szCs w:val="21"/>
                    </w:rPr>
                    <w:t>/m</w:t>
                  </w:r>
                </w:p>
              </w:tc>
            </w:tr>
            <w:tr w14:paraId="061B3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4" w:type="dxa"/>
                  <w:vMerge w:val="continue"/>
                  <w:tcBorders>
                    <w:top w:val="single" w:color="auto" w:sz="4" w:space="0"/>
                    <w:bottom w:val="single" w:color="auto" w:sz="12" w:space="0"/>
                  </w:tcBorders>
                  <w:vAlign w:val="center"/>
                </w:tcPr>
                <w:p w14:paraId="4AA52A56">
                  <w:pPr>
                    <w:pStyle w:val="122"/>
                    <w:spacing w:after="0"/>
                    <w:rPr>
                      <w:color w:val="auto"/>
                      <w:szCs w:val="21"/>
                    </w:rPr>
                  </w:pPr>
                </w:p>
              </w:tc>
              <w:tc>
                <w:tcPr>
                  <w:tcW w:w="985" w:type="dxa"/>
                  <w:vMerge w:val="continue"/>
                  <w:tcBorders>
                    <w:top w:val="single" w:color="auto" w:sz="4" w:space="0"/>
                    <w:bottom w:val="single" w:color="auto" w:sz="12" w:space="0"/>
                  </w:tcBorders>
                  <w:vAlign w:val="center"/>
                </w:tcPr>
                <w:p w14:paraId="764EFB67">
                  <w:pPr>
                    <w:pStyle w:val="122"/>
                    <w:spacing w:after="0"/>
                    <w:rPr>
                      <w:color w:val="auto"/>
                      <w:szCs w:val="21"/>
                    </w:rPr>
                  </w:pPr>
                </w:p>
              </w:tc>
              <w:tc>
                <w:tcPr>
                  <w:tcW w:w="949" w:type="dxa"/>
                  <w:tcBorders>
                    <w:top w:val="single" w:color="auto" w:sz="4" w:space="0"/>
                    <w:bottom w:val="single" w:color="auto" w:sz="12" w:space="0"/>
                  </w:tcBorders>
                  <w:vAlign w:val="center"/>
                </w:tcPr>
                <w:p w14:paraId="19C8875A">
                  <w:pPr>
                    <w:pStyle w:val="122"/>
                    <w:spacing w:after="0"/>
                    <w:rPr>
                      <w:b/>
                      <w:color w:val="auto"/>
                      <w:szCs w:val="21"/>
                    </w:rPr>
                  </w:pPr>
                  <w:r>
                    <w:rPr>
                      <w:b/>
                      <w:color w:val="auto"/>
                      <w:szCs w:val="21"/>
                    </w:rPr>
                    <w:t>X</w:t>
                  </w:r>
                </w:p>
              </w:tc>
              <w:tc>
                <w:tcPr>
                  <w:tcW w:w="930" w:type="dxa"/>
                  <w:tcBorders>
                    <w:top w:val="single" w:color="auto" w:sz="4" w:space="0"/>
                    <w:bottom w:val="single" w:color="auto" w:sz="12" w:space="0"/>
                  </w:tcBorders>
                  <w:vAlign w:val="center"/>
                </w:tcPr>
                <w:p w14:paraId="786A9A03">
                  <w:pPr>
                    <w:pStyle w:val="122"/>
                    <w:spacing w:after="0"/>
                    <w:rPr>
                      <w:b/>
                      <w:color w:val="auto"/>
                      <w:szCs w:val="21"/>
                    </w:rPr>
                  </w:pPr>
                  <w:r>
                    <w:rPr>
                      <w:b/>
                      <w:color w:val="auto"/>
                      <w:szCs w:val="21"/>
                    </w:rPr>
                    <w:t>Y</w:t>
                  </w:r>
                </w:p>
              </w:tc>
              <w:tc>
                <w:tcPr>
                  <w:tcW w:w="1144" w:type="dxa"/>
                  <w:vMerge w:val="continue"/>
                  <w:tcBorders>
                    <w:top w:val="single" w:color="auto" w:sz="4" w:space="0"/>
                    <w:bottom w:val="single" w:color="auto" w:sz="12" w:space="0"/>
                  </w:tcBorders>
                  <w:vAlign w:val="center"/>
                </w:tcPr>
                <w:p w14:paraId="1E37EE8C">
                  <w:pPr>
                    <w:pStyle w:val="122"/>
                    <w:spacing w:after="0"/>
                    <w:rPr>
                      <w:color w:val="auto"/>
                      <w:szCs w:val="21"/>
                    </w:rPr>
                  </w:pPr>
                </w:p>
              </w:tc>
              <w:tc>
                <w:tcPr>
                  <w:tcW w:w="2047" w:type="dxa"/>
                  <w:vMerge w:val="continue"/>
                  <w:tcBorders>
                    <w:top w:val="single" w:color="auto" w:sz="4" w:space="0"/>
                    <w:bottom w:val="single" w:color="auto" w:sz="12" w:space="0"/>
                  </w:tcBorders>
                  <w:vAlign w:val="center"/>
                </w:tcPr>
                <w:p w14:paraId="73F6358E">
                  <w:pPr>
                    <w:pStyle w:val="122"/>
                    <w:spacing w:after="0"/>
                    <w:rPr>
                      <w:color w:val="auto"/>
                      <w:szCs w:val="21"/>
                    </w:rPr>
                  </w:pPr>
                </w:p>
              </w:tc>
              <w:tc>
                <w:tcPr>
                  <w:tcW w:w="746" w:type="dxa"/>
                  <w:vMerge w:val="continue"/>
                  <w:tcBorders>
                    <w:top w:val="single" w:color="auto" w:sz="4" w:space="0"/>
                    <w:bottom w:val="single" w:color="auto" w:sz="12" w:space="0"/>
                  </w:tcBorders>
                  <w:vAlign w:val="center"/>
                </w:tcPr>
                <w:p w14:paraId="02D1B6CC">
                  <w:pPr>
                    <w:pStyle w:val="122"/>
                    <w:spacing w:after="0"/>
                    <w:rPr>
                      <w:color w:val="auto"/>
                      <w:szCs w:val="21"/>
                    </w:rPr>
                  </w:pPr>
                </w:p>
              </w:tc>
              <w:tc>
                <w:tcPr>
                  <w:tcW w:w="1094" w:type="dxa"/>
                  <w:vMerge w:val="continue"/>
                  <w:tcBorders>
                    <w:top w:val="single" w:color="auto" w:sz="4" w:space="0"/>
                    <w:bottom w:val="single" w:color="auto" w:sz="12" w:space="0"/>
                  </w:tcBorders>
                  <w:vAlign w:val="center"/>
                </w:tcPr>
                <w:p w14:paraId="2716B8DD">
                  <w:pPr>
                    <w:pStyle w:val="122"/>
                    <w:spacing w:after="0"/>
                    <w:rPr>
                      <w:color w:val="auto"/>
                      <w:szCs w:val="21"/>
                    </w:rPr>
                  </w:pPr>
                </w:p>
              </w:tc>
            </w:tr>
            <w:tr w14:paraId="1D05F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4" w:type="dxa"/>
                  <w:tcBorders>
                    <w:top w:val="single" w:color="auto" w:sz="6" w:space="0"/>
                    <w:bottom w:val="single" w:color="auto" w:sz="6" w:space="0"/>
                  </w:tcBorders>
                  <w:vAlign w:val="center"/>
                </w:tcPr>
                <w:p w14:paraId="74217BF0">
                  <w:pPr>
                    <w:pStyle w:val="122"/>
                    <w:spacing w:after="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G2</w:t>
                  </w:r>
                </w:p>
              </w:tc>
              <w:tc>
                <w:tcPr>
                  <w:tcW w:w="985" w:type="dxa"/>
                  <w:tcBorders>
                    <w:top w:val="single" w:color="auto" w:sz="6" w:space="0"/>
                    <w:bottom w:val="single" w:color="auto" w:sz="6" w:space="0"/>
                  </w:tcBorders>
                  <w:vAlign w:val="center"/>
                </w:tcPr>
                <w:p w14:paraId="302FA126">
                  <w:pPr>
                    <w:pStyle w:val="122"/>
                    <w:spacing w:after="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嘉立创公司厂区外西南角</w:t>
                  </w:r>
                </w:p>
              </w:tc>
              <w:tc>
                <w:tcPr>
                  <w:tcW w:w="949" w:type="dxa"/>
                  <w:tcBorders>
                    <w:top w:val="single" w:color="auto" w:sz="6" w:space="0"/>
                    <w:bottom w:val="single" w:color="auto" w:sz="6" w:space="0"/>
                  </w:tcBorders>
                  <w:vAlign w:val="center"/>
                </w:tcPr>
                <w:p w14:paraId="6DFA6420">
                  <w:pPr>
                    <w:pStyle w:val="122"/>
                    <w:spacing w:after="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698336.23</w:t>
                  </w:r>
                </w:p>
              </w:tc>
              <w:tc>
                <w:tcPr>
                  <w:tcW w:w="930" w:type="dxa"/>
                  <w:tcBorders>
                    <w:top w:val="single" w:color="auto" w:sz="6" w:space="0"/>
                    <w:bottom w:val="single" w:color="auto" w:sz="6" w:space="0"/>
                  </w:tcBorders>
                  <w:vAlign w:val="center"/>
                </w:tcPr>
                <w:p w14:paraId="1B6595A9">
                  <w:pPr>
                    <w:pStyle w:val="122"/>
                    <w:spacing w:after="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3706974.37</w:t>
                  </w:r>
                </w:p>
              </w:tc>
              <w:tc>
                <w:tcPr>
                  <w:tcW w:w="1144" w:type="dxa"/>
                  <w:tcBorders>
                    <w:top w:val="single" w:color="auto" w:sz="6" w:space="0"/>
                    <w:bottom w:val="single" w:color="auto" w:sz="6" w:space="0"/>
                  </w:tcBorders>
                  <w:vAlign w:val="center"/>
                </w:tcPr>
                <w:p w14:paraId="7D76F80F">
                  <w:pPr>
                    <w:pStyle w:val="122"/>
                    <w:spacing w:after="0"/>
                    <w:rPr>
                      <w:rFonts w:hint="eastAsia" w:eastAsia="宋体"/>
                      <w:color w:val="auto"/>
                      <w:lang w:eastAsia="zh-CN"/>
                    </w:rPr>
                  </w:pPr>
                  <w:r>
                    <w:rPr>
                      <w:rFonts w:hint="eastAsia"/>
                      <w:color w:val="auto"/>
                      <w:szCs w:val="21"/>
                      <w:lang w:eastAsia="zh-CN"/>
                    </w:rPr>
                    <w:t>氨、硫化氢</w:t>
                  </w:r>
                </w:p>
              </w:tc>
              <w:tc>
                <w:tcPr>
                  <w:tcW w:w="2047" w:type="dxa"/>
                  <w:tcBorders>
                    <w:top w:val="single" w:color="auto" w:sz="6" w:space="0"/>
                    <w:bottom w:val="single" w:color="auto" w:sz="6" w:space="0"/>
                  </w:tcBorders>
                  <w:vAlign w:val="center"/>
                </w:tcPr>
                <w:p w14:paraId="4F3C83AD">
                  <w:pPr>
                    <w:pStyle w:val="122"/>
                    <w:spacing w:after="0"/>
                    <w:rPr>
                      <w:color w:val="auto"/>
                      <w:szCs w:val="21"/>
                    </w:rPr>
                  </w:pPr>
                  <w:r>
                    <w:rPr>
                      <w:rFonts w:hint="default" w:ascii="Times New Roman" w:hAnsi="宋体" w:eastAsia="宋体" w:cs="Times New Roman"/>
                      <w:bCs/>
                      <w:color w:val="auto"/>
                      <w:sz w:val="24"/>
                    </w:rPr>
                    <w:t>202</w:t>
                  </w:r>
                  <w:r>
                    <w:rPr>
                      <w:rFonts w:hint="eastAsia" w:ascii="Times New Roman" w:hAnsi="宋体" w:eastAsia="宋体" w:cs="Times New Roman"/>
                      <w:bCs/>
                      <w:color w:val="auto"/>
                      <w:sz w:val="24"/>
                    </w:rPr>
                    <w:t>3</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2</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lang w:val="en-US" w:eastAsia="zh-CN"/>
                    </w:rPr>
                    <w:t>8</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2</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4</w:t>
                  </w:r>
                </w:p>
              </w:tc>
              <w:tc>
                <w:tcPr>
                  <w:tcW w:w="746" w:type="dxa"/>
                  <w:tcBorders>
                    <w:top w:val="single" w:color="auto" w:sz="6" w:space="0"/>
                    <w:bottom w:val="single" w:color="auto" w:sz="6" w:space="0"/>
                  </w:tcBorders>
                  <w:vAlign w:val="center"/>
                </w:tcPr>
                <w:p w14:paraId="03F5A427">
                  <w:pPr>
                    <w:pStyle w:val="122"/>
                    <w:spacing w:after="0"/>
                    <w:rPr>
                      <w:rFonts w:hint="eastAsia" w:eastAsia="宋体"/>
                      <w:color w:val="auto"/>
                      <w:szCs w:val="21"/>
                      <w:lang w:eastAsia="zh-CN"/>
                    </w:rPr>
                  </w:pPr>
                  <w:r>
                    <w:rPr>
                      <w:rFonts w:hint="eastAsia"/>
                      <w:color w:val="auto"/>
                      <w:szCs w:val="21"/>
                      <w:lang w:eastAsia="zh-CN"/>
                    </w:rPr>
                    <w:t>东北</w:t>
                  </w:r>
                </w:p>
              </w:tc>
              <w:tc>
                <w:tcPr>
                  <w:tcW w:w="1094" w:type="dxa"/>
                  <w:tcBorders>
                    <w:top w:val="single" w:color="auto" w:sz="6" w:space="0"/>
                    <w:bottom w:val="single" w:color="auto" w:sz="6" w:space="0"/>
                  </w:tcBorders>
                  <w:vAlign w:val="center"/>
                </w:tcPr>
                <w:p w14:paraId="38D3A424">
                  <w:pPr>
                    <w:pStyle w:val="122"/>
                    <w:spacing w:after="0"/>
                    <w:rPr>
                      <w:rFonts w:hint="default" w:eastAsia="宋体"/>
                      <w:color w:val="auto"/>
                      <w:szCs w:val="21"/>
                      <w:lang w:val="en-US" w:eastAsia="zh-CN"/>
                    </w:rPr>
                  </w:pPr>
                  <w:r>
                    <w:rPr>
                      <w:rFonts w:hint="eastAsia"/>
                      <w:color w:val="auto"/>
                      <w:szCs w:val="21"/>
                      <w:lang w:val="en-US" w:eastAsia="zh-CN"/>
                    </w:rPr>
                    <w:t>3530</w:t>
                  </w:r>
                </w:p>
              </w:tc>
            </w:tr>
          </w:tbl>
          <w:p w14:paraId="7EB80652">
            <w:pPr>
              <w:numPr>
                <w:ilvl w:val="0"/>
                <w:numId w:val="7"/>
              </w:numPr>
              <w:adjustRightInd w:val="0"/>
              <w:snapToGrid w:val="0"/>
              <w:spacing w:line="360" w:lineRule="auto"/>
              <w:rPr>
                <w:color w:val="auto"/>
                <w:sz w:val="24"/>
              </w:rPr>
            </w:pPr>
            <w:r>
              <w:rPr>
                <w:color w:val="auto"/>
                <w:sz w:val="24"/>
              </w:rPr>
              <w:t>监测项目</w:t>
            </w:r>
          </w:p>
          <w:p w14:paraId="5B6CE87C">
            <w:pPr>
              <w:adjustRightInd w:val="0"/>
              <w:snapToGrid w:val="0"/>
              <w:spacing w:line="360" w:lineRule="auto"/>
              <w:ind w:firstLine="480" w:firstLineChars="200"/>
              <w:rPr>
                <w:color w:val="auto"/>
                <w:sz w:val="24"/>
              </w:rPr>
            </w:pPr>
            <w:r>
              <w:rPr>
                <w:rFonts w:hint="eastAsia"/>
                <w:color w:val="auto"/>
                <w:sz w:val="24"/>
                <w:lang w:eastAsia="zh-CN"/>
              </w:rPr>
              <w:t>氨、硫化氢</w:t>
            </w:r>
            <w:r>
              <w:rPr>
                <w:color w:val="auto"/>
                <w:sz w:val="24"/>
              </w:rPr>
              <w:t>监测期间的气象要素。</w:t>
            </w:r>
          </w:p>
          <w:p w14:paraId="24D6788F">
            <w:pPr>
              <w:numPr>
                <w:ilvl w:val="0"/>
                <w:numId w:val="7"/>
              </w:numPr>
              <w:adjustRightInd w:val="0"/>
              <w:snapToGrid w:val="0"/>
              <w:spacing w:line="360" w:lineRule="auto"/>
              <w:rPr>
                <w:color w:val="auto"/>
                <w:sz w:val="24"/>
              </w:rPr>
            </w:pPr>
            <w:r>
              <w:rPr>
                <w:color w:val="auto"/>
                <w:sz w:val="24"/>
              </w:rPr>
              <w:t>监测频次和时间</w:t>
            </w:r>
          </w:p>
          <w:p w14:paraId="18DC27B4">
            <w:pPr>
              <w:adjustRightInd w:val="0"/>
              <w:snapToGrid w:val="0"/>
              <w:spacing w:line="360" w:lineRule="auto"/>
              <w:ind w:firstLine="480" w:firstLineChars="200"/>
              <w:rPr>
                <w:color w:val="auto"/>
                <w:sz w:val="24"/>
              </w:rPr>
            </w:pPr>
            <w:r>
              <w:rPr>
                <w:rFonts w:hint="eastAsia"/>
                <w:color w:val="auto"/>
                <w:sz w:val="24"/>
                <w:lang w:eastAsia="zh-CN"/>
              </w:rPr>
              <w:t>氨、硫化氢</w:t>
            </w:r>
            <w:r>
              <w:rPr>
                <w:color w:val="auto"/>
                <w:sz w:val="24"/>
              </w:rPr>
              <w:t>监测时间为202</w:t>
            </w:r>
            <w:r>
              <w:rPr>
                <w:rFonts w:hint="eastAsia"/>
                <w:color w:val="auto"/>
                <w:sz w:val="24"/>
              </w:rPr>
              <w:t>3</w:t>
            </w:r>
            <w:r>
              <w:rPr>
                <w:color w:val="auto"/>
                <w:sz w:val="24"/>
              </w:rPr>
              <w:t>年</w:t>
            </w:r>
            <w:r>
              <w:rPr>
                <w:rFonts w:hint="eastAsia"/>
                <w:color w:val="auto"/>
                <w:sz w:val="24"/>
              </w:rPr>
              <w:t>1</w:t>
            </w:r>
            <w:r>
              <w:rPr>
                <w:rFonts w:hint="eastAsia"/>
                <w:color w:val="auto"/>
                <w:sz w:val="24"/>
                <w:lang w:val="en-US" w:eastAsia="zh-CN"/>
              </w:rPr>
              <w:t>2</w:t>
            </w:r>
            <w:r>
              <w:rPr>
                <w:color w:val="auto"/>
                <w:sz w:val="24"/>
              </w:rPr>
              <w:t>月</w:t>
            </w:r>
            <w:r>
              <w:rPr>
                <w:rFonts w:hint="eastAsia"/>
                <w:color w:val="auto"/>
                <w:sz w:val="24"/>
                <w:lang w:val="en-US" w:eastAsia="zh-CN"/>
              </w:rPr>
              <w:t>8</w:t>
            </w:r>
            <w:r>
              <w:rPr>
                <w:color w:val="auto"/>
                <w:sz w:val="24"/>
              </w:rPr>
              <w:t>日</w:t>
            </w:r>
            <w:r>
              <w:rPr>
                <w:rFonts w:hint="eastAsia"/>
                <w:color w:val="auto"/>
                <w:sz w:val="24"/>
                <w:lang w:eastAsia="zh-CN"/>
              </w:rPr>
              <w:t>—</w:t>
            </w:r>
            <w:r>
              <w:rPr>
                <w:color w:val="auto"/>
                <w:sz w:val="24"/>
              </w:rPr>
              <w:t>202</w:t>
            </w:r>
            <w:r>
              <w:rPr>
                <w:rFonts w:hint="eastAsia"/>
                <w:color w:val="auto"/>
                <w:sz w:val="24"/>
              </w:rPr>
              <w:t>3</w:t>
            </w:r>
            <w:r>
              <w:rPr>
                <w:color w:val="auto"/>
                <w:sz w:val="24"/>
              </w:rPr>
              <w:t>年</w:t>
            </w:r>
            <w:r>
              <w:rPr>
                <w:rFonts w:hint="eastAsia"/>
                <w:color w:val="auto"/>
                <w:sz w:val="24"/>
              </w:rPr>
              <w:t>1</w:t>
            </w:r>
            <w:r>
              <w:rPr>
                <w:rFonts w:hint="eastAsia"/>
                <w:color w:val="auto"/>
                <w:sz w:val="24"/>
                <w:lang w:val="en-US" w:eastAsia="zh-CN"/>
              </w:rPr>
              <w:t>2</w:t>
            </w:r>
            <w:r>
              <w:rPr>
                <w:color w:val="auto"/>
                <w:sz w:val="24"/>
              </w:rPr>
              <w:t>月</w:t>
            </w:r>
            <w:r>
              <w:rPr>
                <w:rFonts w:hint="eastAsia"/>
                <w:color w:val="auto"/>
                <w:sz w:val="24"/>
              </w:rPr>
              <w:t>1</w:t>
            </w:r>
            <w:r>
              <w:rPr>
                <w:rFonts w:hint="eastAsia"/>
                <w:color w:val="auto"/>
                <w:sz w:val="24"/>
                <w:lang w:val="en-US" w:eastAsia="zh-CN"/>
              </w:rPr>
              <w:t>4</w:t>
            </w:r>
            <w:r>
              <w:rPr>
                <w:color w:val="auto"/>
                <w:sz w:val="24"/>
              </w:rPr>
              <w:t>日，连续检测7天，每天监测4次，获取当地时间02、08、14、20时4个小时浓度值。监测同时记录风向、风速、气压、气温等常规气象要素。</w:t>
            </w:r>
          </w:p>
          <w:p w14:paraId="5C1B8A47">
            <w:pPr>
              <w:numPr>
                <w:ilvl w:val="0"/>
                <w:numId w:val="7"/>
              </w:numPr>
              <w:adjustRightInd w:val="0"/>
              <w:snapToGrid w:val="0"/>
              <w:spacing w:line="360" w:lineRule="auto"/>
              <w:rPr>
                <w:color w:val="auto"/>
                <w:sz w:val="24"/>
              </w:rPr>
            </w:pPr>
            <w:r>
              <w:rPr>
                <w:color w:val="auto"/>
                <w:sz w:val="24"/>
              </w:rPr>
              <w:t>监测结果及评价</w:t>
            </w:r>
          </w:p>
          <w:p w14:paraId="22095A53">
            <w:pPr>
              <w:adjustRightInd w:val="0"/>
              <w:snapToGrid w:val="0"/>
              <w:spacing w:line="360" w:lineRule="auto"/>
              <w:ind w:firstLine="480" w:firstLineChars="200"/>
              <w:rPr>
                <w:color w:val="auto"/>
                <w:sz w:val="24"/>
              </w:rPr>
            </w:pPr>
            <w:r>
              <w:rPr>
                <w:color w:val="auto"/>
                <w:sz w:val="24"/>
              </w:rPr>
              <w:t>具体监测结果见表3-2。</w:t>
            </w:r>
          </w:p>
          <w:p w14:paraId="03105274">
            <w:pPr>
              <w:keepNext/>
              <w:adjustRightInd w:val="0"/>
              <w:snapToGrid w:val="0"/>
              <w:jc w:val="center"/>
              <w:rPr>
                <w:b/>
                <w:color w:val="auto"/>
                <w:szCs w:val="21"/>
              </w:rPr>
            </w:pPr>
            <w:r>
              <w:rPr>
                <w:b/>
                <w:color w:val="auto"/>
                <w:szCs w:val="21"/>
              </w:rPr>
              <w:t>表3-</w:t>
            </w:r>
            <w:r>
              <w:rPr>
                <w:rFonts w:hint="eastAsia"/>
                <w:b/>
                <w:color w:val="auto"/>
                <w:szCs w:val="21"/>
              </w:rPr>
              <w:t>2</w:t>
            </w:r>
            <w:r>
              <w:rPr>
                <w:b/>
                <w:color w:val="auto"/>
                <w:szCs w:val="21"/>
              </w:rPr>
              <w:t xml:space="preserve">  特征污染物环境质量现状（监测结果）表</w:t>
            </w:r>
          </w:p>
          <w:tbl>
            <w:tblPr>
              <w:tblStyle w:val="32"/>
              <w:tblW w:w="49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847"/>
              <w:gridCol w:w="711"/>
              <w:gridCol w:w="1264"/>
              <w:gridCol w:w="651"/>
              <w:gridCol w:w="546"/>
              <w:gridCol w:w="832"/>
              <w:gridCol w:w="939"/>
              <w:gridCol w:w="651"/>
              <w:gridCol w:w="546"/>
              <w:gridCol w:w="833"/>
              <w:gridCol w:w="472"/>
            </w:tblGrid>
            <w:tr w14:paraId="7D6CC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55" w:type="dxa"/>
                  <w:vMerge w:val="restart"/>
                  <w:tcBorders>
                    <w:top w:val="single" w:color="auto" w:sz="12" w:space="0"/>
                    <w:left w:val="nil"/>
                  </w:tcBorders>
                  <w:vAlign w:val="center"/>
                </w:tcPr>
                <w:p w14:paraId="32F92F99">
                  <w:pPr>
                    <w:pStyle w:val="122"/>
                    <w:spacing w:after="0"/>
                    <w:rPr>
                      <w:b/>
                      <w:color w:val="auto"/>
                      <w:szCs w:val="21"/>
                    </w:rPr>
                  </w:pPr>
                  <w:r>
                    <w:rPr>
                      <w:b/>
                      <w:color w:val="auto"/>
                      <w:szCs w:val="21"/>
                    </w:rPr>
                    <w:t>测点名称</w:t>
                  </w:r>
                </w:p>
              </w:tc>
              <w:tc>
                <w:tcPr>
                  <w:tcW w:w="718" w:type="dxa"/>
                  <w:vMerge w:val="restart"/>
                  <w:tcBorders>
                    <w:top w:val="single" w:color="auto" w:sz="12" w:space="0"/>
                  </w:tcBorders>
                  <w:vAlign w:val="center"/>
                </w:tcPr>
                <w:p w14:paraId="2F0016C7">
                  <w:pPr>
                    <w:pStyle w:val="122"/>
                    <w:spacing w:after="0"/>
                    <w:rPr>
                      <w:b/>
                      <w:color w:val="auto"/>
                      <w:szCs w:val="21"/>
                    </w:rPr>
                  </w:pPr>
                  <w:r>
                    <w:rPr>
                      <w:b/>
                      <w:color w:val="auto"/>
                      <w:szCs w:val="21"/>
                    </w:rPr>
                    <w:t>项目</w:t>
                  </w:r>
                </w:p>
              </w:tc>
              <w:tc>
                <w:tcPr>
                  <w:tcW w:w="3300" w:type="dxa"/>
                  <w:gridSpan w:val="4"/>
                  <w:tcBorders>
                    <w:top w:val="single" w:color="auto" w:sz="12" w:space="0"/>
                  </w:tcBorders>
                  <w:vAlign w:val="center"/>
                </w:tcPr>
                <w:p w14:paraId="5B7C6A27">
                  <w:pPr>
                    <w:pStyle w:val="122"/>
                    <w:spacing w:after="0"/>
                    <w:rPr>
                      <w:b/>
                      <w:color w:val="auto"/>
                      <w:szCs w:val="21"/>
                    </w:rPr>
                  </w:pPr>
                  <w:r>
                    <w:rPr>
                      <w:b/>
                      <w:color w:val="auto"/>
                      <w:szCs w:val="21"/>
                    </w:rPr>
                    <w:t>小时浓度</w:t>
                  </w:r>
                </w:p>
              </w:tc>
              <w:tc>
                <w:tcPr>
                  <w:tcW w:w="2976" w:type="dxa"/>
                  <w:gridSpan w:val="4"/>
                  <w:tcBorders>
                    <w:top w:val="single" w:color="auto" w:sz="12" w:space="0"/>
                  </w:tcBorders>
                  <w:vAlign w:val="center"/>
                </w:tcPr>
                <w:p w14:paraId="2C11A6B9">
                  <w:pPr>
                    <w:pStyle w:val="122"/>
                    <w:spacing w:after="0"/>
                    <w:rPr>
                      <w:b/>
                      <w:color w:val="auto"/>
                      <w:szCs w:val="21"/>
                    </w:rPr>
                  </w:pPr>
                  <w:r>
                    <w:rPr>
                      <w:b/>
                      <w:color w:val="auto"/>
                      <w:szCs w:val="21"/>
                    </w:rPr>
                    <w:t>日均浓度</w:t>
                  </w:r>
                </w:p>
              </w:tc>
              <w:tc>
                <w:tcPr>
                  <w:tcW w:w="474" w:type="dxa"/>
                  <w:vMerge w:val="restart"/>
                  <w:tcBorders>
                    <w:top w:val="single" w:color="auto" w:sz="12" w:space="0"/>
                    <w:right w:val="nil"/>
                  </w:tcBorders>
                  <w:vAlign w:val="center"/>
                </w:tcPr>
                <w:p w14:paraId="5575F19E">
                  <w:pPr>
                    <w:pStyle w:val="122"/>
                    <w:spacing w:after="0"/>
                    <w:rPr>
                      <w:b/>
                      <w:color w:val="auto"/>
                      <w:szCs w:val="21"/>
                    </w:rPr>
                  </w:pPr>
                  <w:r>
                    <w:rPr>
                      <w:b/>
                      <w:color w:val="auto"/>
                      <w:szCs w:val="21"/>
                    </w:rPr>
                    <w:t>达标情况</w:t>
                  </w:r>
                </w:p>
              </w:tc>
            </w:tr>
            <w:tr w14:paraId="362FF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55" w:type="dxa"/>
                  <w:vMerge w:val="continue"/>
                  <w:tcBorders>
                    <w:left w:val="nil"/>
                    <w:bottom w:val="single" w:color="auto" w:sz="6" w:space="0"/>
                  </w:tcBorders>
                  <w:vAlign w:val="center"/>
                </w:tcPr>
                <w:p w14:paraId="7543A09A">
                  <w:pPr>
                    <w:pStyle w:val="122"/>
                    <w:spacing w:after="0"/>
                    <w:rPr>
                      <w:b/>
                      <w:color w:val="auto"/>
                      <w:szCs w:val="21"/>
                    </w:rPr>
                  </w:pPr>
                </w:p>
              </w:tc>
              <w:tc>
                <w:tcPr>
                  <w:tcW w:w="718" w:type="dxa"/>
                  <w:vMerge w:val="continue"/>
                  <w:tcBorders>
                    <w:bottom w:val="single" w:color="auto" w:sz="6" w:space="0"/>
                  </w:tcBorders>
                  <w:vAlign w:val="center"/>
                </w:tcPr>
                <w:p w14:paraId="3D5CFF20">
                  <w:pPr>
                    <w:pStyle w:val="122"/>
                    <w:spacing w:after="0"/>
                    <w:rPr>
                      <w:b/>
                      <w:color w:val="auto"/>
                      <w:szCs w:val="21"/>
                    </w:rPr>
                  </w:pPr>
                </w:p>
              </w:tc>
              <w:tc>
                <w:tcPr>
                  <w:tcW w:w="1266" w:type="dxa"/>
                  <w:tcBorders>
                    <w:bottom w:val="single" w:color="auto" w:sz="6" w:space="0"/>
                  </w:tcBorders>
                  <w:vAlign w:val="center"/>
                </w:tcPr>
                <w:p w14:paraId="0A0F021A">
                  <w:pPr>
                    <w:pStyle w:val="122"/>
                    <w:spacing w:after="0"/>
                    <w:rPr>
                      <w:b/>
                      <w:color w:val="auto"/>
                      <w:szCs w:val="21"/>
                    </w:rPr>
                  </w:pPr>
                  <w:r>
                    <w:rPr>
                      <w:b/>
                      <w:color w:val="auto"/>
                      <w:szCs w:val="21"/>
                    </w:rPr>
                    <w:t>浓度范围</w:t>
                  </w:r>
                </w:p>
                <w:p w14:paraId="21389F60">
                  <w:pPr>
                    <w:pStyle w:val="122"/>
                    <w:spacing w:after="0"/>
                    <w:rPr>
                      <w:b/>
                      <w:color w:val="auto"/>
                      <w:szCs w:val="21"/>
                    </w:rPr>
                  </w:pPr>
                  <w:r>
                    <w:rPr>
                      <w:b/>
                      <w:color w:val="auto"/>
                      <w:szCs w:val="21"/>
                    </w:rPr>
                    <w:t>(mg/m</w:t>
                  </w:r>
                  <w:r>
                    <w:rPr>
                      <w:b/>
                      <w:color w:val="auto"/>
                      <w:szCs w:val="21"/>
                      <w:vertAlign w:val="superscript"/>
                    </w:rPr>
                    <w:t>3</w:t>
                  </w:r>
                  <w:r>
                    <w:rPr>
                      <w:b/>
                      <w:color w:val="auto"/>
                      <w:szCs w:val="21"/>
                    </w:rPr>
                    <w:t>)</w:t>
                  </w:r>
                </w:p>
              </w:tc>
              <w:tc>
                <w:tcPr>
                  <w:tcW w:w="654" w:type="dxa"/>
                  <w:tcBorders>
                    <w:bottom w:val="single" w:color="auto" w:sz="6" w:space="0"/>
                  </w:tcBorders>
                  <w:vAlign w:val="center"/>
                </w:tcPr>
                <w:p w14:paraId="7DE5684C">
                  <w:pPr>
                    <w:pStyle w:val="122"/>
                    <w:spacing w:after="0"/>
                    <w:rPr>
                      <w:b/>
                      <w:color w:val="auto"/>
                      <w:szCs w:val="21"/>
                    </w:rPr>
                  </w:pPr>
                  <w:r>
                    <w:rPr>
                      <w:b/>
                      <w:color w:val="auto"/>
                      <w:szCs w:val="21"/>
                    </w:rPr>
                    <w:t>最大占标率%</w:t>
                  </w:r>
                </w:p>
              </w:tc>
              <w:tc>
                <w:tcPr>
                  <w:tcW w:w="547" w:type="dxa"/>
                  <w:tcBorders>
                    <w:bottom w:val="single" w:color="auto" w:sz="6" w:space="0"/>
                  </w:tcBorders>
                  <w:vAlign w:val="center"/>
                </w:tcPr>
                <w:p w14:paraId="12007DA2">
                  <w:pPr>
                    <w:pStyle w:val="122"/>
                    <w:spacing w:after="0"/>
                    <w:rPr>
                      <w:b/>
                      <w:color w:val="auto"/>
                      <w:szCs w:val="21"/>
                    </w:rPr>
                  </w:pPr>
                  <w:r>
                    <w:rPr>
                      <w:b/>
                      <w:color w:val="auto"/>
                      <w:szCs w:val="21"/>
                    </w:rPr>
                    <w:t>超标率%</w:t>
                  </w:r>
                </w:p>
              </w:tc>
              <w:tc>
                <w:tcPr>
                  <w:tcW w:w="833" w:type="dxa"/>
                  <w:tcBorders>
                    <w:bottom w:val="single" w:color="auto" w:sz="6" w:space="0"/>
                  </w:tcBorders>
                  <w:vAlign w:val="center"/>
                </w:tcPr>
                <w:p w14:paraId="31BFC111">
                  <w:pPr>
                    <w:pStyle w:val="122"/>
                    <w:spacing w:after="0"/>
                    <w:rPr>
                      <w:b/>
                      <w:color w:val="auto"/>
                      <w:szCs w:val="21"/>
                    </w:rPr>
                  </w:pPr>
                  <w:r>
                    <w:rPr>
                      <w:b/>
                      <w:color w:val="auto"/>
                      <w:szCs w:val="21"/>
                    </w:rPr>
                    <w:t>标准值</w:t>
                  </w:r>
                </w:p>
                <w:p w14:paraId="4AEC0DF5">
                  <w:pPr>
                    <w:pStyle w:val="122"/>
                    <w:spacing w:after="0"/>
                    <w:rPr>
                      <w:b/>
                      <w:color w:val="auto"/>
                      <w:szCs w:val="21"/>
                    </w:rPr>
                  </w:pPr>
                  <w:r>
                    <w:rPr>
                      <w:b/>
                      <w:color w:val="auto"/>
                      <w:szCs w:val="21"/>
                    </w:rPr>
                    <w:t>(mg/m</w:t>
                  </w:r>
                  <w:r>
                    <w:rPr>
                      <w:b/>
                      <w:color w:val="auto"/>
                      <w:szCs w:val="21"/>
                      <w:vertAlign w:val="superscript"/>
                    </w:rPr>
                    <w:t>3</w:t>
                  </w:r>
                  <w:r>
                    <w:rPr>
                      <w:b/>
                      <w:color w:val="auto"/>
                      <w:szCs w:val="21"/>
                    </w:rPr>
                    <w:t>)</w:t>
                  </w:r>
                </w:p>
              </w:tc>
              <w:tc>
                <w:tcPr>
                  <w:tcW w:w="941" w:type="dxa"/>
                  <w:tcBorders>
                    <w:bottom w:val="single" w:color="auto" w:sz="6" w:space="0"/>
                  </w:tcBorders>
                  <w:vAlign w:val="center"/>
                </w:tcPr>
                <w:p w14:paraId="35893E65">
                  <w:pPr>
                    <w:pStyle w:val="122"/>
                    <w:spacing w:after="0"/>
                    <w:rPr>
                      <w:b/>
                      <w:color w:val="auto"/>
                      <w:szCs w:val="21"/>
                    </w:rPr>
                  </w:pPr>
                  <w:r>
                    <w:rPr>
                      <w:b/>
                      <w:color w:val="auto"/>
                      <w:szCs w:val="21"/>
                    </w:rPr>
                    <w:t>浓度范围</w:t>
                  </w:r>
                </w:p>
                <w:p w14:paraId="2EBB4427">
                  <w:pPr>
                    <w:pStyle w:val="122"/>
                    <w:spacing w:after="0"/>
                    <w:rPr>
                      <w:b/>
                      <w:color w:val="auto"/>
                      <w:szCs w:val="21"/>
                    </w:rPr>
                  </w:pPr>
                  <w:r>
                    <w:rPr>
                      <w:b/>
                      <w:color w:val="auto"/>
                      <w:szCs w:val="21"/>
                    </w:rPr>
                    <w:t>(mg/m</w:t>
                  </w:r>
                  <w:r>
                    <w:rPr>
                      <w:b/>
                      <w:color w:val="auto"/>
                      <w:szCs w:val="21"/>
                      <w:vertAlign w:val="superscript"/>
                    </w:rPr>
                    <w:t>3</w:t>
                  </w:r>
                  <w:r>
                    <w:rPr>
                      <w:b/>
                      <w:color w:val="auto"/>
                      <w:szCs w:val="21"/>
                    </w:rPr>
                    <w:t>)</w:t>
                  </w:r>
                </w:p>
              </w:tc>
              <w:tc>
                <w:tcPr>
                  <w:tcW w:w="654" w:type="dxa"/>
                  <w:tcBorders>
                    <w:bottom w:val="single" w:color="auto" w:sz="6" w:space="0"/>
                  </w:tcBorders>
                  <w:vAlign w:val="center"/>
                </w:tcPr>
                <w:p w14:paraId="6C6AE1D2">
                  <w:pPr>
                    <w:pStyle w:val="122"/>
                    <w:spacing w:after="0"/>
                    <w:rPr>
                      <w:b/>
                      <w:color w:val="auto"/>
                      <w:szCs w:val="21"/>
                    </w:rPr>
                  </w:pPr>
                  <w:r>
                    <w:rPr>
                      <w:b/>
                      <w:color w:val="auto"/>
                      <w:szCs w:val="21"/>
                    </w:rPr>
                    <w:t>最大占标率%</w:t>
                  </w:r>
                </w:p>
              </w:tc>
              <w:tc>
                <w:tcPr>
                  <w:tcW w:w="547" w:type="dxa"/>
                  <w:tcBorders>
                    <w:bottom w:val="single" w:color="auto" w:sz="6" w:space="0"/>
                  </w:tcBorders>
                  <w:vAlign w:val="center"/>
                </w:tcPr>
                <w:p w14:paraId="361A147C">
                  <w:pPr>
                    <w:pStyle w:val="122"/>
                    <w:spacing w:after="0"/>
                    <w:rPr>
                      <w:b/>
                      <w:color w:val="auto"/>
                      <w:szCs w:val="21"/>
                    </w:rPr>
                  </w:pPr>
                  <w:r>
                    <w:rPr>
                      <w:b/>
                      <w:color w:val="auto"/>
                      <w:szCs w:val="21"/>
                    </w:rPr>
                    <w:t>超标率%</w:t>
                  </w:r>
                </w:p>
              </w:tc>
              <w:tc>
                <w:tcPr>
                  <w:tcW w:w="834" w:type="dxa"/>
                  <w:tcBorders>
                    <w:bottom w:val="single" w:color="auto" w:sz="6" w:space="0"/>
                  </w:tcBorders>
                  <w:vAlign w:val="center"/>
                </w:tcPr>
                <w:p w14:paraId="47BA575D">
                  <w:pPr>
                    <w:pStyle w:val="122"/>
                    <w:spacing w:after="0"/>
                    <w:rPr>
                      <w:b/>
                      <w:color w:val="auto"/>
                      <w:szCs w:val="21"/>
                    </w:rPr>
                  </w:pPr>
                  <w:r>
                    <w:rPr>
                      <w:b/>
                      <w:color w:val="auto"/>
                      <w:szCs w:val="21"/>
                    </w:rPr>
                    <w:t>标准值</w:t>
                  </w:r>
                </w:p>
                <w:p w14:paraId="4F814860">
                  <w:pPr>
                    <w:pStyle w:val="122"/>
                    <w:spacing w:after="0"/>
                    <w:rPr>
                      <w:b/>
                      <w:color w:val="auto"/>
                      <w:szCs w:val="21"/>
                    </w:rPr>
                  </w:pPr>
                  <w:r>
                    <w:rPr>
                      <w:b/>
                      <w:color w:val="auto"/>
                      <w:szCs w:val="21"/>
                    </w:rPr>
                    <w:t>(mg/m</w:t>
                  </w:r>
                  <w:r>
                    <w:rPr>
                      <w:b/>
                      <w:color w:val="auto"/>
                      <w:szCs w:val="21"/>
                      <w:vertAlign w:val="superscript"/>
                    </w:rPr>
                    <w:t>3</w:t>
                  </w:r>
                  <w:r>
                    <w:rPr>
                      <w:b/>
                      <w:color w:val="auto"/>
                      <w:szCs w:val="21"/>
                    </w:rPr>
                    <w:t>)</w:t>
                  </w:r>
                </w:p>
              </w:tc>
              <w:tc>
                <w:tcPr>
                  <w:tcW w:w="474" w:type="dxa"/>
                  <w:vMerge w:val="continue"/>
                  <w:tcBorders>
                    <w:bottom w:val="single" w:color="auto" w:sz="6" w:space="0"/>
                    <w:right w:val="nil"/>
                  </w:tcBorders>
                  <w:vAlign w:val="center"/>
                </w:tcPr>
                <w:p w14:paraId="0CC1DDAC">
                  <w:pPr>
                    <w:pStyle w:val="122"/>
                    <w:spacing w:after="0"/>
                    <w:rPr>
                      <w:color w:val="auto"/>
                      <w:szCs w:val="21"/>
                    </w:rPr>
                  </w:pPr>
                </w:p>
              </w:tc>
            </w:tr>
            <w:tr w14:paraId="3CB37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5" w:type="dxa"/>
                  <w:vMerge w:val="restart"/>
                  <w:tcBorders>
                    <w:top w:val="single" w:color="auto" w:sz="6" w:space="0"/>
                    <w:left w:val="nil"/>
                    <w:bottom w:val="single" w:color="auto" w:sz="6" w:space="0"/>
                  </w:tcBorders>
                  <w:vAlign w:val="center"/>
                </w:tcPr>
                <w:p w14:paraId="7BCA8DD2">
                  <w:pPr>
                    <w:pStyle w:val="122"/>
                    <w:spacing w:after="0"/>
                    <w:rPr>
                      <w:color w:val="auto"/>
                      <w:szCs w:val="21"/>
                    </w:rPr>
                  </w:pPr>
                  <w:r>
                    <w:rPr>
                      <w:color w:val="auto"/>
                      <w:szCs w:val="21"/>
                    </w:rPr>
                    <w:t>G</w:t>
                  </w:r>
                  <w:r>
                    <w:rPr>
                      <w:rFonts w:hint="eastAsia"/>
                      <w:color w:val="auto"/>
                      <w:szCs w:val="21"/>
                      <w:lang w:val="en-US" w:eastAsia="zh-CN"/>
                    </w:rPr>
                    <w:t>1</w:t>
                  </w:r>
                  <w:r>
                    <w:rPr>
                      <w:rFonts w:hint="eastAsia" w:ascii="Times New Roman" w:hAnsi="Times New Roman" w:eastAsia="宋体" w:cs="Times New Roman"/>
                      <w:color w:val="auto"/>
                      <w:szCs w:val="21"/>
                      <w:lang w:eastAsia="zh-CN"/>
                    </w:rPr>
                    <w:t>嘉立创公司厂区外西南角</w:t>
                  </w:r>
                </w:p>
              </w:tc>
              <w:tc>
                <w:tcPr>
                  <w:tcW w:w="718" w:type="dxa"/>
                  <w:tcBorders>
                    <w:top w:val="single" w:color="auto" w:sz="6" w:space="0"/>
                    <w:bottom w:val="single" w:color="auto" w:sz="6" w:space="0"/>
                  </w:tcBorders>
                  <w:vAlign w:val="center"/>
                </w:tcPr>
                <w:p w14:paraId="28DFF4CA">
                  <w:pPr>
                    <w:pStyle w:val="122"/>
                    <w:spacing w:after="0"/>
                    <w:rPr>
                      <w:rFonts w:hint="eastAsia" w:eastAsia="宋体"/>
                      <w:color w:val="auto"/>
                      <w:szCs w:val="21"/>
                      <w:lang w:eastAsia="zh-CN"/>
                    </w:rPr>
                  </w:pPr>
                  <w:r>
                    <w:rPr>
                      <w:rFonts w:hint="eastAsia"/>
                      <w:color w:val="auto"/>
                      <w:szCs w:val="21"/>
                      <w:lang w:eastAsia="zh-CN"/>
                    </w:rPr>
                    <w:t>硫化氢</w:t>
                  </w:r>
                </w:p>
              </w:tc>
              <w:tc>
                <w:tcPr>
                  <w:tcW w:w="1266" w:type="dxa"/>
                  <w:tcBorders>
                    <w:top w:val="single" w:color="auto" w:sz="6" w:space="0"/>
                    <w:bottom w:val="single" w:color="auto" w:sz="6" w:space="0"/>
                  </w:tcBorders>
                  <w:vAlign w:val="center"/>
                </w:tcPr>
                <w:p w14:paraId="21C83845">
                  <w:pPr>
                    <w:pStyle w:val="122"/>
                    <w:spacing w:after="0"/>
                    <w:rPr>
                      <w:color w:val="auto"/>
                      <w:szCs w:val="21"/>
                    </w:rPr>
                  </w:pPr>
                  <w:r>
                    <w:rPr>
                      <w:rFonts w:hint="eastAsia" w:eastAsiaTheme="minorEastAsia"/>
                      <w:color w:val="auto"/>
                      <w:kern w:val="0"/>
                      <w:sz w:val="21"/>
                      <w:szCs w:val="21"/>
                    </w:rPr>
                    <w:t>0</w:t>
                  </w:r>
                  <w:r>
                    <w:rPr>
                      <w:rFonts w:eastAsiaTheme="minorEastAsia"/>
                      <w:color w:val="auto"/>
                      <w:kern w:val="0"/>
                      <w:sz w:val="21"/>
                      <w:szCs w:val="21"/>
                    </w:rPr>
                    <w:t>.002</w:t>
                  </w:r>
                  <w:r>
                    <w:rPr>
                      <w:rFonts w:hint="eastAsia" w:eastAsiaTheme="minorEastAsia"/>
                      <w:color w:val="auto"/>
                      <w:kern w:val="0"/>
                      <w:sz w:val="21"/>
                      <w:szCs w:val="21"/>
                    </w:rPr>
                    <w:t>~</w:t>
                  </w:r>
                  <w:r>
                    <w:rPr>
                      <w:rFonts w:eastAsiaTheme="minorEastAsia"/>
                      <w:color w:val="auto"/>
                      <w:kern w:val="0"/>
                      <w:sz w:val="21"/>
                      <w:szCs w:val="21"/>
                    </w:rPr>
                    <w:t>0.007</w:t>
                  </w:r>
                </w:p>
              </w:tc>
              <w:tc>
                <w:tcPr>
                  <w:tcW w:w="654" w:type="dxa"/>
                  <w:tcBorders>
                    <w:top w:val="single" w:color="auto" w:sz="6" w:space="0"/>
                    <w:bottom w:val="single" w:color="auto" w:sz="6" w:space="0"/>
                  </w:tcBorders>
                  <w:vAlign w:val="center"/>
                </w:tcPr>
                <w:p w14:paraId="3E48F18D">
                  <w:pPr>
                    <w:pStyle w:val="122"/>
                    <w:spacing w:after="0"/>
                    <w:rPr>
                      <w:color w:val="auto"/>
                      <w:szCs w:val="21"/>
                    </w:rPr>
                  </w:pPr>
                  <w:r>
                    <w:rPr>
                      <w:rFonts w:hint="eastAsia" w:eastAsiaTheme="minorEastAsia"/>
                      <w:color w:val="auto"/>
                      <w:kern w:val="0"/>
                      <w:sz w:val="21"/>
                      <w:szCs w:val="21"/>
                    </w:rPr>
                    <w:t>7</w:t>
                  </w:r>
                  <w:r>
                    <w:rPr>
                      <w:rFonts w:eastAsiaTheme="minorEastAsia"/>
                      <w:color w:val="auto"/>
                      <w:kern w:val="0"/>
                      <w:sz w:val="21"/>
                      <w:szCs w:val="21"/>
                    </w:rPr>
                    <w:t>0</w:t>
                  </w:r>
                </w:p>
              </w:tc>
              <w:tc>
                <w:tcPr>
                  <w:tcW w:w="547" w:type="dxa"/>
                  <w:tcBorders>
                    <w:top w:val="single" w:color="auto" w:sz="6" w:space="0"/>
                    <w:bottom w:val="single" w:color="auto" w:sz="6" w:space="0"/>
                  </w:tcBorders>
                  <w:vAlign w:val="center"/>
                </w:tcPr>
                <w:p w14:paraId="2E327A8E">
                  <w:pPr>
                    <w:pStyle w:val="122"/>
                    <w:spacing w:after="0"/>
                    <w:rPr>
                      <w:color w:val="auto"/>
                      <w:szCs w:val="21"/>
                    </w:rPr>
                  </w:pPr>
                  <w:r>
                    <w:rPr>
                      <w:color w:val="auto"/>
                      <w:szCs w:val="21"/>
                    </w:rPr>
                    <w:t>0</w:t>
                  </w:r>
                </w:p>
              </w:tc>
              <w:tc>
                <w:tcPr>
                  <w:tcW w:w="833" w:type="dxa"/>
                  <w:tcBorders>
                    <w:top w:val="single" w:color="auto" w:sz="6" w:space="0"/>
                    <w:bottom w:val="single" w:color="auto" w:sz="6" w:space="0"/>
                  </w:tcBorders>
                  <w:vAlign w:val="center"/>
                </w:tcPr>
                <w:p w14:paraId="20166279">
                  <w:pPr>
                    <w:pStyle w:val="122"/>
                    <w:spacing w:after="0"/>
                    <w:rPr>
                      <w:rFonts w:hint="default" w:eastAsia="宋体"/>
                      <w:color w:val="auto"/>
                      <w:szCs w:val="21"/>
                      <w:lang w:val="en-US" w:eastAsia="zh-CN"/>
                    </w:rPr>
                  </w:pPr>
                  <w:r>
                    <w:rPr>
                      <w:rFonts w:hint="eastAsia"/>
                      <w:color w:val="auto"/>
                      <w:szCs w:val="21"/>
                      <w:lang w:val="en-US" w:eastAsia="zh-CN"/>
                    </w:rPr>
                    <w:t>0.01</w:t>
                  </w:r>
                </w:p>
              </w:tc>
              <w:tc>
                <w:tcPr>
                  <w:tcW w:w="941" w:type="dxa"/>
                  <w:tcBorders>
                    <w:top w:val="single" w:color="auto" w:sz="6" w:space="0"/>
                    <w:bottom w:val="single" w:color="auto" w:sz="6" w:space="0"/>
                  </w:tcBorders>
                  <w:vAlign w:val="center"/>
                </w:tcPr>
                <w:p w14:paraId="6CDD22D8">
                  <w:pPr>
                    <w:pStyle w:val="122"/>
                    <w:spacing w:after="0"/>
                    <w:rPr>
                      <w:color w:val="auto"/>
                      <w:szCs w:val="21"/>
                    </w:rPr>
                  </w:pPr>
                  <w:r>
                    <w:rPr>
                      <w:color w:val="auto"/>
                      <w:szCs w:val="21"/>
                    </w:rPr>
                    <w:t>/</w:t>
                  </w:r>
                </w:p>
              </w:tc>
              <w:tc>
                <w:tcPr>
                  <w:tcW w:w="654" w:type="dxa"/>
                  <w:tcBorders>
                    <w:top w:val="single" w:color="auto" w:sz="6" w:space="0"/>
                    <w:bottom w:val="single" w:color="auto" w:sz="6" w:space="0"/>
                  </w:tcBorders>
                  <w:vAlign w:val="center"/>
                </w:tcPr>
                <w:p w14:paraId="5699A623">
                  <w:pPr>
                    <w:pStyle w:val="122"/>
                    <w:spacing w:after="0"/>
                    <w:rPr>
                      <w:color w:val="auto"/>
                      <w:szCs w:val="21"/>
                    </w:rPr>
                  </w:pPr>
                  <w:r>
                    <w:rPr>
                      <w:color w:val="auto"/>
                      <w:szCs w:val="21"/>
                    </w:rPr>
                    <w:t>/</w:t>
                  </w:r>
                </w:p>
              </w:tc>
              <w:tc>
                <w:tcPr>
                  <w:tcW w:w="547" w:type="dxa"/>
                  <w:tcBorders>
                    <w:top w:val="single" w:color="auto" w:sz="6" w:space="0"/>
                    <w:bottom w:val="single" w:color="auto" w:sz="6" w:space="0"/>
                  </w:tcBorders>
                  <w:vAlign w:val="center"/>
                </w:tcPr>
                <w:p w14:paraId="27E0967E">
                  <w:pPr>
                    <w:pStyle w:val="122"/>
                    <w:spacing w:after="0"/>
                    <w:rPr>
                      <w:color w:val="auto"/>
                      <w:szCs w:val="21"/>
                    </w:rPr>
                  </w:pPr>
                  <w:r>
                    <w:rPr>
                      <w:color w:val="auto"/>
                      <w:szCs w:val="21"/>
                    </w:rPr>
                    <w:t>/</w:t>
                  </w:r>
                </w:p>
              </w:tc>
              <w:tc>
                <w:tcPr>
                  <w:tcW w:w="834" w:type="dxa"/>
                  <w:tcBorders>
                    <w:top w:val="single" w:color="auto" w:sz="6" w:space="0"/>
                    <w:bottom w:val="single" w:color="auto" w:sz="6" w:space="0"/>
                  </w:tcBorders>
                  <w:vAlign w:val="center"/>
                </w:tcPr>
                <w:p w14:paraId="6D5C8A2B">
                  <w:pPr>
                    <w:pStyle w:val="122"/>
                    <w:spacing w:after="0"/>
                    <w:rPr>
                      <w:color w:val="auto"/>
                      <w:szCs w:val="21"/>
                    </w:rPr>
                  </w:pPr>
                  <w:r>
                    <w:rPr>
                      <w:color w:val="auto"/>
                      <w:szCs w:val="21"/>
                    </w:rPr>
                    <w:t>/</w:t>
                  </w:r>
                </w:p>
              </w:tc>
              <w:tc>
                <w:tcPr>
                  <w:tcW w:w="474" w:type="dxa"/>
                  <w:tcBorders>
                    <w:top w:val="single" w:color="auto" w:sz="6" w:space="0"/>
                    <w:bottom w:val="single" w:color="auto" w:sz="6" w:space="0"/>
                    <w:right w:val="nil"/>
                  </w:tcBorders>
                  <w:vAlign w:val="center"/>
                </w:tcPr>
                <w:p w14:paraId="198338E0">
                  <w:pPr>
                    <w:pStyle w:val="122"/>
                    <w:spacing w:after="0"/>
                    <w:rPr>
                      <w:color w:val="auto"/>
                      <w:szCs w:val="21"/>
                    </w:rPr>
                  </w:pPr>
                  <w:r>
                    <w:rPr>
                      <w:color w:val="auto"/>
                      <w:szCs w:val="21"/>
                    </w:rPr>
                    <w:t>达标</w:t>
                  </w:r>
                </w:p>
              </w:tc>
            </w:tr>
            <w:tr w14:paraId="1D838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5" w:type="dxa"/>
                  <w:vMerge w:val="continue"/>
                  <w:tcBorders>
                    <w:top w:val="single" w:color="auto" w:sz="6" w:space="0"/>
                    <w:left w:val="nil"/>
                    <w:bottom w:val="single" w:color="auto" w:sz="6" w:space="0"/>
                  </w:tcBorders>
                  <w:vAlign w:val="center"/>
                </w:tcPr>
                <w:p w14:paraId="7E3E02A6">
                  <w:pPr>
                    <w:pStyle w:val="122"/>
                    <w:spacing w:after="0"/>
                    <w:rPr>
                      <w:rFonts w:hint="default" w:ascii="Times New Roman" w:hAnsi="Times New Roman" w:eastAsia="宋体" w:cs="Times New Roman"/>
                      <w:color w:val="auto"/>
                      <w:kern w:val="2"/>
                      <w:sz w:val="21"/>
                      <w:szCs w:val="21"/>
                      <w:lang w:val="en-US" w:eastAsia="zh-CN" w:bidi="ar-SA"/>
                    </w:rPr>
                  </w:pPr>
                </w:p>
              </w:tc>
              <w:tc>
                <w:tcPr>
                  <w:tcW w:w="718" w:type="dxa"/>
                  <w:tcBorders>
                    <w:top w:val="single" w:color="auto" w:sz="6" w:space="0"/>
                    <w:bottom w:val="single" w:color="auto" w:sz="6" w:space="0"/>
                  </w:tcBorders>
                  <w:vAlign w:val="center"/>
                </w:tcPr>
                <w:p w14:paraId="420A465E">
                  <w:pPr>
                    <w:pStyle w:val="122"/>
                    <w:spacing w:after="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氨</w:t>
                  </w:r>
                </w:p>
              </w:tc>
              <w:tc>
                <w:tcPr>
                  <w:tcW w:w="1266" w:type="dxa"/>
                  <w:tcBorders>
                    <w:top w:val="single" w:color="auto" w:sz="6" w:space="0"/>
                    <w:bottom w:val="single" w:color="auto" w:sz="6" w:space="0"/>
                  </w:tcBorders>
                  <w:vAlign w:val="center"/>
                </w:tcPr>
                <w:p w14:paraId="5D1618C8">
                  <w:pPr>
                    <w:pStyle w:val="122"/>
                    <w:spacing w:after="0"/>
                    <w:rPr>
                      <w:rFonts w:hint="default" w:eastAsia="宋体"/>
                      <w:color w:val="auto"/>
                      <w:szCs w:val="21"/>
                      <w:lang w:val="en-US" w:eastAsia="zh-CN"/>
                    </w:rPr>
                  </w:pPr>
                  <w:r>
                    <w:rPr>
                      <w:rFonts w:hint="eastAsia" w:eastAsiaTheme="minorEastAsia"/>
                      <w:color w:val="auto"/>
                      <w:kern w:val="0"/>
                      <w:sz w:val="21"/>
                      <w:szCs w:val="21"/>
                    </w:rPr>
                    <w:t>0</w:t>
                  </w:r>
                  <w:r>
                    <w:rPr>
                      <w:rFonts w:eastAsiaTheme="minorEastAsia"/>
                      <w:color w:val="auto"/>
                      <w:kern w:val="0"/>
                      <w:sz w:val="21"/>
                      <w:szCs w:val="21"/>
                    </w:rPr>
                    <w:t>.03</w:t>
                  </w:r>
                  <w:r>
                    <w:rPr>
                      <w:rFonts w:hint="eastAsia" w:eastAsiaTheme="minorEastAsia"/>
                      <w:color w:val="auto"/>
                      <w:kern w:val="0"/>
                      <w:sz w:val="21"/>
                      <w:szCs w:val="21"/>
                    </w:rPr>
                    <w:t>~</w:t>
                  </w:r>
                  <w:r>
                    <w:rPr>
                      <w:rFonts w:eastAsiaTheme="minorEastAsia"/>
                      <w:color w:val="auto"/>
                      <w:kern w:val="0"/>
                      <w:sz w:val="21"/>
                      <w:szCs w:val="21"/>
                    </w:rPr>
                    <w:t>0.09</w:t>
                  </w:r>
                </w:p>
              </w:tc>
              <w:tc>
                <w:tcPr>
                  <w:tcW w:w="654" w:type="dxa"/>
                  <w:tcBorders>
                    <w:top w:val="single" w:color="auto" w:sz="6" w:space="0"/>
                    <w:bottom w:val="single" w:color="auto" w:sz="6" w:space="0"/>
                  </w:tcBorders>
                  <w:vAlign w:val="center"/>
                </w:tcPr>
                <w:p w14:paraId="10D3C916">
                  <w:pPr>
                    <w:pStyle w:val="122"/>
                    <w:spacing w:after="0"/>
                    <w:rPr>
                      <w:rFonts w:hint="default" w:eastAsia="宋体"/>
                      <w:color w:val="auto"/>
                      <w:szCs w:val="21"/>
                      <w:lang w:val="en-US" w:eastAsia="zh-CN"/>
                    </w:rPr>
                  </w:pPr>
                  <w:r>
                    <w:rPr>
                      <w:rFonts w:hint="eastAsia" w:eastAsia="宋体"/>
                      <w:color w:val="auto"/>
                      <w:szCs w:val="21"/>
                      <w:lang w:val="en-US" w:eastAsia="zh-CN"/>
                    </w:rPr>
                    <w:t>45</w:t>
                  </w:r>
                </w:p>
              </w:tc>
              <w:tc>
                <w:tcPr>
                  <w:tcW w:w="547" w:type="dxa"/>
                  <w:tcBorders>
                    <w:top w:val="single" w:color="auto" w:sz="6" w:space="0"/>
                    <w:bottom w:val="single" w:color="auto" w:sz="6" w:space="0"/>
                  </w:tcBorders>
                  <w:vAlign w:val="center"/>
                </w:tcPr>
                <w:p w14:paraId="37917771">
                  <w:pPr>
                    <w:pStyle w:val="122"/>
                    <w:spacing w:after="0"/>
                    <w:rPr>
                      <w:color w:val="auto"/>
                      <w:szCs w:val="21"/>
                    </w:rPr>
                  </w:pPr>
                  <w:r>
                    <w:rPr>
                      <w:color w:val="auto"/>
                      <w:szCs w:val="21"/>
                    </w:rPr>
                    <w:t>0</w:t>
                  </w:r>
                </w:p>
              </w:tc>
              <w:tc>
                <w:tcPr>
                  <w:tcW w:w="833" w:type="dxa"/>
                  <w:tcBorders>
                    <w:top w:val="single" w:color="auto" w:sz="6" w:space="0"/>
                    <w:bottom w:val="single" w:color="auto" w:sz="6" w:space="0"/>
                  </w:tcBorders>
                  <w:vAlign w:val="center"/>
                </w:tcPr>
                <w:p w14:paraId="594770CE">
                  <w:pPr>
                    <w:pStyle w:val="122"/>
                    <w:spacing w:after="0"/>
                    <w:rPr>
                      <w:rFonts w:hint="default" w:eastAsia="宋体"/>
                      <w:color w:val="auto"/>
                      <w:szCs w:val="21"/>
                      <w:lang w:val="en-US" w:eastAsia="zh-CN"/>
                    </w:rPr>
                  </w:pPr>
                  <w:r>
                    <w:rPr>
                      <w:rFonts w:hint="eastAsia"/>
                      <w:color w:val="auto"/>
                      <w:szCs w:val="21"/>
                      <w:lang w:val="en-US" w:eastAsia="zh-CN"/>
                    </w:rPr>
                    <w:t>0.2</w:t>
                  </w:r>
                </w:p>
              </w:tc>
              <w:tc>
                <w:tcPr>
                  <w:tcW w:w="941" w:type="dxa"/>
                  <w:tcBorders>
                    <w:top w:val="single" w:color="auto" w:sz="6" w:space="0"/>
                    <w:bottom w:val="single" w:color="auto" w:sz="6" w:space="0"/>
                  </w:tcBorders>
                  <w:vAlign w:val="center"/>
                </w:tcPr>
                <w:p w14:paraId="79DEFE9E">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654" w:type="dxa"/>
                  <w:tcBorders>
                    <w:top w:val="single" w:color="auto" w:sz="6" w:space="0"/>
                    <w:bottom w:val="single" w:color="auto" w:sz="6" w:space="0"/>
                  </w:tcBorders>
                  <w:vAlign w:val="center"/>
                </w:tcPr>
                <w:p w14:paraId="200F3291">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547" w:type="dxa"/>
                  <w:tcBorders>
                    <w:top w:val="single" w:color="auto" w:sz="6" w:space="0"/>
                    <w:bottom w:val="single" w:color="auto" w:sz="6" w:space="0"/>
                  </w:tcBorders>
                  <w:vAlign w:val="center"/>
                </w:tcPr>
                <w:p w14:paraId="0500E18F">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834" w:type="dxa"/>
                  <w:tcBorders>
                    <w:top w:val="single" w:color="auto" w:sz="6" w:space="0"/>
                    <w:bottom w:val="single" w:color="auto" w:sz="6" w:space="0"/>
                  </w:tcBorders>
                  <w:vAlign w:val="center"/>
                </w:tcPr>
                <w:p w14:paraId="387FDCBF">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474" w:type="dxa"/>
                  <w:tcBorders>
                    <w:top w:val="single" w:color="auto" w:sz="6" w:space="0"/>
                    <w:bottom w:val="single" w:color="auto" w:sz="6" w:space="0"/>
                    <w:right w:val="nil"/>
                  </w:tcBorders>
                  <w:vAlign w:val="center"/>
                </w:tcPr>
                <w:p w14:paraId="7250118B">
                  <w:pPr>
                    <w:pStyle w:val="122"/>
                    <w:spacing w:after="0"/>
                    <w:rPr>
                      <w:rFonts w:ascii="Times New Roman" w:hAnsi="Times New Roman" w:eastAsia="宋体" w:cs="Times New Roman"/>
                      <w:color w:val="auto"/>
                      <w:kern w:val="2"/>
                      <w:sz w:val="21"/>
                      <w:szCs w:val="21"/>
                      <w:lang w:val="en-US" w:eastAsia="zh-CN" w:bidi="ar-SA"/>
                    </w:rPr>
                  </w:pPr>
                  <w:r>
                    <w:rPr>
                      <w:color w:val="auto"/>
                      <w:szCs w:val="21"/>
                    </w:rPr>
                    <w:t>达标</w:t>
                  </w:r>
                </w:p>
              </w:tc>
            </w:tr>
          </w:tbl>
          <w:p w14:paraId="54F0D6A5">
            <w:pPr>
              <w:adjustRightInd w:val="0"/>
              <w:snapToGrid w:val="0"/>
              <w:spacing w:line="360" w:lineRule="auto"/>
              <w:ind w:firstLine="480" w:firstLineChars="200"/>
              <w:rPr>
                <w:rFonts w:eastAsia="宋体"/>
                <w:color w:val="auto"/>
                <w:sz w:val="24"/>
              </w:rPr>
            </w:pPr>
            <w:r>
              <w:rPr>
                <w:color w:val="auto"/>
                <w:sz w:val="24"/>
              </w:rPr>
              <w:t>监测结果表明：</w:t>
            </w:r>
            <w:r>
              <w:rPr>
                <w:rFonts w:hint="eastAsia"/>
                <w:color w:val="auto"/>
                <w:sz w:val="24"/>
                <w:lang w:eastAsia="zh-CN"/>
              </w:rPr>
              <w:t>硫化氢、氨</w:t>
            </w:r>
            <w:r>
              <w:rPr>
                <w:rFonts w:eastAsia="宋体"/>
                <w:color w:val="auto"/>
                <w:sz w:val="24"/>
              </w:rPr>
              <w:t>《环境影响评价技术导则 大气环境》（HJ2.2-2018）附录D</w:t>
            </w:r>
            <w:r>
              <w:rPr>
                <w:color w:val="auto"/>
                <w:sz w:val="24"/>
              </w:rPr>
              <w:t>中的限值</w:t>
            </w:r>
            <w:r>
              <w:rPr>
                <w:rFonts w:hint="eastAsia"/>
                <w:color w:val="auto"/>
                <w:sz w:val="24"/>
                <w:lang w:eastAsia="zh-CN"/>
              </w:rPr>
              <w:t>，</w:t>
            </w:r>
            <w:r>
              <w:rPr>
                <w:rFonts w:eastAsia="宋体"/>
                <w:color w:val="auto"/>
                <w:sz w:val="24"/>
              </w:rPr>
              <w:t>区域环境空气质量现状良好。</w:t>
            </w:r>
          </w:p>
          <w:p w14:paraId="4DD184AD">
            <w:pPr>
              <w:widowControl/>
              <w:adjustRightInd w:val="0"/>
              <w:snapToGrid w:val="0"/>
              <w:spacing w:line="360" w:lineRule="auto"/>
              <w:ind w:firstLine="482" w:firstLineChars="200"/>
              <w:jc w:val="left"/>
              <w:rPr>
                <w:rFonts w:hAnsi="宋体"/>
                <w:b/>
                <w:color w:val="auto"/>
                <w:kern w:val="0"/>
                <w:sz w:val="24"/>
              </w:rPr>
            </w:pPr>
            <w:r>
              <w:rPr>
                <w:b/>
                <w:color w:val="auto"/>
                <w:kern w:val="0"/>
                <w:sz w:val="24"/>
                <w:szCs w:val="20"/>
              </w:rPr>
              <w:t>2.</w:t>
            </w:r>
            <w:r>
              <w:rPr>
                <w:rFonts w:hAnsi="宋体"/>
                <w:b/>
                <w:color w:val="auto"/>
                <w:kern w:val="0"/>
                <w:sz w:val="24"/>
                <w:szCs w:val="20"/>
              </w:rPr>
              <w:t>地表水环境质量</w:t>
            </w:r>
            <w:r>
              <w:rPr>
                <w:rFonts w:hAnsi="宋体"/>
                <w:b/>
                <w:color w:val="auto"/>
                <w:kern w:val="0"/>
                <w:sz w:val="24"/>
              </w:rPr>
              <w:t>现状</w:t>
            </w:r>
          </w:p>
          <w:p w14:paraId="7FA4E0D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sz w:val="24"/>
              </w:rPr>
            </w:pPr>
            <w:r>
              <w:rPr>
                <w:rFonts w:hint="eastAsia" w:ascii="Times New Roman" w:hAnsi="Times New Roman" w:cs="Times New Roman"/>
                <w:color w:val="auto"/>
                <w:sz w:val="24"/>
                <w:lang w:val="en-US" w:eastAsia="zh-CN"/>
              </w:rPr>
              <w:t>本项目废水最终纳污水体为公兴河，公兴河监测断面为头圩渡口，为“十四五”新增省考断面，考核标准为</w:t>
            </w:r>
            <w:r>
              <w:rPr>
                <w:rFonts w:hint="default" w:ascii="Times New Roman" w:hAnsi="Times New Roman" w:cs="Times New Roman"/>
                <w:color w:val="auto"/>
                <w:sz w:val="24"/>
                <w:lang w:val="en-US" w:eastAsia="zh-CN"/>
              </w:rPr>
              <w:t>Ⅳ</w:t>
            </w:r>
            <w:r>
              <w:rPr>
                <w:rFonts w:hint="eastAsia" w:ascii="Times New Roman" w:hAnsi="Times New Roman" w:cs="Times New Roman"/>
                <w:color w:val="auto"/>
                <w:sz w:val="24"/>
                <w:lang w:val="en-US" w:eastAsia="zh-CN"/>
              </w:rPr>
              <w:t>类水。</w:t>
            </w:r>
            <w:r>
              <w:rPr>
                <w:rFonts w:hint="default" w:ascii="Times New Roman" w:hAnsi="Times New Roman" w:cs="Times New Roman"/>
                <w:color w:val="auto"/>
                <w:sz w:val="24"/>
              </w:rPr>
              <w:t>根据《</w:t>
            </w:r>
            <w:r>
              <w:rPr>
                <w:rFonts w:hint="eastAsia" w:ascii="Times New Roman" w:hAnsi="Times New Roman" w:cs="Times New Roman"/>
                <w:color w:val="auto"/>
                <w:sz w:val="24"/>
                <w:lang w:val="en-US" w:eastAsia="zh-CN"/>
              </w:rPr>
              <w:t>涟水县</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4年度环境质量公告</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：2024年监测结果均值显示水质达到</w:t>
            </w:r>
            <w:r>
              <w:rPr>
                <w:rFonts w:hint="default" w:ascii="Times New Roman" w:hAnsi="Times New Roman" w:cs="Times New Roman"/>
                <w:color w:val="auto"/>
                <w:sz w:val="24"/>
                <w:lang w:eastAsia="zh-CN"/>
              </w:rPr>
              <w:t>Ⅳ</w:t>
            </w:r>
            <w:r>
              <w:rPr>
                <w:rFonts w:hint="eastAsia" w:ascii="Times New Roman" w:hAnsi="Times New Roman" w:cs="Times New Roman"/>
                <w:color w:val="auto"/>
                <w:sz w:val="24"/>
                <w:lang w:eastAsia="zh-CN"/>
              </w:rPr>
              <w:t>类水标准。</w:t>
            </w:r>
          </w:p>
          <w:p w14:paraId="548AE103">
            <w:pPr>
              <w:adjustRightInd w:val="0"/>
              <w:snapToGrid w:val="0"/>
              <w:spacing w:before="120" w:beforeLines="50" w:line="360" w:lineRule="auto"/>
              <w:ind w:firstLine="482" w:firstLineChars="200"/>
              <w:rPr>
                <w:b/>
                <w:color w:val="auto"/>
                <w:kern w:val="0"/>
                <w:sz w:val="24"/>
                <w:szCs w:val="20"/>
              </w:rPr>
            </w:pPr>
            <w:r>
              <w:rPr>
                <w:b/>
                <w:color w:val="auto"/>
                <w:kern w:val="0"/>
                <w:sz w:val="24"/>
                <w:szCs w:val="20"/>
              </w:rPr>
              <w:t>3.</w:t>
            </w:r>
            <w:r>
              <w:rPr>
                <w:rFonts w:hAnsi="宋体"/>
                <w:b/>
                <w:color w:val="auto"/>
                <w:kern w:val="0"/>
                <w:sz w:val="24"/>
                <w:szCs w:val="20"/>
              </w:rPr>
              <w:t>声环境质量现状</w:t>
            </w:r>
          </w:p>
          <w:p w14:paraId="5E12D37F">
            <w:pPr>
              <w:pStyle w:val="2"/>
              <w:keepNext w:val="0"/>
              <w:keepLines w:val="0"/>
              <w:pageBreakBefore w:val="0"/>
              <w:kinsoku/>
              <w:wordWrap/>
              <w:overflowPunct/>
              <w:topLinePunct w:val="0"/>
              <w:bidi w:val="0"/>
              <w:spacing w:after="0" w:line="360" w:lineRule="auto"/>
              <w:ind w:left="0" w:leftChars="0" w:firstLine="480"/>
              <w:textAlignment w:val="auto"/>
              <w:rPr>
                <w:rFonts w:hint="eastAsia" w:cs="Times New Roman"/>
                <w:color w:val="auto"/>
                <w:sz w:val="24"/>
                <w:lang w:val="en-US" w:eastAsia="zh-CN"/>
              </w:rPr>
            </w:pPr>
            <w:r>
              <w:rPr>
                <w:rFonts w:hint="default" w:ascii="Times New Roman" w:hAnsi="Times New Roman" w:eastAsia="宋体" w:cs="Times New Roman"/>
                <w:color w:val="auto"/>
                <w:sz w:val="24"/>
              </w:rPr>
              <w:t>本项目位于</w:t>
            </w:r>
            <w:r>
              <w:rPr>
                <w:rFonts w:hint="eastAsia" w:cs="Times New Roman"/>
                <w:color w:val="auto"/>
                <w:sz w:val="24"/>
                <w:lang w:val="en-US" w:eastAsia="zh-CN"/>
              </w:rPr>
              <w:t>江苏涟水经济开发区</w:t>
            </w:r>
            <w:r>
              <w:rPr>
                <w:rFonts w:hint="default" w:ascii="Times New Roman" w:hAnsi="Times New Roman" w:eastAsia="宋体" w:cs="Times New Roman"/>
                <w:color w:val="auto"/>
                <w:sz w:val="24"/>
              </w:rPr>
              <w:t>，</w:t>
            </w:r>
            <w:r>
              <w:rPr>
                <w:rFonts w:hint="eastAsia" w:cs="Times New Roman"/>
                <w:color w:val="auto"/>
                <w:sz w:val="24"/>
                <w:lang w:val="en-US" w:eastAsia="zh-CN"/>
              </w:rPr>
              <w:t>属于</w:t>
            </w:r>
            <w:r>
              <w:rPr>
                <w:rFonts w:hint="default" w:ascii="Times New Roman" w:hAnsi="Times New Roman" w:eastAsia="宋体" w:cs="Times New Roman"/>
                <w:color w:val="auto"/>
                <w:sz w:val="24"/>
              </w:rPr>
              <w:t>3类功能区。根据《</w:t>
            </w:r>
            <w:r>
              <w:rPr>
                <w:rFonts w:hint="eastAsia" w:cs="Times New Roman"/>
                <w:color w:val="auto"/>
                <w:sz w:val="24"/>
                <w:lang w:val="en-US" w:eastAsia="zh-CN"/>
              </w:rPr>
              <w:t>涟水县</w:t>
            </w:r>
            <w:r>
              <w:rPr>
                <w:rFonts w:hint="default" w:ascii="Times New Roman" w:hAnsi="Times New Roman" w:cs="Times New Roman"/>
                <w:color w:val="auto"/>
                <w:sz w:val="24"/>
              </w:rPr>
              <w:t>202</w:t>
            </w:r>
            <w:r>
              <w:rPr>
                <w:rFonts w:hint="eastAsia" w:cs="Times New Roman"/>
                <w:color w:val="auto"/>
                <w:sz w:val="24"/>
                <w:lang w:val="en-US" w:eastAsia="zh-CN"/>
              </w:rPr>
              <w:t>4年度环境质量公告</w:t>
            </w:r>
            <w:r>
              <w:rPr>
                <w:rFonts w:hint="default" w:ascii="Times New Roman" w:hAnsi="Times New Roman" w:eastAsia="宋体" w:cs="Times New Roman"/>
                <w:color w:val="auto"/>
                <w:sz w:val="24"/>
              </w:rPr>
              <w:t>》</w:t>
            </w:r>
            <w:r>
              <w:rPr>
                <w:rFonts w:hint="eastAsia" w:cs="Times New Roman"/>
                <w:color w:val="auto"/>
                <w:sz w:val="24"/>
                <w:lang w:eastAsia="zh-CN"/>
              </w:rPr>
              <w:t>：</w:t>
            </w:r>
            <w:r>
              <w:rPr>
                <w:rFonts w:hint="default" w:ascii="Times New Roman" w:hAnsi="Times New Roman" w:eastAsia="宋体" w:cs="Times New Roman"/>
                <w:color w:val="auto"/>
                <w:sz w:val="24"/>
              </w:rPr>
              <w:t>2024年</w:t>
            </w:r>
            <w:r>
              <w:rPr>
                <w:rFonts w:hint="eastAsia" w:cs="Times New Roman"/>
                <w:color w:val="auto"/>
                <w:sz w:val="24"/>
                <w:lang w:eastAsia="zh-CN"/>
              </w:rPr>
              <w:t>，</w:t>
            </w:r>
            <w:r>
              <w:rPr>
                <w:rFonts w:hint="eastAsia" w:cs="Times New Roman"/>
                <w:color w:val="auto"/>
                <w:sz w:val="24"/>
                <w:lang w:val="en-US" w:eastAsia="zh-CN"/>
              </w:rPr>
              <w:t>全县</w:t>
            </w:r>
            <w:r>
              <w:rPr>
                <w:rFonts w:hint="default" w:ascii="Times New Roman" w:hAnsi="Times New Roman" w:eastAsia="宋体" w:cs="Times New Roman"/>
                <w:color w:val="auto"/>
                <w:sz w:val="24"/>
              </w:rPr>
              <w:t>声环境总体较好，各功能区昼、夜平均等效声级均达标，全县4个功能区噪声监测点的合计昼间达标率为99.1%，较去年上升1.5百分点，夜间达标率为82.4%，较去年下降4.6百分点。</w:t>
            </w:r>
            <w:r>
              <w:rPr>
                <w:rFonts w:hint="eastAsia" w:cs="Times New Roman"/>
                <w:color w:val="auto"/>
                <w:sz w:val="24"/>
                <w:lang w:val="en-US" w:eastAsia="zh-CN"/>
              </w:rPr>
              <w:t>具体监测结果见下表：</w:t>
            </w:r>
          </w:p>
          <w:p w14:paraId="10472C76">
            <w:pPr>
              <w:pStyle w:val="4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  2024年涟水县各功能区噪声监测结果统计表  单位：dB（A）</w:t>
            </w:r>
          </w:p>
          <w:tbl>
            <w:tblPr>
              <w:tblStyle w:val="3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770"/>
              <w:gridCol w:w="934"/>
              <w:gridCol w:w="934"/>
              <w:gridCol w:w="935"/>
              <w:gridCol w:w="935"/>
              <w:gridCol w:w="935"/>
              <w:gridCol w:w="935"/>
              <w:gridCol w:w="935"/>
            </w:tblGrid>
            <w:tr w14:paraId="5A755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restart"/>
                  <w:tcBorders>
                    <w:tl2br w:val="nil"/>
                    <w:tr2bl w:val="nil"/>
                  </w:tcBorders>
                  <w:vAlign w:val="center"/>
                </w:tcPr>
                <w:p w14:paraId="3D26116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年度</w:t>
                  </w:r>
                </w:p>
              </w:tc>
              <w:tc>
                <w:tcPr>
                  <w:tcW w:w="1704" w:type="dxa"/>
                  <w:gridSpan w:val="2"/>
                  <w:tcBorders>
                    <w:tl2br w:val="nil"/>
                    <w:tr2bl w:val="nil"/>
                  </w:tcBorders>
                  <w:vAlign w:val="center"/>
                </w:tcPr>
                <w:p w14:paraId="567D72B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vertAlign w:val="baseline"/>
                      <w:lang w:val="en-US" w:eastAsia="zh-CN"/>
                    </w:rPr>
                  </w:pPr>
                  <w:r>
                    <w:rPr>
                      <w:rFonts w:hint="eastAsia"/>
                      <w:color w:val="auto"/>
                      <w:sz w:val="21"/>
                      <w:vertAlign w:val="baseline"/>
                      <w:lang w:val="en-US" w:eastAsia="zh-CN"/>
                    </w:rPr>
                    <w:t>1类区</w:t>
                  </w:r>
                </w:p>
              </w:tc>
              <w:tc>
                <w:tcPr>
                  <w:tcW w:w="1869" w:type="dxa"/>
                  <w:gridSpan w:val="2"/>
                  <w:tcBorders>
                    <w:tl2br w:val="nil"/>
                    <w:tr2bl w:val="nil"/>
                  </w:tcBorders>
                  <w:vAlign w:val="center"/>
                </w:tcPr>
                <w:p w14:paraId="760C9ED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2类区</w:t>
                  </w:r>
                </w:p>
              </w:tc>
              <w:tc>
                <w:tcPr>
                  <w:tcW w:w="1870" w:type="dxa"/>
                  <w:gridSpan w:val="2"/>
                  <w:tcBorders>
                    <w:tl2br w:val="nil"/>
                    <w:tr2bl w:val="nil"/>
                  </w:tcBorders>
                  <w:vAlign w:val="center"/>
                </w:tcPr>
                <w:p w14:paraId="2F4C05AE">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3类区</w:t>
                  </w:r>
                </w:p>
              </w:tc>
              <w:tc>
                <w:tcPr>
                  <w:tcW w:w="1870" w:type="dxa"/>
                  <w:gridSpan w:val="2"/>
                  <w:tcBorders>
                    <w:tl2br w:val="nil"/>
                    <w:tr2bl w:val="nil"/>
                  </w:tcBorders>
                  <w:vAlign w:val="center"/>
                </w:tcPr>
                <w:p w14:paraId="73E7B963">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4类区</w:t>
                  </w:r>
                </w:p>
              </w:tc>
            </w:tr>
            <w:tr w14:paraId="7A96F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continue"/>
                  <w:tcBorders>
                    <w:tl2br w:val="nil"/>
                    <w:tr2bl w:val="nil"/>
                  </w:tcBorders>
                  <w:vAlign w:val="center"/>
                </w:tcPr>
                <w:p w14:paraId="79F08CBD">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p>
              </w:tc>
              <w:tc>
                <w:tcPr>
                  <w:tcW w:w="770" w:type="dxa"/>
                  <w:tcBorders>
                    <w:tl2br w:val="nil"/>
                    <w:tr2bl w:val="nil"/>
                  </w:tcBorders>
                  <w:vAlign w:val="center"/>
                </w:tcPr>
                <w:p w14:paraId="590B870C">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4" w:type="dxa"/>
                  <w:tcBorders>
                    <w:tl2br w:val="nil"/>
                    <w:tr2bl w:val="nil"/>
                  </w:tcBorders>
                  <w:vAlign w:val="center"/>
                </w:tcPr>
                <w:p w14:paraId="54B78096">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4" w:type="dxa"/>
                  <w:tcBorders>
                    <w:tl2br w:val="nil"/>
                    <w:tr2bl w:val="nil"/>
                  </w:tcBorders>
                  <w:vAlign w:val="center"/>
                </w:tcPr>
                <w:p w14:paraId="4B43D862">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09291A8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5" w:type="dxa"/>
                  <w:tcBorders>
                    <w:tl2br w:val="nil"/>
                    <w:tr2bl w:val="nil"/>
                  </w:tcBorders>
                  <w:vAlign w:val="center"/>
                </w:tcPr>
                <w:p w14:paraId="0408169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52C7B474">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c>
                <w:tcPr>
                  <w:tcW w:w="935" w:type="dxa"/>
                  <w:tcBorders>
                    <w:tl2br w:val="nil"/>
                    <w:tr2bl w:val="nil"/>
                  </w:tcBorders>
                  <w:vAlign w:val="center"/>
                </w:tcPr>
                <w:p w14:paraId="70BA19BF">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d</w:t>
                  </w:r>
                </w:p>
              </w:tc>
              <w:tc>
                <w:tcPr>
                  <w:tcW w:w="935" w:type="dxa"/>
                  <w:tcBorders>
                    <w:tl2br w:val="nil"/>
                    <w:tr2bl w:val="nil"/>
                  </w:tcBorders>
                  <w:vAlign w:val="center"/>
                </w:tcPr>
                <w:p w14:paraId="0C11B9B2">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L</w:t>
                  </w:r>
                  <w:r>
                    <w:rPr>
                      <w:color w:val="auto"/>
                      <w:sz w:val="21"/>
                      <w:szCs w:val="21"/>
                    </w:rPr>
                    <w:t>n</w:t>
                  </w:r>
                </w:p>
              </w:tc>
            </w:tr>
            <w:tr w14:paraId="097DC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tcBorders>
                    <w:tl2br w:val="nil"/>
                    <w:tr2bl w:val="nil"/>
                  </w:tcBorders>
                  <w:vAlign w:val="center"/>
                </w:tcPr>
                <w:p w14:paraId="2EF14DC6">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olor w:val="auto"/>
                      <w:sz w:val="21"/>
                      <w:vertAlign w:val="baseline"/>
                      <w:lang w:val="en-US" w:eastAsia="zh-CN"/>
                    </w:rPr>
                  </w:pPr>
                  <w:r>
                    <w:rPr>
                      <w:rFonts w:hint="eastAsia"/>
                      <w:color w:val="auto"/>
                      <w:sz w:val="21"/>
                      <w:vertAlign w:val="baseline"/>
                      <w:lang w:val="en-US" w:eastAsia="zh-CN"/>
                    </w:rPr>
                    <w:t>2024</w:t>
                  </w:r>
                </w:p>
              </w:tc>
              <w:tc>
                <w:tcPr>
                  <w:tcW w:w="770" w:type="dxa"/>
                  <w:tcBorders>
                    <w:tl2br w:val="nil"/>
                    <w:tr2bl w:val="nil"/>
                  </w:tcBorders>
                  <w:vAlign w:val="center"/>
                </w:tcPr>
                <w:p w14:paraId="4B816D2F">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48.3</w:t>
                  </w:r>
                </w:p>
              </w:tc>
              <w:tc>
                <w:tcPr>
                  <w:tcW w:w="934" w:type="dxa"/>
                  <w:tcBorders>
                    <w:tl2br w:val="nil"/>
                    <w:tr2bl w:val="nil"/>
                  </w:tcBorders>
                  <w:vAlign w:val="center"/>
                </w:tcPr>
                <w:p w14:paraId="191E22BE">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41.7</w:t>
                  </w:r>
                </w:p>
              </w:tc>
              <w:tc>
                <w:tcPr>
                  <w:tcW w:w="934" w:type="dxa"/>
                  <w:tcBorders>
                    <w:tl2br w:val="nil"/>
                    <w:tr2bl w:val="nil"/>
                  </w:tcBorders>
                  <w:vAlign w:val="center"/>
                </w:tcPr>
                <w:p w14:paraId="63F7832F">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54.8</w:t>
                  </w:r>
                </w:p>
              </w:tc>
              <w:tc>
                <w:tcPr>
                  <w:tcW w:w="935" w:type="dxa"/>
                  <w:tcBorders>
                    <w:tl2br w:val="nil"/>
                    <w:tr2bl w:val="nil"/>
                  </w:tcBorders>
                  <w:vAlign w:val="center"/>
                </w:tcPr>
                <w:p w14:paraId="54A665CA">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47.2</w:t>
                  </w:r>
                </w:p>
              </w:tc>
              <w:tc>
                <w:tcPr>
                  <w:tcW w:w="935" w:type="dxa"/>
                  <w:tcBorders>
                    <w:tl2br w:val="nil"/>
                    <w:tr2bl w:val="nil"/>
                  </w:tcBorders>
                  <w:vAlign w:val="center"/>
                </w:tcPr>
                <w:p w14:paraId="35CCE3BB">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59.1</w:t>
                  </w:r>
                </w:p>
              </w:tc>
              <w:tc>
                <w:tcPr>
                  <w:tcW w:w="935" w:type="dxa"/>
                  <w:tcBorders>
                    <w:tl2br w:val="nil"/>
                    <w:tr2bl w:val="nil"/>
                  </w:tcBorders>
                  <w:vAlign w:val="center"/>
                </w:tcPr>
                <w:p w14:paraId="0DC4B119">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50.6</w:t>
                  </w:r>
                </w:p>
              </w:tc>
              <w:tc>
                <w:tcPr>
                  <w:tcW w:w="935" w:type="dxa"/>
                  <w:tcBorders>
                    <w:tl2br w:val="nil"/>
                    <w:tr2bl w:val="nil"/>
                  </w:tcBorders>
                  <w:vAlign w:val="center"/>
                </w:tcPr>
                <w:p w14:paraId="1C7AECB5">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59.5</w:t>
                  </w:r>
                </w:p>
              </w:tc>
              <w:tc>
                <w:tcPr>
                  <w:tcW w:w="935" w:type="dxa"/>
                  <w:tcBorders>
                    <w:tl2br w:val="nil"/>
                    <w:tr2bl w:val="nil"/>
                  </w:tcBorders>
                  <w:vAlign w:val="center"/>
                </w:tcPr>
                <w:p w14:paraId="3582792B">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52.4</w:t>
                  </w:r>
                </w:p>
              </w:tc>
            </w:tr>
            <w:tr w14:paraId="42275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tcBorders>
                    <w:tl2br w:val="nil"/>
                    <w:tr2bl w:val="nil"/>
                  </w:tcBorders>
                  <w:vAlign w:val="center"/>
                </w:tcPr>
                <w:p w14:paraId="29DF977C">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标准</w:t>
                  </w:r>
                </w:p>
              </w:tc>
              <w:tc>
                <w:tcPr>
                  <w:tcW w:w="770" w:type="dxa"/>
                  <w:tcBorders>
                    <w:tl2br w:val="nil"/>
                    <w:tr2bl w:val="nil"/>
                  </w:tcBorders>
                  <w:vAlign w:val="center"/>
                </w:tcPr>
                <w:p w14:paraId="265C19DD">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c>
                <w:tcPr>
                  <w:tcW w:w="934" w:type="dxa"/>
                  <w:tcBorders>
                    <w:tl2br w:val="nil"/>
                    <w:tr2bl w:val="nil"/>
                  </w:tcBorders>
                  <w:vAlign w:val="center"/>
                </w:tcPr>
                <w:p w14:paraId="74DAF2E7">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4</w:t>
                  </w:r>
                  <w:r>
                    <w:rPr>
                      <w:color w:val="auto"/>
                      <w:sz w:val="21"/>
                      <w:szCs w:val="21"/>
                    </w:rPr>
                    <w:t>5</w:t>
                  </w:r>
                </w:p>
              </w:tc>
              <w:tc>
                <w:tcPr>
                  <w:tcW w:w="934" w:type="dxa"/>
                  <w:tcBorders>
                    <w:tl2br w:val="nil"/>
                    <w:tr2bl w:val="nil"/>
                  </w:tcBorders>
                  <w:vAlign w:val="center"/>
                </w:tcPr>
                <w:p w14:paraId="6F2029E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6</w:t>
                  </w:r>
                  <w:r>
                    <w:rPr>
                      <w:color w:val="auto"/>
                      <w:sz w:val="21"/>
                      <w:szCs w:val="21"/>
                    </w:rPr>
                    <w:t>0</w:t>
                  </w:r>
                </w:p>
              </w:tc>
              <w:tc>
                <w:tcPr>
                  <w:tcW w:w="935" w:type="dxa"/>
                  <w:tcBorders>
                    <w:tl2br w:val="nil"/>
                    <w:tr2bl w:val="nil"/>
                  </w:tcBorders>
                  <w:vAlign w:val="center"/>
                </w:tcPr>
                <w:p w14:paraId="19461587">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0</w:t>
                  </w:r>
                </w:p>
              </w:tc>
              <w:tc>
                <w:tcPr>
                  <w:tcW w:w="935" w:type="dxa"/>
                  <w:tcBorders>
                    <w:tl2br w:val="nil"/>
                    <w:tr2bl w:val="nil"/>
                  </w:tcBorders>
                  <w:vAlign w:val="center"/>
                </w:tcPr>
                <w:p w14:paraId="056CDB78">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6</w:t>
                  </w:r>
                  <w:r>
                    <w:rPr>
                      <w:color w:val="auto"/>
                      <w:sz w:val="21"/>
                      <w:szCs w:val="21"/>
                    </w:rPr>
                    <w:t>5</w:t>
                  </w:r>
                </w:p>
              </w:tc>
              <w:tc>
                <w:tcPr>
                  <w:tcW w:w="935" w:type="dxa"/>
                  <w:tcBorders>
                    <w:tl2br w:val="nil"/>
                    <w:tr2bl w:val="nil"/>
                  </w:tcBorders>
                  <w:vAlign w:val="center"/>
                </w:tcPr>
                <w:p w14:paraId="2D113281">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c>
                <w:tcPr>
                  <w:tcW w:w="935" w:type="dxa"/>
                  <w:tcBorders>
                    <w:tl2br w:val="nil"/>
                    <w:tr2bl w:val="nil"/>
                  </w:tcBorders>
                  <w:vAlign w:val="center"/>
                </w:tcPr>
                <w:p w14:paraId="41575B2F">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7</w:t>
                  </w:r>
                  <w:r>
                    <w:rPr>
                      <w:color w:val="auto"/>
                      <w:sz w:val="21"/>
                      <w:szCs w:val="21"/>
                    </w:rPr>
                    <w:t>0</w:t>
                  </w:r>
                </w:p>
              </w:tc>
              <w:tc>
                <w:tcPr>
                  <w:tcW w:w="935" w:type="dxa"/>
                  <w:tcBorders>
                    <w:tl2br w:val="nil"/>
                    <w:tr2bl w:val="nil"/>
                  </w:tcBorders>
                  <w:vAlign w:val="center"/>
                </w:tcPr>
                <w:p w14:paraId="4AE9B9C3">
                  <w:pPr>
                    <w:widowControl/>
                    <w:autoSpaceDN w:val="0"/>
                    <w:snapToGrid w:val="0"/>
                    <w:spacing w:line="440" w:lineRule="exact"/>
                    <w:jc w:val="center"/>
                    <w:textAlignment w:val="baseline"/>
                    <w:rPr>
                      <w:rFonts w:hint="eastAsia"/>
                      <w:color w:val="auto"/>
                      <w:sz w:val="21"/>
                      <w:vertAlign w:val="baseline"/>
                    </w:rPr>
                  </w:pPr>
                  <w:r>
                    <w:rPr>
                      <w:rFonts w:hint="eastAsia"/>
                      <w:color w:val="auto"/>
                      <w:sz w:val="21"/>
                      <w:szCs w:val="21"/>
                    </w:rPr>
                    <w:t>5</w:t>
                  </w:r>
                  <w:r>
                    <w:rPr>
                      <w:color w:val="auto"/>
                      <w:sz w:val="21"/>
                      <w:szCs w:val="21"/>
                    </w:rPr>
                    <w:t>5</w:t>
                  </w:r>
                </w:p>
              </w:tc>
            </w:tr>
            <w:tr w14:paraId="6CB8D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tcBorders>
                    <w:tl2br w:val="nil"/>
                    <w:tr2bl w:val="nil"/>
                  </w:tcBorders>
                  <w:vAlign w:val="center"/>
                </w:tcPr>
                <w:p w14:paraId="511726E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是否达标</w:t>
                  </w:r>
                </w:p>
              </w:tc>
              <w:tc>
                <w:tcPr>
                  <w:tcW w:w="770" w:type="dxa"/>
                  <w:tcBorders>
                    <w:tl2br w:val="nil"/>
                    <w:tr2bl w:val="nil"/>
                  </w:tcBorders>
                  <w:vAlign w:val="center"/>
                </w:tcPr>
                <w:p w14:paraId="2530FC8E">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sz w:val="21"/>
                      <w:vertAlign w:val="baseline"/>
                      <w:lang w:val="en-US" w:eastAsia="zh-CN"/>
                    </w:rPr>
                  </w:pPr>
                  <w:r>
                    <w:rPr>
                      <w:rFonts w:hint="eastAsia"/>
                      <w:color w:val="auto"/>
                      <w:sz w:val="21"/>
                      <w:vertAlign w:val="baseline"/>
                      <w:lang w:val="en-US" w:eastAsia="zh-CN"/>
                    </w:rPr>
                    <w:t>达标</w:t>
                  </w:r>
                </w:p>
              </w:tc>
              <w:tc>
                <w:tcPr>
                  <w:tcW w:w="934" w:type="dxa"/>
                  <w:tcBorders>
                    <w:tl2br w:val="nil"/>
                    <w:tr2bl w:val="nil"/>
                  </w:tcBorders>
                  <w:vAlign w:val="center"/>
                </w:tcPr>
                <w:p w14:paraId="15076E8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4" w:type="dxa"/>
                  <w:tcBorders>
                    <w:tl2br w:val="nil"/>
                    <w:tr2bl w:val="nil"/>
                  </w:tcBorders>
                  <w:vAlign w:val="center"/>
                </w:tcPr>
                <w:p w14:paraId="7693972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23EDA5D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68A9D20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3D5F5D7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2A1120B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c>
                <w:tcPr>
                  <w:tcW w:w="935" w:type="dxa"/>
                  <w:tcBorders>
                    <w:tl2br w:val="nil"/>
                    <w:tr2bl w:val="nil"/>
                  </w:tcBorders>
                  <w:vAlign w:val="center"/>
                </w:tcPr>
                <w:p w14:paraId="4308101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1"/>
                      <w:vertAlign w:val="baseline"/>
                    </w:rPr>
                  </w:pPr>
                  <w:r>
                    <w:rPr>
                      <w:rFonts w:hint="eastAsia"/>
                      <w:color w:val="auto"/>
                      <w:sz w:val="21"/>
                      <w:vertAlign w:val="baseline"/>
                      <w:lang w:val="en-US" w:eastAsia="zh-CN"/>
                    </w:rPr>
                    <w:t>达标</w:t>
                  </w:r>
                </w:p>
              </w:tc>
            </w:tr>
          </w:tbl>
          <w:p w14:paraId="588E9377">
            <w:pPr>
              <w:pStyle w:val="2"/>
              <w:keepNext w:val="0"/>
              <w:keepLines w:val="0"/>
              <w:pageBreakBefore w:val="0"/>
              <w:kinsoku/>
              <w:wordWrap/>
              <w:overflowPunct/>
              <w:topLinePunct w:val="0"/>
              <w:bidi w:val="0"/>
              <w:spacing w:after="0" w:line="360" w:lineRule="auto"/>
              <w:ind w:left="0" w:leftChars="0" w:firstLine="480"/>
              <w:textAlignment w:val="auto"/>
              <w:rPr>
                <w:rFonts w:hint="default" w:eastAsia="宋体"/>
                <w:color w:val="auto"/>
                <w:sz w:val="24"/>
                <w:lang w:val="en-US" w:eastAsia="zh-CN"/>
              </w:rPr>
            </w:pPr>
            <w:r>
              <w:rPr>
                <w:rFonts w:hint="eastAsia"/>
                <w:color w:val="auto"/>
                <w:sz w:val="24"/>
                <w:lang w:val="en-US" w:eastAsia="zh-CN"/>
              </w:rPr>
              <w:t>根据上表数据，2024年涟水县声环境质量为达标区。</w:t>
            </w:r>
          </w:p>
          <w:p w14:paraId="4976D13D">
            <w:pPr>
              <w:pStyle w:val="2"/>
              <w:keepNext w:val="0"/>
              <w:keepLines w:val="0"/>
              <w:pageBreakBefore w:val="0"/>
              <w:kinsoku/>
              <w:wordWrap/>
              <w:overflowPunct/>
              <w:topLinePunct w:val="0"/>
              <w:bidi w:val="0"/>
              <w:spacing w:after="0" w:line="360" w:lineRule="auto"/>
              <w:ind w:left="0" w:leftChars="0" w:firstLine="480"/>
              <w:textAlignment w:val="auto"/>
              <w:rPr>
                <w:rFonts w:hint="eastAsia"/>
                <w:color w:val="auto"/>
              </w:rPr>
            </w:pPr>
            <w:r>
              <w:rPr>
                <w:rFonts w:hint="eastAsia"/>
                <w:color w:val="auto"/>
                <w:sz w:val="24"/>
              </w:rPr>
              <w:t>本项目厂界外50米范围内无声环境保护目标，无需开展声环境质量现状监测。</w:t>
            </w:r>
          </w:p>
          <w:p w14:paraId="47484078">
            <w:pPr>
              <w:widowControl/>
              <w:tabs>
                <w:tab w:val="left" w:pos="443"/>
              </w:tabs>
              <w:adjustRightInd w:val="0"/>
              <w:snapToGrid w:val="0"/>
              <w:spacing w:line="360" w:lineRule="auto"/>
              <w:ind w:firstLine="482" w:firstLineChars="200"/>
              <w:jc w:val="left"/>
              <w:rPr>
                <w:b/>
                <w:color w:val="auto"/>
                <w:kern w:val="0"/>
                <w:sz w:val="24"/>
                <w:szCs w:val="20"/>
              </w:rPr>
            </w:pPr>
            <w:r>
              <w:rPr>
                <w:b/>
                <w:color w:val="auto"/>
                <w:kern w:val="0"/>
                <w:sz w:val="24"/>
                <w:szCs w:val="20"/>
              </w:rPr>
              <w:t>4.</w:t>
            </w:r>
            <w:r>
              <w:rPr>
                <w:rFonts w:hint="eastAsia"/>
                <w:b/>
                <w:color w:val="auto"/>
                <w:kern w:val="0"/>
                <w:sz w:val="24"/>
                <w:szCs w:val="20"/>
                <w:lang w:eastAsia="zh-CN"/>
              </w:rPr>
              <w:t>土壤、</w:t>
            </w:r>
            <w:r>
              <w:rPr>
                <w:rFonts w:hAnsi="宋体"/>
                <w:b/>
                <w:color w:val="auto"/>
                <w:kern w:val="0"/>
                <w:sz w:val="24"/>
                <w:szCs w:val="20"/>
              </w:rPr>
              <w:t>地下水环境质量现状</w:t>
            </w:r>
          </w:p>
          <w:p w14:paraId="73DD7459">
            <w:pPr>
              <w:adjustRightInd w:val="0"/>
              <w:snapToGrid w:val="0"/>
              <w:spacing w:line="360" w:lineRule="auto"/>
              <w:ind w:firstLine="480" w:firstLineChars="200"/>
              <w:rPr>
                <w:color w:val="auto"/>
                <w:sz w:val="24"/>
              </w:rPr>
            </w:pPr>
            <w:r>
              <w:rPr>
                <w:color w:val="auto"/>
                <w:sz w:val="24"/>
              </w:rPr>
              <w:t>本项目位于江苏涟水经济开发区内，周边无土壤环境敏感目标，且本项目厂界外500米范围内无地下水集中饮用水水源、热水、矿泉水、温泉等特殊地下水资源。厂区内防渗措施到位，无土壤、地下水环境污染途径，对照《建设项目环境影响报告表编制技术指南（污染影响类）（试行）》，不开展土壤、地下水环境质量现状调查。</w:t>
            </w:r>
          </w:p>
          <w:p w14:paraId="1ABF5144">
            <w:pPr>
              <w:widowControl/>
              <w:tabs>
                <w:tab w:val="left" w:pos="443"/>
              </w:tabs>
              <w:adjustRightInd w:val="0"/>
              <w:snapToGrid w:val="0"/>
              <w:spacing w:line="360" w:lineRule="auto"/>
              <w:ind w:firstLine="482" w:firstLineChars="200"/>
              <w:jc w:val="left"/>
              <w:rPr>
                <w:b/>
                <w:color w:val="auto"/>
                <w:kern w:val="0"/>
                <w:sz w:val="24"/>
                <w:szCs w:val="20"/>
              </w:rPr>
            </w:pPr>
            <w:r>
              <w:rPr>
                <w:rFonts w:hint="eastAsia"/>
                <w:b/>
                <w:color w:val="auto"/>
                <w:kern w:val="0"/>
                <w:sz w:val="24"/>
                <w:szCs w:val="20"/>
                <w:lang w:val="en-US" w:eastAsia="zh-CN"/>
              </w:rPr>
              <w:t>5</w:t>
            </w:r>
            <w:r>
              <w:rPr>
                <w:b/>
                <w:color w:val="auto"/>
                <w:kern w:val="0"/>
                <w:sz w:val="24"/>
                <w:szCs w:val="20"/>
              </w:rPr>
              <w:t>.</w:t>
            </w:r>
            <w:r>
              <w:rPr>
                <w:rFonts w:hAnsi="宋体"/>
                <w:b/>
                <w:color w:val="auto"/>
                <w:kern w:val="0"/>
                <w:sz w:val="24"/>
                <w:szCs w:val="20"/>
              </w:rPr>
              <w:t>生态环境质量现状</w:t>
            </w:r>
          </w:p>
          <w:p w14:paraId="7E80BA81">
            <w:pPr>
              <w:widowControl/>
              <w:adjustRightInd w:val="0"/>
              <w:snapToGrid w:val="0"/>
              <w:spacing w:line="360" w:lineRule="auto"/>
              <w:ind w:firstLine="480" w:firstLineChars="200"/>
              <w:jc w:val="left"/>
              <w:rPr>
                <w:color w:val="auto"/>
                <w:kern w:val="0"/>
                <w:sz w:val="24"/>
              </w:rPr>
            </w:pPr>
            <w:r>
              <w:rPr>
                <w:rFonts w:hAnsi="宋体"/>
                <w:color w:val="auto"/>
                <w:sz w:val="24"/>
              </w:rPr>
              <w:t>建设项目所在地位于江苏涟水经济开发区西区，属于合规的产业园区，且本项目</w:t>
            </w:r>
            <w:r>
              <w:rPr>
                <w:rFonts w:hint="eastAsia" w:hAnsi="宋体"/>
                <w:color w:val="auto"/>
                <w:sz w:val="24"/>
              </w:rPr>
              <w:t>在</w:t>
            </w:r>
            <w:r>
              <w:rPr>
                <w:rFonts w:hAnsi="宋体"/>
                <w:color w:val="auto"/>
                <w:sz w:val="24"/>
              </w:rPr>
              <w:t>现有厂房</w:t>
            </w:r>
            <w:r>
              <w:rPr>
                <w:rFonts w:hint="eastAsia" w:hAnsi="宋体"/>
                <w:color w:val="auto"/>
                <w:sz w:val="24"/>
              </w:rPr>
              <w:t>内实施</w:t>
            </w:r>
            <w:r>
              <w:rPr>
                <w:rFonts w:hAnsi="宋体"/>
                <w:color w:val="auto"/>
                <w:sz w:val="24"/>
              </w:rPr>
              <w:t>，</w:t>
            </w:r>
            <w:r>
              <w:rPr>
                <w:rFonts w:hint="eastAsia" w:hAnsi="宋体"/>
                <w:color w:val="auto"/>
                <w:sz w:val="24"/>
                <w:lang w:eastAsia="zh-CN"/>
              </w:rPr>
              <w:t>不是</w:t>
            </w:r>
            <w:r>
              <w:rPr>
                <w:rFonts w:hint="eastAsia" w:hAnsi="宋体"/>
                <w:color w:val="auto"/>
                <w:sz w:val="24"/>
              </w:rPr>
              <w:t>新鲜用地，</w:t>
            </w:r>
            <w:r>
              <w:rPr>
                <w:rFonts w:hAnsi="宋体"/>
                <w:color w:val="auto"/>
                <w:sz w:val="24"/>
              </w:rPr>
              <w:t>不涉及生态环境保护目标，故无需进行生态现状调查</w:t>
            </w:r>
            <w:r>
              <w:rPr>
                <w:rFonts w:hAnsi="宋体"/>
                <w:color w:val="auto"/>
                <w:kern w:val="0"/>
                <w:sz w:val="24"/>
              </w:rPr>
              <w:t>。</w:t>
            </w:r>
          </w:p>
          <w:p w14:paraId="54F94317">
            <w:pPr>
              <w:widowControl/>
              <w:autoSpaceDE w:val="0"/>
              <w:autoSpaceDN w:val="0"/>
              <w:adjustRightInd w:val="0"/>
              <w:snapToGrid w:val="0"/>
              <w:spacing w:line="360" w:lineRule="auto"/>
              <w:ind w:firstLine="482" w:firstLineChars="200"/>
              <w:jc w:val="left"/>
              <w:rPr>
                <w:b/>
                <w:color w:val="auto"/>
                <w:kern w:val="0"/>
                <w:sz w:val="24"/>
              </w:rPr>
            </w:pPr>
            <w:r>
              <w:rPr>
                <w:rFonts w:hint="eastAsia"/>
                <w:b/>
                <w:color w:val="auto"/>
                <w:kern w:val="0"/>
                <w:sz w:val="24"/>
                <w:lang w:val="en-US" w:eastAsia="zh-CN"/>
              </w:rPr>
              <w:t>6</w:t>
            </w:r>
            <w:r>
              <w:rPr>
                <w:b/>
                <w:color w:val="auto"/>
                <w:kern w:val="0"/>
                <w:sz w:val="24"/>
              </w:rPr>
              <w:t>.</w:t>
            </w:r>
            <w:r>
              <w:rPr>
                <w:rFonts w:hAnsi="宋体"/>
                <w:b/>
                <w:color w:val="auto"/>
                <w:kern w:val="0"/>
                <w:sz w:val="24"/>
              </w:rPr>
              <w:t>电磁辐射</w:t>
            </w:r>
          </w:p>
          <w:p w14:paraId="77469834">
            <w:pPr>
              <w:widowControl/>
              <w:adjustRightInd w:val="0"/>
              <w:snapToGrid w:val="0"/>
              <w:spacing w:line="360" w:lineRule="auto"/>
              <w:ind w:firstLine="480" w:firstLineChars="200"/>
              <w:jc w:val="left"/>
              <w:rPr>
                <w:color w:val="auto"/>
                <w:kern w:val="0"/>
                <w:sz w:val="24"/>
              </w:rPr>
            </w:pPr>
            <w:r>
              <w:rPr>
                <w:rFonts w:hAnsi="宋体"/>
                <w:color w:val="auto"/>
                <w:kern w:val="0"/>
                <w:sz w:val="24"/>
              </w:rPr>
              <w:t>建设项目不涉及电磁辐射环境影响。</w:t>
            </w:r>
          </w:p>
        </w:tc>
      </w:tr>
      <w:tr w14:paraId="5200E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Align w:val="center"/>
          </w:tcPr>
          <w:p w14:paraId="15EC8D4F">
            <w:pPr>
              <w:adjustRightInd w:val="0"/>
              <w:snapToGrid w:val="0"/>
              <w:jc w:val="center"/>
              <w:rPr>
                <w:b/>
                <w:bCs/>
                <w:color w:val="auto"/>
                <w:kern w:val="0"/>
                <w:szCs w:val="21"/>
              </w:rPr>
            </w:pPr>
            <w:r>
              <w:rPr>
                <w:rFonts w:hAnsi="宋体"/>
                <w:b/>
                <w:bCs/>
                <w:color w:val="auto"/>
                <w:kern w:val="0"/>
                <w:szCs w:val="21"/>
              </w:rPr>
              <w:t>环</w:t>
            </w:r>
          </w:p>
          <w:p w14:paraId="11436647">
            <w:pPr>
              <w:adjustRightInd w:val="0"/>
              <w:snapToGrid w:val="0"/>
              <w:jc w:val="center"/>
              <w:rPr>
                <w:b/>
                <w:bCs/>
                <w:color w:val="auto"/>
                <w:kern w:val="0"/>
                <w:szCs w:val="21"/>
              </w:rPr>
            </w:pPr>
            <w:r>
              <w:rPr>
                <w:rFonts w:hAnsi="宋体"/>
                <w:b/>
                <w:bCs/>
                <w:color w:val="auto"/>
                <w:kern w:val="0"/>
                <w:szCs w:val="21"/>
              </w:rPr>
              <w:t>境</w:t>
            </w:r>
          </w:p>
          <w:p w14:paraId="36C0D947">
            <w:pPr>
              <w:adjustRightInd w:val="0"/>
              <w:snapToGrid w:val="0"/>
              <w:jc w:val="center"/>
              <w:rPr>
                <w:b/>
                <w:bCs/>
                <w:color w:val="auto"/>
                <w:kern w:val="0"/>
                <w:szCs w:val="21"/>
              </w:rPr>
            </w:pPr>
            <w:r>
              <w:rPr>
                <w:rFonts w:hAnsi="宋体"/>
                <w:b/>
                <w:bCs/>
                <w:color w:val="auto"/>
                <w:kern w:val="0"/>
                <w:szCs w:val="21"/>
              </w:rPr>
              <w:t>保护</w:t>
            </w:r>
          </w:p>
          <w:p w14:paraId="2EFAAC0E">
            <w:pPr>
              <w:adjustRightInd w:val="0"/>
              <w:snapToGrid w:val="0"/>
              <w:jc w:val="center"/>
              <w:rPr>
                <w:b/>
                <w:bCs/>
                <w:color w:val="auto"/>
                <w:kern w:val="0"/>
                <w:szCs w:val="21"/>
              </w:rPr>
            </w:pPr>
            <w:r>
              <w:rPr>
                <w:rFonts w:hAnsi="宋体"/>
                <w:b/>
                <w:bCs/>
                <w:color w:val="auto"/>
                <w:kern w:val="0"/>
                <w:szCs w:val="21"/>
              </w:rPr>
              <w:t>目标</w:t>
            </w:r>
          </w:p>
        </w:tc>
        <w:tc>
          <w:tcPr>
            <w:tcW w:w="4766" w:type="pct"/>
            <w:vAlign w:val="center"/>
          </w:tcPr>
          <w:p w14:paraId="67655421">
            <w:pPr>
              <w:adjustRightInd w:val="0"/>
              <w:snapToGrid w:val="0"/>
              <w:spacing w:before="120" w:beforeLines="50" w:line="360" w:lineRule="auto"/>
              <w:ind w:firstLine="480" w:firstLineChars="200"/>
              <w:rPr>
                <w:color w:val="auto"/>
                <w:sz w:val="24"/>
              </w:rPr>
            </w:pPr>
            <w:r>
              <w:rPr>
                <w:rFonts w:hAnsi="宋体"/>
                <w:color w:val="auto"/>
                <w:sz w:val="24"/>
              </w:rPr>
              <w:t>建设项目位</w:t>
            </w:r>
            <w:r>
              <w:rPr>
                <w:rFonts w:hint="eastAsia" w:ascii="Times New Roman" w:hAnsi="宋体" w:eastAsia="宋体" w:cs="Times New Roman"/>
                <w:color w:val="auto"/>
                <w:sz w:val="24"/>
              </w:rPr>
              <w:t>于</w:t>
            </w:r>
            <w:r>
              <w:rPr>
                <w:rFonts w:hint="eastAsia" w:hAnsi="宋体" w:cs="Times New Roman"/>
                <w:color w:val="auto"/>
                <w:sz w:val="24"/>
                <w:lang w:val="en-US" w:eastAsia="zh-CN"/>
              </w:rPr>
              <w:t>江苏涟水经济开发区涟水路3号</w:t>
            </w:r>
            <w:r>
              <w:rPr>
                <w:rStyle w:val="39"/>
                <w:rFonts w:hAnsi="宋体"/>
                <w:color w:val="auto"/>
              </w:rPr>
              <w:t>，</w:t>
            </w:r>
            <w:r>
              <w:rPr>
                <w:rFonts w:hAnsi="宋体"/>
                <w:color w:val="auto"/>
                <w:sz w:val="24"/>
              </w:rPr>
              <w:t>项目周边状况详见</w:t>
            </w:r>
            <w:r>
              <w:rPr>
                <w:rFonts w:hAnsi="宋体"/>
                <w:b/>
                <w:color w:val="auto"/>
                <w:sz w:val="24"/>
              </w:rPr>
              <w:t>附图</w:t>
            </w:r>
            <w:r>
              <w:rPr>
                <w:rFonts w:hint="eastAsia"/>
                <w:b/>
                <w:color w:val="auto"/>
                <w:sz w:val="24"/>
                <w:lang w:val="en-US" w:eastAsia="zh-CN"/>
              </w:rPr>
              <w:t>6</w:t>
            </w:r>
            <w:r>
              <w:rPr>
                <w:rFonts w:hAnsi="宋体"/>
                <w:color w:val="auto"/>
                <w:sz w:val="24"/>
              </w:rPr>
              <w:t>。</w:t>
            </w:r>
          </w:p>
          <w:p w14:paraId="639FB5CC">
            <w:pPr>
              <w:tabs>
                <w:tab w:val="left" w:pos="1800"/>
              </w:tabs>
              <w:adjustRightInd w:val="0"/>
              <w:snapToGrid w:val="0"/>
              <w:spacing w:line="360" w:lineRule="auto"/>
              <w:ind w:firstLine="480" w:firstLineChars="200"/>
              <w:rPr>
                <w:color w:val="auto"/>
                <w:sz w:val="24"/>
                <w:szCs w:val="22"/>
              </w:rPr>
            </w:pPr>
            <w:r>
              <w:rPr>
                <w:rFonts w:hAnsi="宋体"/>
                <w:color w:val="auto"/>
                <w:sz w:val="24"/>
                <w:szCs w:val="22"/>
              </w:rPr>
              <w:t>根据项目的周边情况，确定主要环境保护目标见表</w:t>
            </w:r>
            <w:r>
              <w:rPr>
                <w:color w:val="auto"/>
                <w:sz w:val="24"/>
                <w:szCs w:val="22"/>
              </w:rPr>
              <w:t>3-</w:t>
            </w:r>
            <w:r>
              <w:rPr>
                <w:rFonts w:hint="eastAsia"/>
                <w:color w:val="auto"/>
                <w:sz w:val="24"/>
                <w:szCs w:val="22"/>
                <w:lang w:val="en-US" w:eastAsia="zh-CN"/>
              </w:rPr>
              <w:t>3</w:t>
            </w:r>
            <w:r>
              <w:rPr>
                <w:rFonts w:hAnsi="宋体"/>
                <w:color w:val="auto"/>
                <w:sz w:val="24"/>
                <w:szCs w:val="22"/>
              </w:rPr>
              <w:t>。</w:t>
            </w:r>
          </w:p>
          <w:p w14:paraId="1EC48D21">
            <w:pPr>
              <w:tabs>
                <w:tab w:val="left" w:pos="1800"/>
              </w:tabs>
              <w:adjustRightInd w:val="0"/>
              <w:snapToGrid w:val="0"/>
              <w:jc w:val="center"/>
              <w:rPr>
                <w:color w:val="auto"/>
              </w:rPr>
            </w:pPr>
            <w:r>
              <w:rPr>
                <w:rFonts w:hAnsi="宋体"/>
                <w:b/>
                <w:color w:val="auto"/>
                <w:sz w:val="24"/>
                <w:szCs w:val="22"/>
              </w:rPr>
              <w:t>表</w:t>
            </w:r>
            <w:r>
              <w:rPr>
                <w:b/>
                <w:color w:val="auto"/>
                <w:sz w:val="24"/>
                <w:szCs w:val="22"/>
              </w:rPr>
              <w:t>3-</w:t>
            </w:r>
            <w:r>
              <w:rPr>
                <w:rFonts w:hint="eastAsia"/>
                <w:b/>
                <w:color w:val="auto"/>
                <w:sz w:val="24"/>
                <w:szCs w:val="22"/>
                <w:lang w:val="en-US" w:eastAsia="zh-CN"/>
              </w:rPr>
              <w:t>3</w:t>
            </w:r>
            <w:r>
              <w:rPr>
                <w:rFonts w:hAnsi="宋体"/>
                <w:b/>
                <w:color w:val="auto"/>
                <w:sz w:val="24"/>
                <w:szCs w:val="22"/>
              </w:rPr>
              <w:t>主要环境保护目标</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04"/>
              <w:gridCol w:w="782"/>
              <w:gridCol w:w="264"/>
              <w:gridCol w:w="956"/>
              <w:gridCol w:w="859"/>
              <w:gridCol w:w="765"/>
              <w:gridCol w:w="896"/>
              <w:gridCol w:w="1046"/>
              <w:gridCol w:w="2246"/>
            </w:tblGrid>
            <w:tr w14:paraId="0E689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vMerge w:val="restart"/>
                  <w:vAlign w:val="center"/>
                </w:tcPr>
                <w:p w14:paraId="6542466C">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w:t>
                  </w:r>
                </w:p>
                <w:p w14:paraId="11213020">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要素</w:t>
                  </w:r>
                </w:p>
              </w:tc>
              <w:tc>
                <w:tcPr>
                  <w:tcW w:w="1189" w:type="pct"/>
                  <w:gridSpan w:val="3"/>
                  <w:vAlign w:val="center"/>
                </w:tcPr>
                <w:p w14:paraId="78F187A8">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w:t>
                  </w:r>
                </w:p>
              </w:tc>
              <w:tc>
                <w:tcPr>
                  <w:tcW w:w="510" w:type="pct"/>
                  <w:vMerge w:val="restart"/>
                  <w:vAlign w:val="center"/>
                </w:tcPr>
                <w:p w14:paraId="7268A829">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保护对象</w:t>
                  </w:r>
                </w:p>
              </w:tc>
              <w:tc>
                <w:tcPr>
                  <w:tcW w:w="454" w:type="pct"/>
                  <w:vMerge w:val="restart"/>
                  <w:vAlign w:val="center"/>
                </w:tcPr>
                <w:p w14:paraId="27E62978">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保护内容</w:t>
                  </w:r>
                </w:p>
                <w:p w14:paraId="694CE7EA">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（人）</w:t>
                  </w:r>
                </w:p>
              </w:tc>
              <w:tc>
                <w:tcPr>
                  <w:tcW w:w="532" w:type="pct"/>
                  <w:vMerge w:val="restart"/>
                  <w:vAlign w:val="center"/>
                </w:tcPr>
                <w:p w14:paraId="3E5865E0">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相对厂址方位</w:t>
                  </w:r>
                </w:p>
              </w:tc>
              <w:tc>
                <w:tcPr>
                  <w:tcW w:w="621" w:type="pct"/>
                  <w:vMerge w:val="restart"/>
                  <w:vAlign w:val="center"/>
                </w:tcPr>
                <w:p w14:paraId="6ADBC569">
                  <w:pPr>
                    <w:tabs>
                      <w:tab w:val="left" w:pos="1800"/>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相对厂界距离（米）</w:t>
                  </w:r>
                </w:p>
              </w:tc>
              <w:tc>
                <w:tcPr>
                  <w:tcW w:w="1332" w:type="pct"/>
                  <w:vMerge w:val="restart"/>
                  <w:vAlign w:val="center"/>
                </w:tcPr>
                <w:p w14:paraId="676FFC88">
                  <w:pPr>
                    <w:tabs>
                      <w:tab w:val="left" w:pos="1800"/>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环境功能区</w:t>
                  </w:r>
                </w:p>
              </w:tc>
            </w:tr>
            <w:tr w14:paraId="30DD2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9" w:type="pct"/>
                  <w:vMerge w:val="continue"/>
                  <w:vAlign w:val="center"/>
                </w:tcPr>
                <w:p w14:paraId="29D41EC1">
                  <w:pPr>
                    <w:adjustRightInd w:val="0"/>
                    <w:snapToGrid w:val="0"/>
                    <w:jc w:val="center"/>
                    <w:rPr>
                      <w:rFonts w:hint="default" w:ascii="Times New Roman" w:hAnsi="Times New Roman" w:cs="Times New Roman"/>
                      <w:bCs/>
                      <w:color w:val="auto"/>
                      <w:sz w:val="21"/>
                      <w:szCs w:val="21"/>
                    </w:rPr>
                  </w:pPr>
                </w:p>
              </w:tc>
              <w:tc>
                <w:tcPr>
                  <w:tcW w:w="621" w:type="pct"/>
                  <w:gridSpan w:val="2"/>
                  <w:vAlign w:val="center"/>
                </w:tcPr>
                <w:p w14:paraId="47993ECC">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经度</w:t>
                  </w:r>
                </w:p>
              </w:tc>
              <w:tc>
                <w:tcPr>
                  <w:tcW w:w="567" w:type="pct"/>
                  <w:vAlign w:val="center"/>
                </w:tcPr>
                <w:p w14:paraId="1CA4D700">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纬度</w:t>
                  </w:r>
                </w:p>
              </w:tc>
              <w:tc>
                <w:tcPr>
                  <w:tcW w:w="510" w:type="pct"/>
                  <w:vMerge w:val="continue"/>
                  <w:vAlign w:val="center"/>
                </w:tcPr>
                <w:p w14:paraId="2BEDB471">
                  <w:pPr>
                    <w:adjustRightInd w:val="0"/>
                    <w:snapToGrid w:val="0"/>
                    <w:jc w:val="center"/>
                    <w:rPr>
                      <w:rFonts w:hint="default" w:ascii="Times New Roman" w:hAnsi="Times New Roman" w:cs="Times New Roman"/>
                      <w:bCs/>
                      <w:color w:val="auto"/>
                      <w:sz w:val="21"/>
                      <w:szCs w:val="21"/>
                    </w:rPr>
                  </w:pPr>
                </w:p>
              </w:tc>
              <w:tc>
                <w:tcPr>
                  <w:tcW w:w="454" w:type="pct"/>
                  <w:vMerge w:val="continue"/>
                  <w:vAlign w:val="center"/>
                </w:tcPr>
                <w:p w14:paraId="3E5356C9">
                  <w:pPr>
                    <w:adjustRightInd w:val="0"/>
                    <w:snapToGrid w:val="0"/>
                    <w:jc w:val="center"/>
                    <w:rPr>
                      <w:rFonts w:hint="default" w:ascii="Times New Roman" w:hAnsi="Times New Roman" w:cs="Times New Roman"/>
                      <w:bCs/>
                      <w:color w:val="auto"/>
                      <w:sz w:val="21"/>
                      <w:szCs w:val="21"/>
                    </w:rPr>
                  </w:pPr>
                </w:p>
              </w:tc>
              <w:tc>
                <w:tcPr>
                  <w:tcW w:w="532" w:type="pct"/>
                  <w:vMerge w:val="continue"/>
                  <w:vAlign w:val="center"/>
                </w:tcPr>
                <w:p w14:paraId="4054626D">
                  <w:pPr>
                    <w:adjustRightInd w:val="0"/>
                    <w:snapToGrid w:val="0"/>
                    <w:jc w:val="center"/>
                    <w:rPr>
                      <w:rFonts w:hint="default" w:ascii="Times New Roman" w:hAnsi="Times New Roman" w:cs="Times New Roman"/>
                      <w:bCs/>
                      <w:color w:val="auto"/>
                      <w:sz w:val="21"/>
                      <w:szCs w:val="21"/>
                    </w:rPr>
                  </w:pPr>
                </w:p>
              </w:tc>
              <w:tc>
                <w:tcPr>
                  <w:tcW w:w="621" w:type="pct"/>
                  <w:vMerge w:val="continue"/>
                  <w:vAlign w:val="center"/>
                </w:tcPr>
                <w:p w14:paraId="6E08A3AA">
                  <w:pPr>
                    <w:adjustRightInd w:val="0"/>
                    <w:snapToGrid w:val="0"/>
                    <w:jc w:val="center"/>
                    <w:rPr>
                      <w:rFonts w:hint="default" w:ascii="Times New Roman" w:hAnsi="Times New Roman" w:cs="Times New Roman"/>
                      <w:color w:val="auto"/>
                      <w:sz w:val="21"/>
                      <w:szCs w:val="21"/>
                    </w:rPr>
                  </w:pPr>
                </w:p>
              </w:tc>
              <w:tc>
                <w:tcPr>
                  <w:tcW w:w="1332" w:type="pct"/>
                  <w:vMerge w:val="continue"/>
                  <w:vAlign w:val="center"/>
                </w:tcPr>
                <w:p w14:paraId="562BB3C0">
                  <w:pPr>
                    <w:adjustRightInd w:val="0"/>
                    <w:snapToGrid w:val="0"/>
                    <w:jc w:val="center"/>
                    <w:rPr>
                      <w:rFonts w:hint="default" w:ascii="Times New Roman" w:hAnsi="Times New Roman" w:cs="Times New Roman"/>
                      <w:color w:val="auto"/>
                      <w:sz w:val="21"/>
                      <w:szCs w:val="21"/>
                    </w:rPr>
                  </w:pPr>
                </w:p>
              </w:tc>
            </w:tr>
            <w:tr w14:paraId="7F2CC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359" w:type="pct"/>
                  <w:vAlign w:val="center"/>
                </w:tcPr>
                <w:p w14:paraId="41F3208A">
                  <w:pPr>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大气环境</w:t>
                  </w:r>
                </w:p>
              </w:tc>
              <w:tc>
                <w:tcPr>
                  <w:tcW w:w="621" w:type="pct"/>
                  <w:gridSpan w:val="2"/>
                  <w:shd w:val="clear" w:color="auto" w:fill="auto"/>
                  <w:vAlign w:val="center"/>
                </w:tcPr>
                <w:p w14:paraId="5B6445D4">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szCs w:val="21"/>
                    </w:rPr>
                    <w:t>1</w:t>
                  </w:r>
                  <w:r>
                    <w:rPr>
                      <w:color w:val="auto"/>
                      <w:szCs w:val="21"/>
                    </w:rPr>
                    <w:t>19.216809</w:t>
                  </w:r>
                </w:p>
              </w:tc>
              <w:tc>
                <w:tcPr>
                  <w:tcW w:w="567" w:type="pct"/>
                  <w:shd w:val="clear" w:color="auto" w:fill="auto"/>
                  <w:vAlign w:val="center"/>
                </w:tcPr>
                <w:p w14:paraId="3B5946B9">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szCs w:val="21"/>
                    </w:rPr>
                    <w:t>3</w:t>
                  </w:r>
                  <w:r>
                    <w:rPr>
                      <w:color w:val="auto"/>
                      <w:szCs w:val="21"/>
                    </w:rPr>
                    <w:t>3.777573</w:t>
                  </w:r>
                </w:p>
              </w:tc>
              <w:tc>
                <w:tcPr>
                  <w:tcW w:w="510" w:type="pct"/>
                  <w:shd w:val="clear" w:color="auto" w:fill="auto"/>
                  <w:vAlign w:val="center"/>
                </w:tcPr>
                <w:p w14:paraId="7F983E52">
                  <w:pPr>
                    <w:pStyle w:val="145"/>
                    <w:rPr>
                      <w:rFonts w:hint="default" w:ascii="Times New Roman" w:hAnsi="Times New Roman" w:eastAsia="宋体" w:cs="Times New Roman"/>
                      <w:color w:val="auto"/>
                      <w:kern w:val="2"/>
                      <w:sz w:val="21"/>
                      <w:szCs w:val="21"/>
                      <w:lang w:val="en-US" w:eastAsia="zh-CN" w:bidi="ar-SA"/>
                    </w:rPr>
                  </w:pPr>
                  <w:r>
                    <w:rPr>
                      <w:rFonts w:hint="eastAsia"/>
                      <w:color w:val="auto"/>
                    </w:rPr>
                    <w:t>涟水妇幼保健院</w:t>
                  </w:r>
                </w:p>
              </w:tc>
              <w:tc>
                <w:tcPr>
                  <w:tcW w:w="454" w:type="pct"/>
                  <w:shd w:val="clear" w:color="auto" w:fill="auto"/>
                  <w:vAlign w:val="center"/>
                </w:tcPr>
                <w:p w14:paraId="1EDC36EA">
                  <w:pPr>
                    <w:jc w:val="center"/>
                    <w:rPr>
                      <w:rFonts w:hint="default" w:ascii="Times New Roman" w:hAnsi="Times New Roman" w:eastAsia="宋体" w:cs="Times New Roman"/>
                      <w:color w:val="auto"/>
                      <w:kern w:val="2"/>
                      <w:sz w:val="21"/>
                      <w:szCs w:val="24"/>
                      <w:lang w:val="en-US" w:eastAsia="zh-CN" w:bidi="ar-SA"/>
                    </w:rPr>
                  </w:pPr>
                  <w:r>
                    <w:rPr>
                      <w:rFonts w:hint="eastAsia"/>
                      <w:color w:val="auto"/>
                      <w:szCs w:val="21"/>
                    </w:rPr>
                    <w:t>5</w:t>
                  </w:r>
                  <w:r>
                    <w:rPr>
                      <w:color w:val="auto"/>
                      <w:szCs w:val="21"/>
                    </w:rPr>
                    <w:t>0</w:t>
                  </w:r>
                </w:p>
              </w:tc>
              <w:tc>
                <w:tcPr>
                  <w:tcW w:w="532" w:type="pct"/>
                  <w:shd w:val="clear" w:color="auto" w:fill="auto"/>
                  <w:vAlign w:val="center"/>
                </w:tcPr>
                <w:p w14:paraId="3FB3FF59">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szCs w:val="21"/>
                    </w:rPr>
                    <w:t>南</w:t>
                  </w:r>
                </w:p>
              </w:tc>
              <w:tc>
                <w:tcPr>
                  <w:tcW w:w="621" w:type="pct"/>
                  <w:shd w:val="clear" w:color="auto" w:fill="auto"/>
                  <w:vAlign w:val="center"/>
                </w:tcPr>
                <w:p w14:paraId="2C1ED590">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szCs w:val="21"/>
                    </w:rPr>
                    <w:t>4</w:t>
                  </w:r>
                  <w:r>
                    <w:rPr>
                      <w:color w:val="auto"/>
                      <w:szCs w:val="21"/>
                    </w:rPr>
                    <w:t>80</w:t>
                  </w:r>
                </w:p>
              </w:tc>
              <w:tc>
                <w:tcPr>
                  <w:tcW w:w="1332" w:type="pct"/>
                  <w:vAlign w:val="center"/>
                </w:tcPr>
                <w:p w14:paraId="788C0183">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《环境空气质量标准》（GB3095-2012）及其修改的二级标准</w:t>
                  </w:r>
                </w:p>
              </w:tc>
            </w:tr>
            <w:tr w14:paraId="4EA2C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359" w:type="pct"/>
                  <w:vAlign w:val="center"/>
                </w:tcPr>
                <w:p w14:paraId="1B6A99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4640" w:type="pct"/>
                  <w:gridSpan w:val="8"/>
                  <w:vAlign w:val="center"/>
                </w:tcPr>
                <w:p w14:paraId="7B753FEB">
                  <w:pPr>
                    <w:tabs>
                      <w:tab w:val="left" w:pos="1800"/>
                    </w:tabs>
                    <w:adjustRightInd w:val="0"/>
                    <w:snapToGrid w:val="0"/>
                    <w:jc w:val="center"/>
                    <w:rPr>
                      <w:rFonts w:hint="default" w:ascii="Times New Roman" w:hAnsi="Times New Roman" w:cs="Times New Roman"/>
                      <w:color w:val="auto"/>
                      <w:sz w:val="21"/>
                      <w:szCs w:val="21"/>
                    </w:rPr>
                  </w:pPr>
                  <w:r>
                    <w:rPr>
                      <w:rFonts w:hint="eastAsia" w:hAnsiTheme="minorEastAsia" w:eastAsiaTheme="minorEastAsia"/>
                      <w:color w:val="auto"/>
                      <w:sz w:val="21"/>
                      <w:szCs w:val="21"/>
                    </w:rPr>
                    <w:t>建设项目</w:t>
                  </w:r>
                  <w:r>
                    <w:rPr>
                      <w:rFonts w:hAnsiTheme="minorEastAsia" w:eastAsiaTheme="minorEastAsia"/>
                      <w:color w:val="auto"/>
                      <w:sz w:val="21"/>
                      <w:szCs w:val="21"/>
                    </w:rPr>
                    <w:t>厂界外</w:t>
                  </w:r>
                  <w:r>
                    <w:rPr>
                      <w:rFonts w:eastAsiaTheme="minorEastAsia"/>
                      <w:color w:val="auto"/>
                      <w:sz w:val="21"/>
                      <w:szCs w:val="21"/>
                    </w:rPr>
                    <w:t>50</w:t>
                  </w:r>
                  <w:r>
                    <w:rPr>
                      <w:rFonts w:hAnsiTheme="minorEastAsia" w:eastAsiaTheme="minorEastAsia"/>
                      <w:color w:val="auto"/>
                      <w:sz w:val="21"/>
                      <w:szCs w:val="21"/>
                    </w:rPr>
                    <w:t>米范围内无声环境保护目标</w:t>
                  </w:r>
                </w:p>
              </w:tc>
            </w:tr>
            <w:tr w14:paraId="6CB57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823" w:type="pct"/>
                  <w:gridSpan w:val="2"/>
                  <w:vAlign w:val="center"/>
                </w:tcPr>
                <w:p w14:paraId="09CCD7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1234" w:type="pct"/>
                  <w:gridSpan w:val="3"/>
                  <w:vAlign w:val="center"/>
                </w:tcPr>
                <w:p w14:paraId="5686BE01">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公兴河</w:t>
                  </w:r>
                </w:p>
              </w:tc>
              <w:tc>
                <w:tcPr>
                  <w:tcW w:w="454" w:type="pct"/>
                  <w:vAlign w:val="center"/>
                </w:tcPr>
                <w:p w14:paraId="2065BF75">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纳污河</w:t>
                  </w:r>
                </w:p>
              </w:tc>
              <w:tc>
                <w:tcPr>
                  <w:tcW w:w="532" w:type="pct"/>
                  <w:vAlign w:val="center"/>
                </w:tcPr>
                <w:p w14:paraId="6290DE15">
                  <w:pPr>
                    <w:tabs>
                      <w:tab w:val="left" w:pos="1800"/>
                    </w:tabs>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N</w:t>
                  </w:r>
                </w:p>
              </w:tc>
              <w:tc>
                <w:tcPr>
                  <w:tcW w:w="621" w:type="pct"/>
                  <w:vAlign w:val="center"/>
                </w:tcPr>
                <w:p w14:paraId="405283C7">
                  <w:pPr>
                    <w:tabs>
                      <w:tab w:val="left" w:pos="180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8150</w:t>
                  </w:r>
                </w:p>
              </w:tc>
              <w:tc>
                <w:tcPr>
                  <w:tcW w:w="1332" w:type="pct"/>
                  <w:vAlign w:val="center"/>
                </w:tcPr>
                <w:p w14:paraId="27AC42CC">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《地表水环境质量标准》（GB3838-2002）Ⅲ类标准</w:t>
                  </w:r>
                </w:p>
              </w:tc>
            </w:tr>
            <w:tr w14:paraId="43DDD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3" w:type="pct"/>
                  <w:gridSpan w:val="2"/>
                  <w:vAlign w:val="center"/>
                </w:tcPr>
                <w:p w14:paraId="69A68363">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w:t>
                  </w:r>
                </w:p>
              </w:tc>
              <w:tc>
                <w:tcPr>
                  <w:tcW w:w="4176" w:type="pct"/>
                  <w:gridSpan w:val="7"/>
                  <w:vAlign w:val="center"/>
                </w:tcPr>
                <w:p w14:paraId="6CD74277">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厂界外500米范围内无地下水集中式饮用水水源和热水、矿泉水、温泉等特殊地下水资源</w:t>
                  </w:r>
                </w:p>
              </w:tc>
            </w:tr>
            <w:tr w14:paraId="69E2F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3" w:type="pct"/>
                  <w:gridSpan w:val="2"/>
                  <w:vAlign w:val="center"/>
                </w:tcPr>
                <w:p w14:paraId="18D3854F">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生态环境</w:t>
                  </w:r>
                </w:p>
              </w:tc>
              <w:tc>
                <w:tcPr>
                  <w:tcW w:w="1689" w:type="pct"/>
                  <w:gridSpan w:val="4"/>
                  <w:vAlign w:val="center"/>
                </w:tcPr>
                <w:p w14:paraId="14F7E42F">
                  <w:pPr>
                    <w:tabs>
                      <w:tab w:val="left" w:pos="1800"/>
                    </w:tabs>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江苏淮安涟水古淮河省级湿地公园</w:t>
                  </w:r>
                </w:p>
              </w:tc>
              <w:tc>
                <w:tcPr>
                  <w:tcW w:w="532" w:type="pct"/>
                  <w:vAlign w:val="center"/>
                </w:tcPr>
                <w:p w14:paraId="08F3BF7C">
                  <w:pPr>
                    <w:tabs>
                      <w:tab w:val="left" w:pos="180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t>
                  </w:r>
                </w:p>
              </w:tc>
              <w:tc>
                <w:tcPr>
                  <w:tcW w:w="621" w:type="pct"/>
                  <w:vAlign w:val="center"/>
                </w:tcPr>
                <w:p w14:paraId="3BF5C33B">
                  <w:pPr>
                    <w:tabs>
                      <w:tab w:val="left" w:pos="1800"/>
                    </w:tabs>
                    <w:adjustRightInd w:val="0"/>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4260</w:t>
                  </w:r>
                </w:p>
              </w:tc>
              <w:tc>
                <w:tcPr>
                  <w:tcW w:w="1332" w:type="pct"/>
                  <w:vAlign w:val="center"/>
                </w:tcPr>
                <w:p w14:paraId="7385DD77">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自然保护区</w:t>
                  </w:r>
                </w:p>
              </w:tc>
            </w:tr>
          </w:tbl>
          <w:p w14:paraId="456131C2">
            <w:pPr>
              <w:autoSpaceDE w:val="0"/>
              <w:autoSpaceDN w:val="0"/>
              <w:snapToGrid w:val="0"/>
              <w:jc w:val="left"/>
              <w:rPr>
                <w:color w:val="auto"/>
              </w:rPr>
            </w:pPr>
          </w:p>
        </w:tc>
      </w:tr>
      <w:tr w14:paraId="467DC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2" w:hRule="atLeast"/>
          <w:jc w:val="center"/>
        </w:trPr>
        <w:tc>
          <w:tcPr>
            <w:tcW w:w="234" w:type="pct"/>
            <w:tcMar>
              <w:left w:w="28" w:type="dxa"/>
              <w:right w:w="28" w:type="dxa"/>
            </w:tcMar>
            <w:vAlign w:val="center"/>
          </w:tcPr>
          <w:p w14:paraId="7C7D8500">
            <w:pPr>
              <w:adjustRightInd w:val="0"/>
              <w:snapToGrid w:val="0"/>
              <w:jc w:val="center"/>
              <w:rPr>
                <w:b/>
                <w:bCs/>
                <w:color w:val="auto"/>
                <w:kern w:val="0"/>
                <w:sz w:val="24"/>
              </w:rPr>
            </w:pPr>
            <w:r>
              <w:rPr>
                <w:rFonts w:hAnsi="宋体"/>
                <w:b/>
                <w:bCs/>
                <w:color w:val="auto"/>
                <w:kern w:val="0"/>
                <w:sz w:val="24"/>
              </w:rPr>
              <w:t>污染</w:t>
            </w:r>
          </w:p>
          <w:p w14:paraId="20253DB6">
            <w:pPr>
              <w:adjustRightInd w:val="0"/>
              <w:snapToGrid w:val="0"/>
              <w:jc w:val="center"/>
              <w:rPr>
                <w:b/>
                <w:bCs/>
                <w:color w:val="auto"/>
                <w:kern w:val="0"/>
                <w:sz w:val="24"/>
              </w:rPr>
            </w:pPr>
            <w:r>
              <w:rPr>
                <w:rFonts w:hAnsi="宋体"/>
                <w:b/>
                <w:bCs/>
                <w:color w:val="auto"/>
                <w:kern w:val="0"/>
                <w:sz w:val="24"/>
              </w:rPr>
              <w:t>物排</w:t>
            </w:r>
          </w:p>
          <w:p w14:paraId="53E8E57A">
            <w:pPr>
              <w:adjustRightInd w:val="0"/>
              <w:snapToGrid w:val="0"/>
              <w:jc w:val="center"/>
              <w:rPr>
                <w:b/>
                <w:bCs/>
                <w:color w:val="auto"/>
                <w:kern w:val="0"/>
                <w:sz w:val="24"/>
              </w:rPr>
            </w:pPr>
            <w:r>
              <w:rPr>
                <w:rFonts w:hAnsi="宋体"/>
                <w:b/>
                <w:bCs/>
                <w:color w:val="auto"/>
                <w:kern w:val="0"/>
                <w:sz w:val="24"/>
              </w:rPr>
              <w:t>放控</w:t>
            </w:r>
          </w:p>
          <w:p w14:paraId="66E0C2F1">
            <w:pPr>
              <w:adjustRightInd w:val="0"/>
              <w:snapToGrid w:val="0"/>
              <w:jc w:val="center"/>
              <w:rPr>
                <w:b/>
                <w:bCs/>
                <w:color w:val="auto"/>
                <w:kern w:val="0"/>
                <w:sz w:val="24"/>
              </w:rPr>
            </w:pPr>
            <w:r>
              <w:rPr>
                <w:rFonts w:hAnsi="宋体"/>
                <w:b/>
                <w:bCs/>
                <w:color w:val="auto"/>
                <w:kern w:val="0"/>
                <w:sz w:val="24"/>
              </w:rPr>
              <w:t>制标</w:t>
            </w:r>
          </w:p>
          <w:p w14:paraId="2FB6A141">
            <w:pPr>
              <w:adjustRightInd w:val="0"/>
              <w:snapToGrid w:val="0"/>
              <w:jc w:val="center"/>
              <w:rPr>
                <w:b/>
                <w:bCs/>
                <w:color w:val="auto"/>
                <w:kern w:val="0"/>
                <w:sz w:val="24"/>
              </w:rPr>
            </w:pPr>
            <w:r>
              <w:rPr>
                <w:rFonts w:hAnsi="宋体"/>
                <w:b/>
                <w:bCs/>
                <w:color w:val="auto"/>
                <w:kern w:val="0"/>
                <w:sz w:val="24"/>
              </w:rPr>
              <w:t>准</w:t>
            </w:r>
          </w:p>
        </w:tc>
        <w:tc>
          <w:tcPr>
            <w:tcW w:w="4766" w:type="pct"/>
          </w:tcPr>
          <w:p w14:paraId="57B463DC">
            <w:pPr>
              <w:widowControl/>
              <w:adjustRightInd w:val="0"/>
              <w:snapToGrid w:val="0"/>
              <w:spacing w:line="360" w:lineRule="auto"/>
              <w:ind w:firstLine="482" w:firstLineChars="200"/>
              <w:rPr>
                <w:b/>
                <w:color w:val="auto"/>
                <w:kern w:val="0"/>
                <w:sz w:val="24"/>
                <w:szCs w:val="20"/>
              </w:rPr>
            </w:pPr>
            <w:r>
              <w:rPr>
                <w:b/>
                <w:color w:val="auto"/>
                <w:kern w:val="0"/>
                <w:sz w:val="24"/>
                <w:szCs w:val="20"/>
              </w:rPr>
              <w:t>1.</w:t>
            </w:r>
            <w:r>
              <w:rPr>
                <w:rFonts w:hAnsi="宋体"/>
                <w:b/>
                <w:color w:val="auto"/>
                <w:kern w:val="0"/>
                <w:sz w:val="24"/>
                <w:szCs w:val="20"/>
              </w:rPr>
              <w:t>废气</w:t>
            </w:r>
          </w:p>
          <w:p w14:paraId="53759FA1">
            <w:pPr>
              <w:autoSpaceDE w:val="0"/>
              <w:autoSpaceDN w:val="0"/>
              <w:adjustRightInd w:val="0"/>
              <w:spacing w:line="360" w:lineRule="auto"/>
              <w:ind w:firstLine="480" w:firstLineChars="200"/>
              <w:rPr>
                <w:color w:val="auto"/>
                <w:sz w:val="24"/>
              </w:rPr>
            </w:pPr>
            <w:r>
              <w:rPr>
                <w:rFonts w:hint="eastAsia"/>
                <w:color w:val="auto"/>
                <w:sz w:val="24"/>
                <w:lang w:eastAsia="zh-CN"/>
              </w:rPr>
              <w:t>扩建</w:t>
            </w:r>
            <w:r>
              <w:rPr>
                <w:color w:val="auto"/>
                <w:sz w:val="24"/>
              </w:rPr>
              <w:t>项目污水处理站无组织氨、硫化氢浓度排放执行《恶臭污染物排放标准》（GB14554-93）中</w:t>
            </w:r>
            <w:r>
              <w:rPr>
                <w:rFonts w:hint="eastAsia"/>
                <w:color w:val="auto"/>
                <w:sz w:val="24"/>
              </w:rPr>
              <w:t>表1恶臭污染物</w:t>
            </w:r>
            <w:r>
              <w:rPr>
                <w:color w:val="auto"/>
                <w:sz w:val="24"/>
              </w:rPr>
              <w:t>厂界标准值中的二级（新扩改建）排放标准，具体详见表3-</w:t>
            </w:r>
            <w:r>
              <w:rPr>
                <w:rFonts w:hint="eastAsia"/>
                <w:color w:val="auto"/>
                <w:sz w:val="24"/>
                <w:lang w:val="en-US" w:eastAsia="zh-CN"/>
              </w:rPr>
              <w:t>4</w:t>
            </w:r>
            <w:r>
              <w:rPr>
                <w:color w:val="auto"/>
                <w:sz w:val="24"/>
              </w:rPr>
              <w:t>。</w:t>
            </w:r>
          </w:p>
          <w:p w14:paraId="73C632B9">
            <w:pPr>
              <w:pStyle w:val="10"/>
              <w:spacing w:before="120"/>
              <w:ind w:left="960" w:hanging="480"/>
              <w:rPr>
                <w:rFonts w:eastAsia="宋体"/>
                <w:color w:val="auto"/>
              </w:rPr>
            </w:pPr>
            <w:r>
              <w:rPr>
                <w:rFonts w:eastAsia="宋体"/>
                <w:color w:val="auto"/>
              </w:rPr>
              <w:t>表3-</w:t>
            </w:r>
            <w:r>
              <w:rPr>
                <w:rFonts w:hint="eastAsia" w:eastAsia="宋体"/>
                <w:color w:val="auto"/>
                <w:lang w:val="en-US" w:eastAsia="zh-CN"/>
              </w:rPr>
              <w:t>4</w:t>
            </w:r>
            <w:r>
              <w:rPr>
                <w:rFonts w:eastAsia="宋体"/>
                <w:color w:val="auto"/>
              </w:rPr>
              <w:t xml:space="preserve"> 恶臭污染物厂界标准限值</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263"/>
              <w:gridCol w:w="4884"/>
            </w:tblGrid>
            <w:tr w14:paraId="2641E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op w:val="single" w:color="auto" w:sz="12" w:space="0"/>
                    <w:bottom w:val="single" w:color="auto" w:sz="12" w:space="0"/>
                  </w:tcBorders>
                  <w:noWrap/>
                  <w:vAlign w:val="center"/>
                </w:tcPr>
                <w:p w14:paraId="116953AB">
                  <w:pPr>
                    <w:jc w:val="center"/>
                    <w:rPr>
                      <w:b/>
                      <w:bCs/>
                      <w:color w:val="auto"/>
                      <w:szCs w:val="21"/>
                    </w:rPr>
                  </w:pPr>
                  <w:r>
                    <w:rPr>
                      <w:rFonts w:hint="eastAsia"/>
                      <w:b/>
                      <w:bCs/>
                      <w:color w:val="auto"/>
                      <w:szCs w:val="21"/>
                    </w:rPr>
                    <w:t>污染物名称</w:t>
                  </w:r>
                </w:p>
              </w:tc>
              <w:tc>
                <w:tcPr>
                  <w:tcW w:w="2110" w:type="pct"/>
                  <w:tcBorders>
                    <w:top w:val="single" w:color="auto" w:sz="12" w:space="0"/>
                    <w:bottom w:val="single" w:color="auto" w:sz="12" w:space="0"/>
                  </w:tcBorders>
                  <w:vAlign w:val="center"/>
                </w:tcPr>
                <w:p w14:paraId="0934DDC3">
                  <w:pPr>
                    <w:jc w:val="center"/>
                    <w:rPr>
                      <w:b/>
                      <w:bCs/>
                      <w:color w:val="auto"/>
                      <w:szCs w:val="21"/>
                    </w:rPr>
                  </w:pPr>
                  <w:r>
                    <w:rPr>
                      <w:rFonts w:hint="eastAsia"/>
                      <w:b/>
                      <w:bCs/>
                      <w:color w:val="auto"/>
                      <w:szCs w:val="21"/>
                    </w:rPr>
                    <w:t>二级新改扩建排放标准（</w:t>
                  </w:r>
                  <w:r>
                    <w:rPr>
                      <w:b/>
                      <w:color w:val="auto"/>
                      <w:szCs w:val="21"/>
                    </w:rPr>
                    <w:t>mg/m</w:t>
                  </w:r>
                  <w:r>
                    <w:rPr>
                      <w:b/>
                      <w:color w:val="auto"/>
                      <w:szCs w:val="21"/>
                      <w:vertAlign w:val="superscript"/>
                    </w:rPr>
                    <w:t>3</w:t>
                  </w:r>
                  <w:r>
                    <w:rPr>
                      <w:rFonts w:hint="eastAsia"/>
                      <w:b/>
                      <w:bCs/>
                      <w:color w:val="auto"/>
                      <w:szCs w:val="21"/>
                    </w:rPr>
                    <w:t>）</w:t>
                  </w:r>
                </w:p>
              </w:tc>
              <w:tc>
                <w:tcPr>
                  <w:tcW w:w="2111" w:type="pct"/>
                  <w:tcBorders>
                    <w:top w:val="single" w:color="auto" w:sz="12" w:space="0"/>
                    <w:bottom w:val="single" w:color="auto" w:sz="12" w:space="0"/>
                  </w:tcBorders>
                  <w:noWrap/>
                  <w:vAlign w:val="center"/>
                </w:tcPr>
                <w:p w14:paraId="58A61DBF">
                  <w:pPr>
                    <w:jc w:val="center"/>
                    <w:rPr>
                      <w:b/>
                      <w:bCs/>
                      <w:color w:val="auto"/>
                      <w:szCs w:val="21"/>
                    </w:rPr>
                  </w:pPr>
                  <w:r>
                    <w:rPr>
                      <w:rFonts w:hint="eastAsia"/>
                      <w:b/>
                      <w:bCs/>
                      <w:color w:val="auto"/>
                      <w:szCs w:val="21"/>
                    </w:rPr>
                    <w:t>标准来源</w:t>
                  </w:r>
                </w:p>
              </w:tc>
            </w:tr>
            <w:tr w14:paraId="00DD4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op w:val="single" w:color="auto" w:sz="12" w:space="0"/>
                  </w:tcBorders>
                  <w:noWrap/>
                  <w:vAlign w:val="center"/>
                </w:tcPr>
                <w:p w14:paraId="6FA99E82">
                  <w:pPr>
                    <w:jc w:val="center"/>
                    <w:rPr>
                      <w:color w:val="auto"/>
                      <w:szCs w:val="21"/>
                    </w:rPr>
                  </w:pPr>
                  <w:r>
                    <w:rPr>
                      <w:rFonts w:hint="eastAsia"/>
                      <w:color w:val="auto"/>
                      <w:szCs w:val="21"/>
                    </w:rPr>
                    <w:t>氨</w:t>
                  </w:r>
                </w:p>
              </w:tc>
              <w:tc>
                <w:tcPr>
                  <w:tcW w:w="2110" w:type="pct"/>
                  <w:tcBorders>
                    <w:top w:val="single" w:color="auto" w:sz="12" w:space="0"/>
                  </w:tcBorders>
                  <w:vAlign w:val="center"/>
                </w:tcPr>
                <w:p w14:paraId="13C93380">
                  <w:pPr>
                    <w:jc w:val="center"/>
                    <w:rPr>
                      <w:color w:val="auto"/>
                      <w:szCs w:val="21"/>
                    </w:rPr>
                  </w:pPr>
                  <w:r>
                    <w:rPr>
                      <w:color w:val="auto"/>
                      <w:szCs w:val="21"/>
                    </w:rPr>
                    <w:t>1.5</w:t>
                  </w:r>
                </w:p>
              </w:tc>
              <w:tc>
                <w:tcPr>
                  <w:tcW w:w="2111" w:type="pct"/>
                  <w:vMerge w:val="restart"/>
                  <w:tcBorders>
                    <w:top w:val="single" w:color="auto" w:sz="12" w:space="0"/>
                  </w:tcBorders>
                  <w:noWrap/>
                  <w:vAlign w:val="center"/>
                </w:tcPr>
                <w:p w14:paraId="717AFDED">
                  <w:pPr>
                    <w:jc w:val="center"/>
                    <w:rPr>
                      <w:color w:val="auto"/>
                      <w:szCs w:val="21"/>
                    </w:rPr>
                  </w:pPr>
                  <w:r>
                    <w:rPr>
                      <w:color w:val="auto"/>
                      <w:szCs w:val="21"/>
                    </w:rPr>
                    <w:t>《恶臭污染物排放标准》（GB14554-93）</w:t>
                  </w:r>
                  <w:r>
                    <w:rPr>
                      <w:rFonts w:hint="eastAsia"/>
                      <w:color w:val="auto"/>
                      <w:szCs w:val="21"/>
                    </w:rPr>
                    <w:t>表1标准</w:t>
                  </w:r>
                </w:p>
              </w:tc>
            </w:tr>
            <w:tr w14:paraId="54867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bottom w:val="single" w:color="auto" w:sz="12" w:space="0"/>
                  </w:tcBorders>
                  <w:noWrap/>
                  <w:vAlign w:val="center"/>
                </w:tcPr>
                <w:p w14:paraId="29F39C0E">
                  <w:pPr>
                    <w:jc w:val="center"/>
                    <w:rPr>
                      <w:color w:val="auto"/>
                      <w:szCs w:val="21"/>
                    </w:rPr>
                  </w:pPr>
                  <w:r>
                    <w:rPr>
                      <w:rFonts w:hint="eastAsia"/>
                      <w:color w:val="auto"/>
                      <w:szCs w:val="21"/>
                    </w:rPr>
                    <w:t>硫化氢</w:t>
                  </w:r>
                </w:p>
              </w:tc>
              <w:tc>
                <w:tcPr>
                  <w:tcW w:w="2110" w:type="pct"/>
                  <w:tcBorders>
                    <w:bottom w:val="single" w:color="auto" w:sz="12" w:space="0"/>
                  </w:tcBorders>
                  <w:vAlign w:val="center"/>
                </w:tcPr>
                <w:p w14:paraId="4DDD3017">
                  <w:pPr>
                    <w:jc w:val="center"/>
                    <w:rPr>
                      <w:color w:val="auto"/>
                      <w:szCs w:val="21"/>
                    </w:rPr>
                  </w:pPr>
                  <w:r>
                    <w:rPr>
                      <w:color w:val="auto"/>
                      <w:szCs w:val="21"/>
                    </w:rPr>
                    <w:t>0.06</w:t>
                  </w:r>
                </w:p>
              </w:tc>
              <w:tc>
                <w:tcPr>
                  <w:tcW w:w="2111" w:type="pct"/>
                  <w:vMerge w:val="continue"/>
                  <w:tcBorders>
                    <w:bottom w:val="single" w:color="auto" w:sz="12" w:space="0"/>
                  </w:tcBorders>
                  <w:noWrap/>
                  <w:vAlign w:val="center"/>
                </w:tcPr>
                <w:p w14:paraId="278128C6">
                  <w:pPr>
                    <w:jc w:val="center"/>
                    <w:rPr>
                      <w:color w:val="auto"/>
                      <w:szCs w:val="21"/>
                    </w:rPr>
                  </w:pPr>
                </w:p>
              </w:tc>
            </w:tr>
          </w:tbl>
          <w:p w14:paraId="256B0E3F">
            <w:pPr>
              <w:adjustRightInd w:val="0"/>
              <w:snapToGrid w:val="0"/>
              <w:spacing w:line="360" w:lineRule="auto"/>
              <w:ind w:firstLine="482" w:firstLineChars="200"/>
              <w:rPr>
                <w:b/>
                <w:color w:val="auto"/>
                <w:kern w:val="0"/>
                <w:sz w:val="24"/>
                <w:szCs w:val="20"/>
              </w:rPr>
            </w:pPr>
            <w:r>
              <w:rPr>
                <w:b/>
                <w:color w:val="auto"/>
                <w:kern w:val="0"/>
                <w:sz w:val="24"/>
                <w:szCs w:val="20"/>
              </w:rPr>
              <w:t>2.</w:t>
            </w:r>
            <w:r>
              <w:rPr>
                <w:rFonts w:hAnsi="宋体"/>
                <w:b/>
                <w:color w:val="auto"/>
                <w:kern w:val="0"/>
                <w:sz w:val="24"/>
                <w:szCs w:val="20"/>
              </w:rPr>
              <w:t>废水</w:t>
            </w:r>
          </w:p>
          <w:p w14:paraId="35F27E20">
            <w:pPr>
              <w:pStyle w:val="135"/>
              <w:spacing w:line="360" w:lineRule="auto"/>
              <w:ind w:firstLine="480" w:firstLineChars="200"/>
              <w:jc w:val="both"/>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eastAsia="zh-CN"/>
              </w:rPr>
              <w:t>扩建</w:t>
            </w:r>
            <w:r>
              <w:rPr>
                <w:rFonts w:ascii="Times New Roman" w:hAnsi="Times New Roman" w:eastAsia="宋体"/>
                <w:color w:val="auto"/>
                <w:kern w:val="0"/>
                <w:sz w:val="24"/>
                <w:szCs w:val="24"/>
              </w:rPr>
              <w:t>项目废水主要为</w:t>
            </w:r>
            <w:r>
              <w:rPr>
                <w:rFonts w:hint="eastAsia" w:ascii="Times New Roman" w:hAnsi="Times New Roman" w:eastAsia="宋体"/>
                <w:color w:val="auto"/>
                <w:kern w:val="0"/>
                <w:sz w:val="24"/>
                <w:szCs w:val="24"/>
              </w:rPr>
              <w:t>职工生活废水、食堂废水、生产废水、设备清洗废水、地面清洁废水及蒸汽冷凝水。蒸汽冷凝水回用于</w:t>
            </w:r>
            <w:r>
              <w:rPr>
                <w:rFonts w:hint="default" w:ascii="Times New Roman" w:hAnsi="Times New Roman" w:eastAsia="宋体" w:cs="Times New Roman"/>
                <w:color w:val="auto"/>
                <w:kern w:val="0"/>
                <w:sz w:val="24"/>
                <w:szCs w:val="24"/>
              </w:rPr>
              <w:t>生产</w:t>
            </w:r>
            <w:r>
              <w:rPr>
                <w:rFonts w:hint="eastAsia" w:ascii="Times New Roman" w:hAnsi="Times New Roman" w:eastAsia="宋体" w:cs="Times New Roman"/>
                <w:color w:val="auto"/>
                <w:kern w:val="0"/>
                <w:sz w:val="24"/>
                <w:szCs w:val="24"/>
                <w:lang w:eastAsia="zh-CN"/>
              </w:rPr>
              <w:t>中漂烫工序</w:t>
            </w:r>
            <w:r>
              <w:rPr>
                <w:rFonts w:hint="default" w:ascii="Times New Roman" w:hAnsi="Times New Roman" w:eastAsia="宋体" w:cs="Times New Roman"/>
                <w:color w:val="auto"/>
                <w:kern w:val="0"/>
                <w:sz w:val="24"/>
                <w:szCs w:val="24"/>
              </w:rPr>
              <w:t>蒸煮设备加热</w:t>
            </w:r>
            <w:r>
              <w:rPr>
                <w:rFonts w:hint="eastAsia" w:ascii="Times New Roman" w:hAnsi="Times New Roman" w:eastAsia="宋体" w:cs="Times New Roman"/>
                <w:color w:val="auto"/>
                <w:kern w:val="0"/>
                <w:sz w:val="24"/>
                <w:szCs w:val="24"/>
                <w:lang w:eastAsia="zh-CN"/>
              </w:rPr>
              <w:t>（该环节不与食品接触，仅将收集的冷凝水与新鲜水混合后进入夹层管道给设备加热）</w:t>
            </w:r>
            <w:r>
              <w:rPr>
                <w:rFonts w:hint="eastAsia" w:ascii="Times New Roman" w:hAnsi="Times New Roman" w:eastAsia="宋体" w:cs="Times New Roman"/>
                <w:color w:val="auto"/>
                <w:kern w:val="0"/>
                <w:sz w:val="24"/>
                <w:szCs w:val="24"/>
              </w:rPr>
              <w:t>。</w:t>
            </w:r>
            <w:r>
              <w:rPr>
                <w:rFonts w:hint="eastAsia" w:ascii="Times New Roman" w:hAnsi="Times New Roman" w:eastAsia="宋体"/>
                <w:color w:val="auto"/>
                <w:kern w:val="0"/>
                <w:sz w:val="24"/>
                <w:szCs w:val="24"/>
              </w:rPr>
              <w:t>职工</w:t>
            </w:r>
            <w:r>
              <w:rPr>
                <w:rFonts w:hint="eastAsia" w:eastAsia="宋体"/>
                <w:color w:val="auto"/>
                <w:kern w:val="0"/>
                <w:sz w:val="24"/>
                <w:szCs w:val="24"/>
                <w:lang w:eastAsia="zh-CN"/>
              </w:rPr>
              <w:t>生活污水</w:t>
            </w:r>
            <w:r>
              <w:rPr>
                <w:rFonts w:hint="eastAsia" w:ascii="Times New Roman" w:hAnsi="Times New Roman" w:eastAsia="宋体"/>
                <w:color w:val="auto"/>
                <w:kern w:val="0"/>
                <w:sz w:val="24"/>
                <w:szCs w:val="24"/>
              </w:rPr>
              <w:t>经化粪池处理后排入厂区污水处理站；食堂废水和设备清洗废水经隔油池处理后排入厂区污水处理站；地面清洁废水</w:t>
            </w:r>
            <w:r>
              <w:rPr>
                <w:rFonts w:hint="eastAsia" w:eastAsia="宋体"/>
                <w:color w:val="auto"/>
                <w:kern w:val="0"/>
                <w:sz w:val="24"/>
                <w:szCs w:val="24"/>
                <w:lang w:eastAsia="zh-CN"/>
              </w:rPr>
              <w:t>、</w:t>
            </w:r>
            <w:r>
              <w:rPr>
                <w:rFonts w:hint="eastAsia" w:ascii="Times New Roman" w:hAnsi="Times New Roman" w:eastAsia="宋体"/>
                <w:color w:val="auto"/>
                <w:kern w:val="0"/>
                <w:sz w:val="24"/>
                <w:szCs w:val="24"/>
              </w:rPr>
              <w:t>生产废水排入厂区污水处理站，</w:t>
            </w:r>
            <w:r>
              <w:rPr>
                <w:rFonts w:ascii="Times New Roman" w:hAnsi="Times New Roman" w:eastAsia="宋体"/>
                <w:color w:val="auto"/>
                <w:kern w:val="0"/>
                <w:sz w:val="24"/>
                <w:szCs w:val="24"/>
              </w:rPr>
              <w:t>经厂内污水处理站处置后接管至涟水经济开发区西区污水处理厂处理。接管标准执行涟水经济开发区西区污水处理厂</w:t>
            </w:r>
            <w:r>
              <w:rPr>
                <w:rFonts w:ascii="Times New Roman" w:hAnsi="Times New Roman" w:eastAsia="宋体"/>
                <w:color w:val="auto"/>
                <w:sz w:val="24"/>
                <w:szCs w:val="24"/>
              </w:rPr>
              <w:t>的接管标准；</w:t>
            </w:r>
            <w:r>
              <w:rPr>
                <w:rFonts w:hint="eastAsia" w:eastAsia="宋体"/>
                <w:color w:val="auto"/>
                <w:sz w:val="24"/>
                <w:szCs w:val="24"/>
                <w:lang w:eastAsia="zh-CN"/>
              </w:rPr>
              <w:t>污水处理厂</w:t>
            </w:r>
            <w:r>
              <w:rPr>
                <w:rFonts w:ascii="Times New Roman" w:hAnsi="Times New Roman" w:eastAsia="宋体"/>
                <w:color w:val="auto"/>
                <w:sz w:val="24"/>
                <w:szCs w:val="24"/>
              </w:rPr>
              <w:t>尾水标准执行《城镇污水处理厂污染物排放标准》（GB18918-2002）表1中一级A</w:t>
            </w:r>
            <w:r>
              <w:rPr>
                <w:rFonts w:ascii="Times New Roman" w:hAnsi="Times New Roman" w:eastAsia="宋体"/>
                <w:color w:val="auto"/>
                <w:kern w:val="0"/>
                <w:sz w:val="24"/>
                <w:szCs w:val="24"/>
              </w:rPr>
              <w:t>标准，处理达标后排入公兴河，具体见表3-</w:t>
            </w:r>
            <w:r>
              <w:rPr>
                <w:rFonts w:hint="eastAsia" w:ascii="Times New Roman" w:hAnsi="Times New Roman" w:eastAsia="宋体"/>
                <w:color w:val="auto"/>
                <w:kern w:val="0"/>
                <w:sz w:val="24"/>
                <w:szCs w:val="24"/>
                <w:lang w:val="en-US" w:eastAsia="zh-CN"/>
              </w:rPr>
              <w:t>6</w:t>
            </w:r>
            <w:r>
              <w:rPr>
                <w:rFonts w:ascii="Times New Roman" w:hAnsi="Times New Roman" w:eastAsia="宋体"/>
                <w:color w:val="auto"/>
                <w:kern w:val="0"/>
                <w:sz w:val="24"/>
                <w:szCs w:val="24"/>
              </w:rPr>
              <w:t>。</w:t>
            </w:r>
          </w:p>
          <w:p w14:paraId="765913EF">
            <w:pPr>
              <w:adjustRightInd w:val="0"/>
              <w:snapToGrid w:val="0"/>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6</w:t>
            </w:r>
            <w:r>
              <w:rPr>
                <w:rFonts w:ascii="Times New Roman" w:hAnsi="Times New Roman" w:eastAsia="宋体" w:cs="Times New Roman"/>
                <w:b/>
                <w:color w:val="auto"/>
                <w:sz w:val="24"/>
              </w:rPr>
              <w:t xml:space="preserve"> 污水接管和尾水排放标准限值（单位：mg/L）</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3179"/>
              <w:gridCol w:w="3545"/>
            </w:tblGrid>
            <w:tr w14:paraId="1C5E3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tcBorders>
                    <w:top w:val="single" w:color="auto" w:sz="12" w:space="0"/>
                    <w:bottom w:val="single" w:color="auto" w:sz="12" w:space="0"/>
                  </w:tcBorders>
                  <w:shd w:val="clear" w:color="auto" w:fill="auto"/>
                  <w:vAlign w:val="center"/>
                </w:tcPr>
                <w:p w14:paraId="2BD3FB02">
                  <w:pPr>
                    <w:pStyle w:val="135"/>
                    <w:rPr>
                      <w:rFonts w:ascii="Times New Roman" w:hAnsi="Times New Roman" w:eastAsia="宋体"/>
                      <w:b/>
                      <w:color w:val="auto"/>
                      <w:sz w:val="21"/>
                      <w:szCs w:val="21"/>
                    </w:rPr>
                  </w:pPr>
                  <w:r>
                    <w:rPr>
                      <w:rFonts w:ascii="Times New Roman" w:hAnsi="Times New Roman" w:eastAsia="宋体"/>
                      <w:b/>
                      <w:color w:val="auto"/>
                      <w:sz w:val="21"/>
                      <w:szCs w:val="21"/>
                    </w:rPr>
                    <w:t>水质参数</w:t>
                  </w:r>
                </w:p>
              </w:tc>
              <w:tc>
                <w:tcPr>
                  <w:tcW w:w="1888" w:type="pct"/>
                  <w:tcBorders>
                    <w:top w:val="single" w:color="auto" w:sz="12" w:space="0"/>
                    <w:bottom w:val="single" w:color="auto" w:sz="12" w:space="0"/>
                  </w:tcBorders>
                  <w:shd w:val="clear" w:color="auto" w:fill="auto"/>
                  <w:vAlign w:val="center"/>
                </w:tcPr>
                <w:p w14:paraId="68ED2A1A">
                  <w:pPr>
                    <w:pStyle w:val="135"/>
                    <w:rPr>
                      <w:rFonts w:ascii="Times New Roman" w:hAnsi="Times New Roman" w:eastAsia="宋体"/>
                      <w:b/>
                      <w:color w:val="auto"/>
                      <w:sz w:val="21"/>
                      <w:szCs w:val="21"/>
                    </w:rPr>
                  </w:pPr>
                  <w:r>
                    <w:rPr>
                      <w:rFonts w:ascii="Times New Roman" w:hAnsi="Times New Roman" w:eastAsia="宋体"/>
                      <w:b/>
                      <w:color w:val="auto"/>
                      <w:sz w:val="21"/>
                      <w:szCs w:val="21"/>
                    </w:rPr>
                    <w:t>废水接管标准</w:t>
                  </w:r>
                </w:p>
              </w:tc>
              <w:tc>
                <w:tcPr>
                  <w:tcW w:w="2105" w:type="pct"/>
                  <w:tcBorders>
                    <w:top w:val="single" w:color="auto" w:sz="12" w:space="0"/>
                    <w:bottom w:val="single" w:color="auto" w:sz="12" w:space="0"/>
                  </w:tcBorders>
                  <w:shd w:val="clear" w:color="auto" w:fill="auto"/>
                  <w:vAlign w:val="center"/>
                </w:tcPr>
                <w:p w14:paraId="56ED40D5">
                  <w:pPr>
                    <w:pStyle w:val="135"/>
                    <w:rPr>
                      <w:rFonts w:ascii="Times New Roman" w:hAnsi="Times New Roman" w:eastAsia="宋体"/>
                      <w:b/>
                      <w:color w:val="auto"/>
                      <w:sz w:val="21"/>
                      <w:szCs w:val="21"/>
                    </w:rPr>
                  </w:pPr>
                  <w:r>
                    <w:rPr>
                      <w:rFonts w:ascii="Times New Roman" w:hAnsi="Times New Roman" w:eastAsia="宋体"/>
                      <w:b/>
                      <w:color w:val="auto"/>
                      <w:sz w:val="21"/>
                      <w:szCs w:val="21"/>
                    </w:rPr>
                    <w:t>尾水排放标准</w:t>
                  </w:r>
                </w:p>
              </w:tc>
            </w:tr>
            <w:tr w14:paraId="7A149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tcBorders>
                    <w:top w:val="single" w:color="auto" w:sz="12" w:space="0"/>
                  </w:tcBorders>
                  <w:shd w:val="clear" w:color="auto" w:fill="auto"/>
                  <w:vAlign w:val="center"/>
                </w:tcPr>
                <w:p w14:paraId="5CA316D4">
                  <w:pPr>
                    <w:pStyle w:val="135"/>
                    <w:rPr>
                      <w:rFonts w:ascii="Times New Roman" w:hAnsi="Times New Roman" w:eastAsia="宋体"/>
                      <w:color w:val="auto"/>
                      <w:sz w:val="21"/>
                      <w:szCs w:val="21"/>
                    </w:rPr>
                  </w:pPr>
                  <w:r>
                    <w:rPr>
                      <w:rFonts w:ascii="Times New Roman" w:hAnsi="Times New Roman" w:eastAsia="宋体"/>
                      <w:color w:val="auto"/>
                      <w:sz w:val="21"/>
                      <w:szCs w:val="21"/>
                    </w:rPr>
                    <w:t>pH</w:t>
                  </w:r>
                </w:p>
              </w:tc>
              <w:tc>
                <w:tcPr>
                  <w:tcW w:w="1888" w:type="pct"/>
                  <w:tcBorders>
                    <w:top w:val="single" w:color="auto" w:sz="12" w:space="0"/>
                  </w:tcBorders>
                  <w:shd w:val="clear" w:color="auto" w:fill="auto"/>
                  <w:vAlign w:val="center"/>
                </w:tcPr>
                <w:p w14:paraId="1821951D">
                  <w:pPr>
                    <w:pStyle w:val="135"/>
                    <w:rPr>
                      <w:rFonts w:ascii="Times New Roman" w:hAnsi="Times New Roman" w:eastAsia="宋体"/>
                      <w:color w:val="auto"/>
                      <w:sz w:val="21"/>
                      <w:szCs w:val="21"/>
                    </w:rPr>
                  </w:pPr>
                  <w:r>
                    <w:rPr>
                      <w:rFonts w:ascii="Times New Roman" w:hAnsi="Times New Roman" w:eastAsia="宋体"/>
                      <w:color w:val="auto"/>
                      <w:sz w:val="21"/>
                      <w:szCs w:val="21"/>
                    </w:rPr>
                    <w:t>6~9（无量纲）</w:t>
                  </w:r>
                </w:p>
              </w:tc>
              <w:tc>
                <w:tcPr>
                  <w:tcW w:w="2105" w:type="pct"/>
                  <w:tcBorders>
                    <w:top w:val="single" w:color="auto" w:sz="12" w:space="0"/>
                  </w:tcBorders>
                  <w:shd w:val="clear" w:color="auto" w:fill="auto"/>
                  <w:vAlign w:val="center"/>
                </w:tcPr>
                <w:p w14:paraId="2D781FA9">
                  <w:pPr>
                    <w:pStyle w:val="135"/>
                    <w:rPr>
                      <w:rFonts w:ascii="Times New Roman" w:hAnsi="Times New Roman" w:eastAsia="宋体"/>
                      <w:color w:val="auto"/>
                      <w:sz w:val="21"/>
                      <w:szCs w:val="21"/>
                    </w:rPr>
                  </w:pPr>
                  <w:r>
                    <w:rPr>
                      <w:rFonts w:ascii="Times New Roman" w:hAnsi="Times New Roman" w:eastAsia="宋体"/>
                      <w:color w:val="auto"/>
                      <w:sz w:val="21"/>
                      <w:szCs w:val="21"/>
                    </w:rPr>
                    <w:t>6~9（无量纲）</w:t>
                  </w:r>
                </w:p>
              </w:tc>
            </w:tr>
            <w:tr w14:paraId="5F103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shd w:val="clear" w:color="auto" w:fill="auto"/>
                  <w:vAlign w:val="center"/>
                </w:tcPr>
                <w:p w14:paraId="6B7A5EFC">
                  <w:pPr>
                    <w:pStyle w:val="135"/>
                    <w:rPr>
                      <w:rFonts w:ascii="Times New Roman" w:hAnsi="Times New Roman" w:eastAsia="宋体"/>
                      <w:color w:val="auto"/>
                      <w:sz w:val="21"/>
                      <w:szCs w:val="21"/>
                    </w:rPr>
                  </w:pPr>
                  <w:r>
                    <w:rPr>
                      <w:rFonts w:ascii="Times New Roman" w:hAnsi="Times New Roman" w:eastAsia="宋体"/>
                      <w:color w:val="auto"/>
                      <w:sz w:val="21"/>
                      <w:szCs w:val="21"/>
                    </w:rPr>
                    <w:t>COD</w:t>
                  </w:r>
                </w:p>
              </w:tc>
              <w:tc>
                <w:tcPr>
                  <w:tcW w:w="1888" w:type="pct"/>
                  <w:shd w:val="clear" w:color="auto" w:fill="auto"/>
                  <w:vAlign w:val="center"/>
                </w:tcPr>
                <w:p w14:paraId="3EF1C26D">
                  <w:pPr>
                    <w:pStyle w:val="135"/>
                    <w:rPr>
                      <w:rFonts w:ascii="Times New Roman" w:hAnsi="Times New Roman" w:eastAsia="宋体"/>
                      <w:color w:val="auto"/>
                      <w:sz w:val="21"/>
                      <w:szCs w:val="21"/>
                    </w:rPr>
                  </w:pPr>
                  <w:r>
                    <w:rPr>
                      <w:rFonts w:ascii="Times New Roman" w:hAnsi="Times New Roman" w:eastAsia="宋体"/>
                      <w:color w:val="auto"/>
                      <w:sz w:val="21"/>
                      <w:szCs w:val="21"/>
                    </w:rPr>
                    <w:t>500</w:t>
                  </w:r>
                </w:p>
              </w:tc>
              <w:tc>
                <w:tcPr>
                  <w:tcW w:w="2105" w:type="pct"/>
                  <w:shd w:val="clear" w:color="auto" w:fill="auto"/>
                  <w:vAlign w:val="center"/>
                </w:tcPr>
                <w:p w14:paraId="18ED6062">
                  <w:pPr>
                    <w:pStyle w:val="135"/>
                    <w:rPr>
                      <w:rFonts w:ascii="Times New Roman" w:hAnsi="Times New Roman" w:eastAsia="宋体"/>
                      <w:color w:val="auto"/>
                      <w:sz w:val="21"/>
                      <w:szCs w:val="21"/>
                    </w:rPr>
                  </w:pPr>
                  <w:r>
                    <w:rPr>
                      <w:rFonts w:ascii="Times New Roman" w:hAnsi="Times New Roman" w:eastAsia="宋体"/>
                      <w:color w:val="auto"/>
                      <w:sz w:val="21"/>
                      <w:szCs w:val="21"/>
                    </w:rPr>
                    <w:t>50</w:t>
                  </w:r>
                </w:p>
              </w:tc>
            </w:tr>
            <w:tr w14:paraId="7FC6B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shd w:val="clear" w:color="auto" w:fill="auto"/>
                  <w:vAlign w:val="center"/>
                </w:tcPr>
                <w:p w14:paraId="29BD1E65">
                  <w:pPr>
                    <w:pStyle w:val="135"/>
                    <w:rPr>
                      <w:rFonts w:ascii="Times New Roman" w:hAnsi="Times New Roman" w:eastAsia="宋体"/>
                      <w:color w:val="auto"/>
                      <w:sz w:val="21"/>
                      <w:szCs w:val="21"/>
                    </w:rPr>
                  </w:pPr>
                  <w:r>
                    <w:rPr>
                      <w:rFonts w:ascii="Times New Roman" w:hAnsi="Times New Roman" w:eastAsia="宋体"/>
                      <w:color w:val="auto"/>
                      <w:sz w:val="21"/>
                      <w:szCs w:val="21"/>
                    </w:rPr>
                    <w:t>BOD</w:t>
                  </w:r>
                  <w:r>
                    <w:rPr>
                      <w:rFonts w:ascii="Times New Roman" w:hAnsi="Times New Roman" w:eastAsia="宋体"/>
                      <w:color w:val="auto"/>
                      <w:sz w:val="21"/>
                      <w:szCs w:val="21"/>
                      <w:vertAlign w:val="subscript"/>
                    </w:rPr>
                    <w:t>5</w:t>
                  </w:r>
                </w:p>
              </w:tc>
              <w:tc>
                <w:tcPr>
                  <w:tcW w:w="1888" w:type="pct"/>
                  <w:shd w:val="clear" w:color="auto" w:fill="auto"/>
                  <w:vAlign w:val="center"/>
                </w:tcPr>
                <w:p w14:paraId="1E6B6741">
                  <w:pPr>
                    <w:pStyle w:val="135"/>
                    <w:rPr>
                      <w:rFonts w:ascii="Times New Roman" w:hAnsi="Times New Roman" w:eastAsia="宋体"/>
                      <w:color w:val="auto"/>
                      <w:sz w:val="21"/>
                      <w:szCs w:val="21"/>
                    </w:rPr>
                  </w:pPr>
                  <w:r>
                    <w:rPr>
                      <w:rFonts w:ascii="Times New Roman" w:hAnsi="Times New Roman" w:eastAsia="宋体"/>
                      <w:color w:val="auto"/>
                      <w:sz w:val="21"/>
                      <w:szCs w:val="21"/>
                    </w:rPr>
                    <w:t>180</w:t>
                  </w:r>
                </w:p>
              </w:tc>
              <w:tc>
                <w:tcPr>
                  <w:tcW w:w="2105" w:type="pct"/>
                  <w:shd w:val="clear" w:color="auto" w:fill="auto"/>
                  <w:vAlign w:val="center"/>
                </w:tcPr>
                <w:p w14:paraId="3E66C0C5">
                  <w:pPr>
                    <w:pStyle w:val="135"/>
                    <w:rPr>
                      <w:rFonts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0</w:t>
                  </w:r>
                </w:p>
              </w:tc>
            </w:tr>
            <w:tr w14:paraId="0AA1F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shd w:val="clear" w:color="auto" w:fill="auto"/>
                  <w:vAlign w:val="center"/>
                </w:tcPr>
                <w:p w14:paraId="0C783D55">
                  <w:pPr>
                    <w:pStyle w:val="135"/>
                    <w:rPr>
                      <w:rFonts w:ascii="Times New Roman" w:hAnsi="Times New Roman" w:eastAsia="宋体"/>
                      <w:color w:val="auto"/>
                      <w:sz w:val="21"/>
                      <w:szCs w:val="21"/>
                    </w:rPr>
                  </w:pPr>
                  <w:r>
                    <w:rPr>
                      <w:rFonts w:ascii="Times New Roman" w:hAnsi="Times New Roman" w:eastAsia="宋体"/>
                      <w:color w:val="auto"/>
                      <w:sz w:val="21"/>
                      <w:szCs w:val="21"/>
                    </w:rPr>
                    <w:t>SS</w:t>
                  </w:r>
                </w:p>
              </w:tc>
              <w:tc>
                <w:tcPr>
                  <w:tcW w:w="1888" w:type="pct"/>
                  <w:shd w:val="clear" w:color="auto" w:fill="auto"/>
                  <w:vAlign w:val="center"/>
                </w:tcPr>
                <w:p w14:paraId="2E5B5F09">
                  <w:pPr>
                    <w:pStyle w:val="135"/>
                    <w:rPr>
                      <w:rFonts w:ascii="Times New Roman" w:hAnsi="Times New Roman" w:eastAsia="宋体"/>
                      <w:color w:val="auto"/>
                      <w:sz w:val="21"/>
                      <w:szCs w:val="21"/>
                    </w:rPr>
                  </w:pPr>
                  <w:r>
                    <w:rPr>
                      <w:rFonts w:ascii="Times New Roman" w:hAnsi="Times New Roman" w:eastAsia="宋体"/>
                      <w:color w:val="auto"/>
                      <w:sz w:val="21"/>
                      <w:szCs w:val="21"/>
                    </w:rPr>
                    <w:t>400</w:t>
                  </w:r>
                </w:p>
              </w:tc>
              <w:tc>
                <w:tcPr>
                  <w:tcW w:w="2105" w:type="pct"/>
                  <w:shd w:val="clear" w:color="auto" w:fill="auto"/>
                  <w:vAlign w:val="center"/>
                </w:tcPr>
                <w:p w14:paraId="52C8CA56">
                  <w:pPr>
                    <w:pStyle w:val="135"/>
                    <w:rPr>
                      <w:rFonts w:ascii="Times New Roman" w:hAnsi="Times New Roman" w:eastAsia="宋体"/>
                      <w:color w:val="auto"/>
                      <w:sz w:val="21"/>
                      <w:szCs w:val="21"/>
                    </w:rPr>
                  </w:pPr>
                  <w:r>
                    <w:rPr>
                      <w:rFonts w:ascii="Times New Roman" w:hAnsi="Times New Roman" w:eastAsia="宋体"/>
                      <w:color w:val="auto"/>
                      <w:sz w:val="21"/>
                      <w:szCs w:val="21"/>
                    </w:rPr>
                    <w:t>10</w:t>
                  </w:r>
                </w:p>
              </w:tc>
            </w:tr>
            <w:tr w14:paraId="715AC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shd w:val="clear" w:color="auto" w:fill="auto"/>
                  <w:vAlign w:val="center"/>
                </w:tcPr>
                <w:p w14:paraId="785DD2E7">
                  <w:pPr>
                    <w:pStyle w:val="135"/>
                    <w:rPr>
                      <w:rFonts w:ascii="Times New Roman" w:hAnsi="Times New Roman" w:eastAsia="宋体"/>
                      <w:color w:val="auto"/>
                      <w:sz w:val="21"/>
                      <w:szCs w:val="21"/>
                    </w:rPr>
                  </w:pPr>
                  <w:r>
                    <w:rPr>
                      <w:rFonts w:ascii="Times New Roman" w:hAnsi="Times New Roman" w:eastAsia="宋体"/>
                      <w:color w:val="auto"/>
                      <w:sz w:val="21"/>
                      <w:szCs w:val="21"/>
                    </w:rPr>
                    <w:t>氨氮</w:t>
                  </w:r>
                </w:p>
              </w:tc>
              <w:tc>
                <w:tcPr>
                  <w:tcW w:w="1888" w:type="pct"/>
                  <w:shd w:val="clear" w:color="auto" w:fill="auto"/>
                  <w:vAlign w:val="center"/>
                </w:tcPr>
                <w:p w14:paraId="4C1893C3">
                  <w:pPr>
                    <w:pStyle w:val="135"/>
                    <w:rPr>
                      <w:rFonts w:ascii="Times New Roman" w:hAnsi="Times New Roman" w:eastAsia="宋体"/>
                      <w:color w:val="auto"/>
                      <w:sz w:val="21"/>
                      <w:szCs w:val="21"/>
                    </w:rPr>
                  </w:pPr>
                  <w:r>
                    <w:rPr>
                      <w:rFonts w:ascii="Times New Roman" w:hAnsi="Times New Roman" w:eastAsia="宋体"/>
                      <w:color w:val="auto"/>
                      <w:sz w:val="21"/>
                      <w:szCs w:val="21"/>
                    </w:rPr>
                    <w:t>30</w:t>
                  </w:r>
                </w:p>
              </w:tc>
              <w:tc>
                <w:tcPr>
                  <w:tcW w:w="2105" w:type="pct"/>
                  <w:shd w:val="clear" w:color="auto" w:fill="auto"/>
                  <w:vAlign w:val="center"/>
                </w:tcPr>
                <w:p w14:paraId="2086631E">
                  <w:pPr>
                    <w:pStyle w:val="135"/>
                    <w:rPr>
                      <w:rFonts w:ascii="Times New Roman" w:hAnsi="Times New Roman" w:eastAsia="宋体"/>
                      <w:color w:val="auto"/>
                      <w:kern w:val="0"/>
                      <w:sz w:val="21"/>
                      <w:szCs w:val="21"/>
                    </w:rPr>
                  </w:pPr>
                  <w:r>
                    <w:rPr>
                      <w:rFonts w:ascii="Times New Roman" w:hAnsi="Times New Roman" w:eastAsia="宋体"/>
                      <w:color w:val="auto"/>
                      <w:kern w:val="0"/>
                      <w:sz w:val="21"/>
                      <w:szCs w:val="21"/>
                    </w:rPr>
                    <w:t>5</w:t>
                  </w:r>
                </w:p>
              </w:tc>
            </w:tr>
            <w:tr w14:paraId="15485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shd w:val="clear" w:color="auto" w:fill="auto"/>
                  <w:vAlign w:val="center"/>
                </w:tcPr>
                <w:p w14:paraId="6B792BA2">
                  <w:pPr>
                    <w:pStyle w:val="135"/>
                    <w:rPr>
                      <w:rFonts w:ascii="Times New Roman" w:hAnsi="Times New Roman" w:eastAsia="宋体"/>
                      <w:color w:val="auto"/>
                      <w:sz w:val="21"/>
                      <w:szCs w:val="21"/>
                    </w:rPr>
                  </w:pPr>
                  <w:r>
                    <w:rPr>
                      <w:rFonts w:ascii="Times New Roman" w:hAnsi="Times New Roman" w:eastAsia="宋体"/>
                      <w:color w:val="auto"/>
                      <w:sz w:val="21"/>
                      <w:szCs w:val="21"/>
                    </w:rPr>
                    <w:t>总氮</w:t>
                  </w:r>
                </w:p>
              </w:tc>
              <w:tc>
                <w:tcPr>
                  <w:tcW w:w="1888" w:type="pct"/>
                  <w:shd w:val="clear" w:color="auto" w:fill="auto"/>
                  <w:vAlign w:val="center"/>
                </w:tcPr>
                <w:p w14:paraId="19566051">
                  <w:pPr>
                    <w:pStyle w:val="135"/>
                    <w:rPr>
                      <w:rFonts w:ascii="Times New Roman" w:hAnsi="Times New Roman" w:eastAsia="宋体"/>
                      <w:color w:val="auto"/>
                      <w:sz w:val="21"/>
                      <w:szCs w:val="21"/>
                    </w:rPr>
                  </w:pPr>
                  <w:r>
                    <w:rPr>
                      <w:rFonts w:ascii="Times New Roman" w:hAnsi="Times New Roman" w:eastAsia="宋体"/>
                      <w:color w:val="auto"/>
                      <w:sz w:val="21"/>
                      <w:szCs w:val="21"/>
                    </w:rPr>
                    <w:t>45</w:t>
                  </w:r>
                </w:p>
              </w:tc>
              <w:tc>
                <w:tcPr>
                  <w:tcW w:w="2105" w:type="pct"/>
                  <w:shd w:val="clear" w:color="auto" w:fill="auto"/>
                  <w:vAlign w:val="center"/>
                </w:tcPr>
                <w:p w14:paraId="404414A0">
                  <w:pPr>
                    <w:pStyle w:val="135"/>
                    <w:rPr>
                      <w:rFonts w:ascii="Times New Roman" w:hAnsi="Times New Roman" w:eastAsia="宋体"/>
                      <w:color w:val="auto"/>
                      <w:kern w:val="0"/>
                      <w:sz w:val="21"/>
                      <w:szCs w:val="21"/>
                    </w:rPr>
                  </w:pPr>
                  <w:r>
                    <w:rPr>
                      <w:rFonts w:ascii="Times New Roman" w:hAnsi="Times New Roman" w:eastAsia="宋体"/>
                      <w:color w:val="auto"/>
                      <w:kern w:val="0"/>
                      <w:sz w:val="21"/>
                      <w:szCs w:val="21"/>
                    </w:rPr>
                    <w:t>15</w:t>
                  </w:r>
                </w:p>
              </w:tc>
            </w:tr>
            <w:tr w14:paraId="4BD39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shd w:val="clear" w:color="auto" w:fill="auto"/>
                  <w:vAlign w:val="center"/>
                </w:tcPr>
                <w:p w14:paraId="778FF833">
                  <w:pPr>
                    <w:pStyle w:val="135"/>
                    <w:rPr>
                      <w:rFonts w:ascii="Times New Roman" w:hAnsi="Times New Roman" w:eastAsia="宋体"/>
                      <w:color w:val="auto"/>
                      <w:sz w:val="21"/>
                      <w:szCs w:val="21"/>
                    </w:rPr>
                  </w:pPr>
                  <w:r>
                    <w:rPr>
                      <w:rFonts w:ascii="Times New Roman" w:hAnsi="Times New Roman" w:eastAsia="宋体"/>
                      <w:color w:val="auto"/>
                      <w:sz w:val="21"/>
                      <w:szCs w:val="21"/>
                    </w:rPr>
                    <w:t>总磷</w:t>
                  </w:r>
                </w:p>
              </w:tc>
              <w:tc>
                <w:tcPr>
                  <w:tcW w:w="1888" w:type="pct"/>
                  <w:shd w:val="clear" w:color="auto" w:fill="auto"/>
                  <w:vAlign w:val="center"/>
                </w:tcPr>
                <w:p w14:paraId="5D1D963F">
                  <w:pPr>
                    <w:pStyle w:val="135"/>
                    <w:rPr>
                      <w:rFonts w:ascii="Times New Roman" w:hAnsi="Times New Roman" w:eastAsia="宋体"/>
                      <w:color w:val="auto"/>
                      <w:sz w:val="21"/>
                      <w:szCs w:val="21"/>
                    </w:rPr>
                  </w:pPr>
                  <w:r>
                    <w:rPr>
                      <w:rFonts w:ascii="Times New Roman" w:hAnsi="Times New Roman" w:eastAsia="宋体"/>
                      <w:color w:val="auto"/>
                      <w:sz w:val="21"/>
                      <w:szCs w:val="21"/>
                    </w:rPr>
                    <w:t>8</w:t>
                  </w:r>
                </w:p>
              </w:tc>
              <w:tc>
                <w:tcPr>
                  <w:tcW w:w="2105" w:type="pct"/>
                  <w:shd w:val="clear" w:color="auto" w:fill="auto"/>
                  <w:vAlign w:val="center"/>
                </w:tcPr>
                <w:p w14:paraId="5134220B">
                  <w:pPr>
                    <w:pStyle w:val="135"/>
                    <w:rPr>
                      <w:rFonts w:ascii="Times New Roman" w:hAnsi="Times New Roman" w:eastAsia="宋体"/>
                      <w:color w:val="auto"/>
                      <w:kern w:val="0"/>
                      <w:sz w:val="21"/>
                      <w:szCs w:val="21"/>
                    </w:rPr>
                  </w:pPr>
                  <w:r>
                    <w:rPr>
                      <w:rFonts w:ascii="Times New Roman" w:hAnsi="Times New Roman" w:eastAsia="宋体"/>
                      <w:color w:val="auto"/>
                      <w:kern w:val="0"/>
                      <w:sz w:val="21"/>
                      <w:szCs w:val="21"/>
                    </w:rPr>
                    <w:t>0.5</w:t>
                  </w:r>
                </w:p>
              </w:tc>
            </w:tr>
            <w:tr w14:paraId="215D6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shd w:val="clear" w:color="auto" w:fill="auto"/>
                  <w:vAlign w:val="center"/>
                </w:tcPr>
                <w:p w14:paraId="28840AB8">
                  <w:pPr>
                    <w:pStyle w:val="135"/>
                    <w:rPr>
                      <w:rFonts w:ascii="Times New Roman" w:hAnsi="Times New Roman" w:eastAsia="宋体"/>
                      <w:color w:val="auto"/>
                      <w:sz w:val="21"/>
                      <w:szCs w:val="21"/>
                    </w:rPr>
                  </w:pPr>
                  <w:r>
                    <w:rPr>
                      <w:rFonts w:ascii="Times New Roman" w:hAnsi="Times New Roman" w:eastAsia="宋体"/>
                      <w:color w:val="auto"/>
                      <w:sz w:val="21"/>
                      <w:szCs w:val="21"/>
                    </w:rPr>
                    <w:t>动植物油</w:t>
                  </w:r>
                </w:p>
              </w:tc>
              <w:tc>
                <w:tcPr>
                  <w:tcW w:w="1888" w:type="pct"/>
                  <w:shd w:val="clear" w:color="auto" w:fill="auto"/>
                  <w:vAlign w:val="center"/>
                </w:tcPr>
                <w:p w14:paraId="7C41C9D7">
                  <w:pPr>
                    <w:pStyle w:val="135"/>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2105" w:type="pct"/>
                  <w:shd w:val="clear" w:color="auto" w:fill="auto"/>
                  <w:vAlign w:val="center"/>
                </w:tcPr>
                <w:p w14:paraId="0BA236F0">
                  <w:pPr>
                    <w:pStyle w:val="135"/>
                    <w:rPr>
                      <w:rFonts w:ascii="Times New Roman" w:hAnsi="Times New Roman" w:eastAsia="宋体"/>
                      <w:color w:val="auto"/>
                      <w:kern w:val="0"/>
                      <w:sz w:val="21"/>
                      <w:szCs w:val="21"/>
                    </w:rPr>
                  </w:pPr>
                  <w:r>
                    <w:rPr>
                      <w:rFonts w:ascii="Times New Roman" w:hAnsi="Times New Roman" w:eastAsia="宋体"/>
                      <w:color w:val="auto"/>
                      <w:kern w:val="0"/>
                      <w:sz w:val="21"/>
                      <w:szCs w:val="21"/>
                    </w:rPr>
                    <w:t>1</w:t>
                  </w:r>
                </w:p>
              </w:tc>
            </w:tr>
            <w:tr w14:paraId="32342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shd w:val="clear" w:color="auto" w:fill="auto"/>
                  <w:vAlign w:val="center"/>
                </w:tcPr>
                <w:p w14:paraId="4938B396">
                  <w:pPr>
                    <w:pStyle w:val="135"/>
                    <w:rPr>
                      <w:rFonts w:ascii="Times New Roman" w:hAnsi="Times New Roman" w:eastAsia="宋体"/>
                      <w:color w:val="auto"/>
                      <w:sz w:val="21"/>
                      <w:szCs w:val="21"/>
                    </w:rPr>
                  </w:pPr>
                  <w:r>
                    <w:rPr>
                      <w:rFonts w:hint="eastAsia" w:ascii="Times New Roman" w:hAnsi="Times New Roman" w:eastAsia="宋体"/>
                      <w:color w:val="auto"/>
                      <w:sz w:val="21"/>
                      <w:szCs w:val="21"/>
                    </w:rPr>
                    <w:t>L</w:t>
                  </w:r>
                  <w:r>
                    <w:rPr>
                      <w:rFonts w:ascii="Times New Roman" w:hAnsi="Times New Roman" w:eastAsia="宋体"/>
                      <w:color w:val="auto"/>
                      <w:sz w:val="21"/>
                      <w:szCs w:val="21"/>
                    </w:rPr>
                    <w:t>AS</w:t>
                  </w:r>
                </w:p>
              </w:tc>
              <w:tc>
                <w:tcPr>
                  <w:tcW w:w="1888" w:type="pct"/>
                  <w:shd w:val="clear" w:color="auto" w:fill="auto"/>
                  <w:vAlign w:val="center"/>
                </w:tcPr>
                <w:p w14:paraId="34A15FDD">
                  <w:pPr>
                    <w:pStyle w:val="135"/>
                    <w:rPr>
                      <w:rFonts w:ascii="Times New Roman" w:hAnsi="Times New Roman" w:eastAsia="宋体"/>
                      <w:color w:val="auto"/>
                      <w:sz w:val="21"/>
                      <w:szCs w:val="21"/>
                    </w:rPr>
                  </w:pPr>
                  <w:r>
                    <w:rPr>
                      <w:rFonts w:hint="eastAsia" w:ascii="Times New Roman" w:hAnsi="Times New Roman" w:eastAsia="宋体"/>
                      <w:color w:val="auto"/>
                      <w:sz w:val="21"/>
                      <w:szCs w:val="21"/>
                    </w:rPr>
                    <w:t>2</w:t>
                  </w:r>
                  <w:r>
                    <w:rPr>
                      <w:rFonts w:ascii="Times New Roman" w:hAnsi="Times New Roman" w:eastAsia="宋体"/>
                      <w:color w:val="auto"/>
                      <w:sz w:val="21"/>
                      <w:szCs w:val="21"/>
                    </w:rPr>
                    <w:t>0</w:t>
                  </w:r>
                </w:p>
              </w:tc>
              <w:tc>
                <w:tcPr>
                  <w:tcW w:w="2105" w:type="pct"/>
                  <w:shd w:val="clear" w:color="auto" w:fill="auto"/>
                  <w:vAlign w:val="center"/>
                </w:tcPr>
                <w:p w14:paraId="1B54B9FB">
                  <w:pPr>
                    <w:pStyle w:val="135"/>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0</w:t>
                  </w:r>
                  <w:r>
                    <w:rPr>
                      <w:rFonts w:ascii="Times New Roman" w:hAnsi="Times New Roman" w:eastAsia="宋体"/>
                      <w:color w:val="auto"/>
                      <w:kern w:val="0"/>
                      <w:sz w:val="21"/>
                      <w:szCs w:val="21"/>
                    </w:rPr>
                    <w:t>.5</w:t>
                  </w:r>
                </w:p>
              </w:tc>
            </w:tr>
            <w:tr w14:paraId="44F88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shd w:val="clear" w:color="auto" w:fill="auto"/>
                  <w:vAlign w:val="center"/>
                </w:tcPr>
                <w:p w14:paraId="4671146F">
                  <w:pPr>
                    <w:pStyle w:val="135"/>
                    <w:rPr>
                      <w:rFonts w:ascii="Times New Roman" w:hAnsi="Times New Roman" w:eastAsia="宋体"/>
                      <w:color w:val="auto"/>
                      <w:sz w:val="21"/>
                      <w:szCs w:val="21"/>
                    </w:rPr>
                  </w:pPr>
                  <w:r>
                    <w:rPr>
                      <w:rFonts w:ascii="Times New Roman" w:hAnsi="Times New Roman" w:eastAsia="宋体"/>
                      <w:color w:val="auto"/>
                      <w:sz w:val="21"/>
                      <w:szCs w:val="21"/>
                    </w:rPr>
                    <w:t>标准来源</w:t>
                  </w:r>
                </w:p>
              </w:tc>
              <w:tc>
                <w:tcPr>
                  <w:tcW w:w="1888" w:type="pct"/>
                  <w:shd w:val="clear" w:color="auto" w:fill="auto"/>
                  <w:vAlign w:val="center"/>
                </w:tcPr>
                <w:p w14:paraId="1267599A">
                  <w:pPr>
                    <w:pStyle w:val="135"/>
                    <w:rPr>
                      <w:rFonts w:ascii="Times New Roman" w:hAnsi="Times New Roman" w:eastAsia="宋体"/>
                      <w:color w:val="auto"/>
                      <w:sz w:val="21"/>
                      <w:szCs w:val="21"/>
                    </w:rPr>
                  </w:pPr>
                  <w:r>
                    <w:rPr>
                      <w:rFonts w:ascii="Times New Roman" w:hAnsi="Times New Roman" w:eastAsia="宋体"/>
                      <w:color w:val="auto"/>
                      <w:kern w:val="0"/>
                      <w:sz w:val="21"/>
                      <w:szCs w:val="21"/>
                    </w:rPr>
                    <w:t>涟水经济开发区西区污水处理厂</w:t>
                  </w:r>
                  <w:r>
                    <w:rPr>
                      <w:rFonts w:ascii="Times New Roman" w:hAnsi="Times New Roman" w:eastAsia="宋体"/>
                      <w:color w:val="auto"/>
                      <w:sz w:val="21"/>
                      <w:szCs w:val="21"/>
                    </w:rPr>
                    <w:t>接管标准</w:t>
                  </w:r>
                </w:p>
              </w:tc>
              <w:tc>
                <w:tcPr>
                  <w:tcW w:w="2105" w:type="pct"/>
                  <w:shd w:val="clear" w:color="auto" w:fill="auto"/>
                  <w:vAlign w:val="center"/>
                </w:tcPr>
                <w:p w14:paraId="2CC4F1D4">
                  <w:pPr>
                    <w:pStyle w:val="135"/>
                    <w:rPr>
                      <w:rFonts w:ascii="Times New Roman" w:hAnsi="Times New Roman" w:eastAsia="宋体"/>
                      <w:color w:val="auto"/>
                      <w:kern w:val="0"/>
                      <w:sz w:val="21"/>
                      <w:szCs w:val="21"/>
                    </w:rPr>
                  </w:pPr>
                  <w:r>
                    <w:rPr>
                      <w:rFonts w:ascii="Times New Roman" w:hAnsi="Times New Roman" w:eastAsia="宋体"/>
                      <w:color w:val="auto"/>
                      <w:sz w:val="21"/>
                      <w:szCs w:val="21"/>
                    </w:rPr>
                    <w:t>《城镇污水处理厂污染物排放标准》（GB18918-2002）一级A标准</w:t>
                  </w:r>
                </w:p>
              </w:tc>
            </w:tr>
          </w:tbl>
          <w:p w14:paraId="0CF9EEEE">
            <w:pPr>
              <w:widowControl/>
              <w:adjustRightInd w:val="0"/>
              <w:snapToGrid w:val="0"/>
              <w:spacing w:line="360" w:lineRule="auto"/>
              <w:ind w:firstLine="482" w:firstLineChars="200"/>
              <w:jc w:val="left"/>
              <w:rPr>
                <w:b/>
                <w:color w:val="auto"/>
                <w:kern w:val="0"/>
                <w:sz w:val="24"/>
                <w:szCs w:val="20"/>
              </w:rPr>
            </w:pPr>
            <w:r>
              <w:rPr>
                <w:b/>
                <w:color w:val="auto"/>
                <w:kern w:val="0"/>
                <w:sz w:val="24"/>
                <w:szCs w:val="20"/>
              </w:rPr>
              <w:t>3.</w:t>
            </w:r>
            <w:r>
              <w:rPr>
                <w:rFonts w:hAnsi="宋体"/>
                <w:b/>
                <w:color w:val="auto"/>
                <w:kern w:val="0"/>
                <w:sz w:val="24"/>
                <w:szCs w:val="20"/>
              </w:rPr>
              <w:t>噪声</w:t>
            </w:r>
          </w:p>
          <w:p w14:paraId="4F2968AB">
            <w:pPr>
              <w:autoSpaceDE w:val="0"/>
              <w:autoSpaceDN w:val="0"/>
              <w:adjustRightInd w:val="0"/>
              <w:spacing w:line="360" w:lineRule="auto"/>
              <w:ind w:firstLine="480" w:firstLineChars="200"/>
              <w:rPr>
                <w:rFonts w:hint="eastAsia"/>
                <w:color w:val="auto"/>
                <w:sz w:val="24"/>
              </w:rPr>
            </w:pPr>
            <w:r>
              <w:rPr>
                <w:rFonts w:hint="eastAsia"/>
                <w:color w:val="auto"/>
                <w:sz w:val="24"/>
                <w:lang w:eastAsia="zh-CN"/>
              </w:rPr>
              <w:t>扩建项目</w:t>
            </w:r>
            <w:r>
              <w:rPr>
                <w:rFonts w:hint="eastAsia"/>
                <w:color w:val="auto"/>
                <w:sz w:val="24"/>
              </w:rPr>
              <w:t>施工期各厂界噪声标准</w:t>
            </w:r>
            <w:r>
              <w:rPr>
                <w:color w:val="auto"/>
                <w:sz w:val="24"/>
              </w:rPr>
              <w:t>执行</w:t>
            </w:r>
            <w:r>
              <w:rPr>
                <w:rFonts w:hint="eastAsia"/>
                <w:color w:val="auto"/>
                <w:sz w:val="24"/>
              </w:rPr>
              <w:t>《</w:t>
            </w:r>
            <w:r>
              <w:rPr>
                <w:rFonts w:hint="eastAsia"/>
                <w:color w:val="auto"/>
                <w:sz w:val="24"/>
                <w:lang w:val="en-US" w:eastAsia="zh-CN"/>
              </w:rPr>
              <w:t>建筑施工场界环境噪声排放标准</w:t>
            </w:r>
            <w:r>
              <w:rPr>
                <w:rFonts w:hint="eastAsia"/>
                <w:color w:val="auto"/>
                <w:sz w:val="24"/>
              </w:rPr>
              <w:t>》（GB</w:t>
            </w:r>
            <w:r>
              <w:rPr>
                <w:rFonts w:hint="eastAsia"/>
                <w:color w:val="auto"/>
                <w:sz w:val="24"/>
                <w:lang w:val="en-US" w:eastAsia="zh-CN"/>
              </w:rPr>
              <w:t>12523-2011</w:t>
            </w:r>
            <w:r>
              <w:rPr>
                <w:rFonts w:hint="eastAsia"/>
                <w:color w:val="auto"/>
                <w:sz w:val="24"/>
              </w:rPr>
              <w:t>）标准见表3-</w:t>
            </w:r>
            <w:r>
              <w:rPr>
                <w:rFonts w:hint="eastAsia"/>
                <w:color w:val="auto"/>
                <w:sz w:val="24"/>
                <w:lang w:val="en-US" w:eastAsia="zh-CN"/>
              </w:rPr>
              <w:t>7</w:t>
            </w:r>
            <w:r>
              <w:rPr>
                <w:rFonts w:hint="eastAsia"/>
                <w:color w:val="auto"/>
                <w:sz w:val="24"/>
              </w:rPr>
              <w:t>。</w:t>
            </w:r>
          </w:p>
          <w:p w14:paraId="0C8988C6">
            <w:pPr>
              <w:autoSpaceDE w:val="0"/>
              <w:autoSpaceDN w:val="0"/>
              <w:adjustRightInd w:val="0"/>
              <w:spacing w:line="460" w:lineRule="exact"/>
              <w:jc w:val="center"/>
              <w:rPr>
                <w:b/>
                <w:bCs/>
                <w:color w:val="auto"/>
                <w:sz w:val="24"/>
                <w:szCs w:val="21"/>
              </w:rPr>
            </w:pPr>
            <w:r>
              <w:rPr>
                <w:b/>
                <w:color w:val="auto"/>
                <w:sz w:val="24"/>
              </w:rPr>
              <w:t>表</w:t>
            </w:r>
            <w:r>
              <w:rPr>
                <w:b/>
                <w:bCs/>
                <w:color w:val="auto"/>
                <w:sz w:val="24"/>
              </w:rPr>
              <w:t>3-</w:t>
            </w:r>
            <w:r>
              <w:rPr>
                <w:rFonts w:hint="eastAsia"/>
                <w:b/>
                <w:bCs/>
                <w:color w:val="auto"/>
                <w:sz w:val="24"/>
                <w:lang w:val="en-US" w:eastAsia="zh-CN"/>
              </w:rPr>
              <w:t>7</w:t>
            </w:r>
            <w:r>
              <w:rPr>
                <w:b/>
                <w:bCs/>
                <w:color w:val="auto"/>
                <w:sz w:val="24"/>
              </w:rPr>
              <w:t xml:space="preserve"> </w:t>
            </w:r>
            <w:r>
              <w:rPr>
                <w:rFonts w:hint="eastAsia"/>
                <w:b/>
                <w:bCs/>
                <w:color w:val="auto"/>
                <w:sz w:val="24"/>
              </w:rPr>
              <w:t>施工期</w:t>
            </w:r>
            <w:r>
              <w:rPr>
                <w:b/>
                <w:color w:val="auto"/>
                <w:sz w:val="24"/>
              </w:rPr>
              <w:t xml:space="preserve">厂界环境噪声排放标准 </w:t>
            </w:r>
            <w:r>
              <w:rPr>
                <w:b/>
                <w:color w:val="auto"/>
                <w:sz w:val="24"/>
                <w:szCs w:val="21"/>
              </w:rPr>
              <w:t>单位：</w:t>
            </w:r>
            <w:r>
              <w:rPr>
                <w:b/>
                <w:bCs/>
                <w:color w:val="auto"/>
                <w:sz w:val="24"/>
                <w:szCs w:val="21"/>
              </w:rPr>
              <w:t>dB(A)</w:t>
            </w:r>
          </w:p>
          <w:tbl>
            <w:tblPr>
              <w:tblStyle w:val="32"/>
              <w:tblW w:w="833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444"/>
              <w:gridCol w:w="1601"/>
              <w:gridCol w:w="3292"/>
            </w:tblGrid>
            <w:tr w14:paraId="752033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3444" w:type="dxa"/>
                  <w:tcBorders>
                    <w:top w:val="single" w:color="auto" w:sz="12" w:space="0"/>
                    <w:left w:val="nil"/>
                    <w:bottom w:val="single" w:color="auto" w:sz="12" w:space="0"/>
                    <w:right w:val="single" w:color="auto" w:sz="2" w:space="0"/>
                  </w:tcBorders>
                  <w:vAlign w:val="center"/>
                </w:tcPr>
                <w:p w14:paraId="013BC55F">
                  <w:pPr>
                    <w:jc w:val="center"/>
                    <w:rPr>
                      <w:b/>
                      <w:bCs/>
                      <w:color w:val="auto"/>
                      <w:szCs w:val="21"/>
                    </w:rPr>
                  </w:pPr>
                  <w:r>
                    <w:rPr>
                      <w:b/>
                      <w:bCs/>
                      <w:color w:val="auto"/>
                      <w:szCs w:val="21"/>
                    </w:rPr>
                    <w:t>执行标准</w:t>
                  </w:r>
                </w:p>
              </w:tc>
              <w:tc>
                <w:tcPr>
                  <w:tcW w:w="1601" w:type="dxa"/>
                  <w:tcBorders>
                    <w:top w:val="single" w:color="auto" w:sz="12" w:space="0"/>
                    <w:left w:val="single" w:color="auto" w:sz="2" w:space="0"/>
                    <w:bottom w:val="single" w:color="auto" w:sz="12" w:space="0"/>
                    <w:right w:val="single" w:color="auto" w:sz="2" w:space="0"/>
                  </w:tcBorders>
                  <w:vAlign w:val="center"/>
                </w:tcPr>
                <w:p w14:paraId="60CB6BA2">
                  <w:pPr>
                    <w:jc w:val="center"/>
                    <w:rPr>
                      <w:b/>
                      <w:bCs/>
                      <w:color w:val="auto"/>
                      <w:szCs w:val="21"/>
                    </w:rPr>
                  </w:pPr>
                  <w:r>
                    <w:rPr>
                      <w:b/>
                      <w:bCs/>
                      <w:color w:val="auto"/>
                      <w:szCs w:val="21"/>
                    </w:rPr>
                    <w:t>昼间</w:t>
                  </w:r>
                </w:p>
              </w:tc>
              <w:tc>
                <w:tcPr>
                  <w:tcW w:w="3292" w:type="dxa"/>
                  <w:tcBorders>
                    <w:top w:val="single" w:color="auto" w:sz="12" w:space="0"/>
                    <w:left w:val="single" w:color="auto" w:sz="2" w:space="0"/>
                    <w:bottom w:val="single" w:color="auto" w:sz="12" w:space="0"/>
                    <w:right w:val="nil"/>
                  </w:tcBorders>
                  <w:vAlign w:val="center"/>
                </w:tcPr>
                <w:p w14:paraId="7187AFB5">
                  <w:pPr>
                    <w:jc w:val="center"/>
                    <w:rPr>
                      <w:b/>
                      <w:bCs/>
                      <w:color w:val="auto"/>
                      <w:szCs w:val="21"/>
                    </w:rPr>
                  </w:pPr>
                  <w:r>
                    <w:rPr>
                      <w:b/>
                      <w:bCs/>
                      <w:color w:val="auto"/>
                      <w:szCs w:val="21"/>
                    </w:rPr>
                    <w:t>夜间</w:t>
                  </w:r>
                </w:p>
              </w:tc>
            </w:tr>
            <w:tr w14:paraId="44923C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3444" w:type="dxa"/>
                  <w:tcBorders>
                    <w:top w:val="single" w:color="auto" w:sz="12" w:space="0"/>
                    <w:left w:val="nil"/>
                    <w:bottom w:val="single" w:color="auto" w:sz="12" w:space="0"/>
                    <w:right w:val="single" w:color="auto" w:sz="2" w:space="0"/>
                  </w:tcBorders>
                  <w:vAlign w:val="center"/>
                </w:tcPr>
                <w:p w14:paraId="6C3ED9E8">
                  <w:pPr>
                    <w:jc w:val="center"/>
                    <w:rPr>
                      <w:color w:val="auto"/>
                      <w:szCs w:val="21"/>
                    </w:rPr>
                  </w:pPr>
                  <w:r>
                    <w:rPr>
                      <w:color w:val="auto"/>
                      <w:szCs w:val="21"/>
                    </w:rPr>
                    <w:t>GB12348-2008中3类标准</w:t>
                  </w:r>
                </w:p>
              </w:tc>
              <w:tc>
                <w:tcPr>
                  <w:tcW w:w="1601" w:type="dxa"/>
                  <w:tcBorders>
                    <w:top w:val="single" w:color="auto" w:sz="12" w:space="0"/>
                    <w:left w:val="single" w:color="auto" w:sz="2" w:space="0"/>
                    <w:bottom w:val="single" w:color="auto" w:sz="12" w:space="0"/>
                    <w:right w:val="single" w:color="auto" w:sz="2" w:space="0"/>
                  </w:tcBorders>
                  <w:vAlign w:val="center"/>
                </w:tcPr>
                <w:p w14:paraId="5523D60D">
                  <w:pPr>
                    <w:jc w:val="center"/>
                    <w:rPr>
                      <w:rFonts w:hint="default" w:eastAsia="宋体"/>
                      <w:color w:val="auto"/>
                      <w:szCs w:val="21"/>
                      <w:lang w:val="en-US" w:eastAsia="zh-CN"/>
                    </w:rPr>
                  </w:pPr>
                  <w:r>
                    <w:rPr>
                      <w:color w:val="auto"/>
                      <w:szCs w:val="21"/>
                    </w:rPr>
                    <w:t>≤</w:t>
                  </w:r>
                  <w:r>
                    <w:rPr>
                      <w:rFonts w:hint="eastAsia"/>
                      <w:color w:val="auto"/>
                      <w:szCs w:val="21"/>
                      <w:lang w:val="en-US" w:eastAsia="zh-CN"/>
                    </w:rPr>
                    <w:t>70</w:t>
                  </w:r>
                </w:p>
              </w:tc>
              <w:tc>
                <w:tcPr>
                  <w:tcW w:w="3292" w:type="dxa"/>
                  <w:tcBorders>
                    <w:top w:val="single" w:color="auto" w:sz="12" w:space="0"/>
                    <w:left w:val="single" w:color="auto" w:sz="2" w:space="0"/>
                    <w:bottom w:val="single" w:color="auto" w:sz="12" w:space="0"/>
                    <w:right w:val="nil"/>
                  </w:tcBorders>
                  <w:vAlign w:val="center"/>
                </w:tcPr>
                <w:p w14:paraId="31792B94">
                  <w:pPr>
                    <w:jc w:val="center"/>
                    <w:rPr>
                      <w:color w:val="auto"/>
                      <w:szCs w:val="21"/>
                    </w:rPr>
                  </w:pPr>
                  <w:r>
                    <w:rPr>
                      <w:color w:val="auto"/>
                      <w:szCs w:val="21"/>
                    </w:rPr>
                    <w:t>≤55</w:t>
                  </w:r>
                </w:p>
              </w:tc>
            </w:tr>
          </w:tbl>
          <w:p w14:paraId="655814CD">
            <w:pPr>
              <w:autoSpaceDE w:val="0"/>
              <w:autoSpaceDN w:val="0"/>
              <w:adjustRightInd w:val="0"/>
              <w:spacing w:line="360" w:lineRule="auto"/>
              <w:ind w:firstLine="480" w:firstLineChars="200"/>
              <w:rPr>
                <w:color w:val="auto"/>
                <w:kern w:val="0"/>
                <w:sz w:val="24"/>
              </w:rPr>
            </w:pPr>
            <w:r>
              <w:rPr>
                <w:rFonts w:hint="eastAsia"/>
                <w:color w:val="auto"/>
                <w:sz w:val="24"/>
                <w:lang w:eastAsia="zh-CN"/>
              </w:rPr>
              <w:t>扩建项目</w:t>
            </w:r>
            <w:r>
              <w:rPr>
                <w:color w:val="auto"/>
                <w:sz w:val="24"/>
              </w:rPr>
              <w:t>运营期各厂界噪声执行《工业企业厂界环境噪声排放标准》（GB12348-2008）3类标准见表3-</w:t>
            </w:r>
            <w:r>
              <w:rPr>
                <w:rFonts w:hint="eastAsia"/>
                <w:color w:val="auto"/>
                <w:sz w:val="24"/>
                <w:lang w:val="en-US" w:eastAsia="zh-CN"/>
              </w:rPr>
              <w:t>8</w:t>
            </w:r>
            <w:r>
              <w:rPr>
                <w:color w:val="auto"/>
                <w:sz w:val="24"/>
              </w:rPr>
              <w:t>。</w:t>
            </w:r>
          </w:p>
          <w:p w14:paraId="3EB2F03E">
            <w:pPr>
              <w:autoSpaceDE w:val="0"/>
              <w:autoSpaceDN w:val="0"/>
              <w:adjustRightInd w:val="0"/>
              <w:spacing w:line="460" w:lineRule="exact"/>
              <w:jc w:val="center"/>
              <w:rPr>
                <w:b/>
                <w:bCs/>
                <w:color w:val="auto"/>
                <w:sz w:val="24"/>
                <w:szCs w:val="21"/>
              </w:rPr>
            </w:pPr>
            <w:r>
              <w:rPr>
                <w:b/>
                <w:color w:val="auto"/>
                <w:sz w:val="24"/>
              </w:rPr>
              <w:t>表</w:t>
            </w:r>
            <w:r>
              <w:rPr>
                <w:b/>
                <w:bCs/>
                <w:color w:val="auto"/>
                <w:sz w:val="24"/>
              </w:rPr>
              <w:t>3-</w:t>
            </w:r>
            <w:r>
              <w:rPr>
                <w:rFonts w:hint="eastAsia"/>
                <w:b/>
                <w:bCs/>
                <w:color w:val="auto"/>
                <w:sz w:val="24"/>
                <w:lang w:val="en-US" w:eastAsia="zh-CN"/>
              </w:rPr>
              <w:t>8</w:t>
            </w:r>
            <w:r>
              <w:rPr>
                <w:b/>
                <w:bCs/>
                <w:color w:val="auto"/>
                <w:sz w:val="24"/>
              </w:rPr>
              <w:t xml:space="preserve"> </w:t>
            </w:r>
            <w:r>
              <w:rPr>
                <w:b/>
                <w:color w:val="auto"/>
                <w:sz w:val="24"/>
              </w:rPr>
              <w:t xml:space="preserve">工业企业厂界环境噪声排放标准 </w:t>
            </w:r>
            <w:r>
              <w:rPr>
                <w:b/>
                <w:color w:val="auto"/>
                <w:sz w:val="24"/>
                <w:szCs w:val="21"/>
              </w:rPr>
              <w:t>单位：</w:t>
            </w:r>
            <w:r>
              <w:rPr>
                <w:b/>
                <w:bCs/>
                <w:color w:val="auto"/>
                <w:sz w:val="24"/>
                <w:szCs w:val="21"/>
              </w:rPr>
              <w:t>dB(A)</w:t>
            </w:r>
          </w:p>
          <w:tbl>
            <w:tblPr>
              <w:tblStyle w:val="32"/>
              <w:tblW w:w="833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444"/>
              <w:gridCol w:w="1601"/>
              <w:gridCol w:w="3292"/>
            </w:tblGrid>
            <w:tr w14:paraId="05274D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37" w:hRule="atLeast"/>
                <w:jc w:val="center"/>
              </w:trPr>
              <w:tc>
                <w:tcPr>
                  <w:tcW w:w="3444" w:type="dxa"/>
                  <w:tcBorders>
                    <w:top w:val="single" w:color="auto" w:sz="12" w:space="0"/>
                    <w:left w:val="nil"/>
                    <w:bottom w:val="single" w:color="auto" w:sz="12" w:space="0"/>
                    <w:right w:val="single" w:color="auto" w:sz="2" w:space="0"/>
                  </w:tcBorders>
                  <w:vAlign w:val="center"/>
                </w:tcPr>
                <w:p w14:paraId="7D46ED58">
                  <w:pPr>
                    <w:jc w:val="center"/>
                    <w:rPr>
                      <w:b/>
                      <w:bCs/>
                      <w:color w:val="auto"/>
                      <w:szCs w:val="21"/>
                    </w:rPr>
                  </w:pPr>
                  <w:r>
                    <w:rPr>
                      <w:b/>
                      <w:bCs/>
                      <w:color w:val="auto"/>
                      <w:szCs w:val="21"/>
                    </w:rPr>
                    <w:t>执行标准</w:t>
                  </w:r>
                </w:p>
              </w:tc>
              <w:tc>
                <w:tcPr>
                  <w:tcW w:w="1601" w:type="dxa"/>
                  <w:tcBorders>
                    <w:top w:val="single" w:color="auto" w:sz="12" w:space="0"/>
                    <w:left w:val="single" w:color="auto" w:sz="2" w:space="0"/>
                    <w:bottom w:val="single" w:color="auto" w:sz="12" w:space="0"/>
                    <w:right w:val="single" w:color="auto" w:sz="2" w:space="0"/>
                  </w:tcBorders>
                  <w:vAlign w:val="center"/>
                </w:tcPr>
                <w:p w14:paraId="53F6B1E9">
                  <w:pPr>
                    <w:jc w:val="center"/>
                    <w:rPr>
                      <w:b/>
                      <w:bCs/>
                      <w:color w:val="auto"/>
                      <w:szCs w:val="21"/>
                    </w:rPr>
                  </w:pPr>
                  <w:r>
                    <w:rPr>
                      <w:b/>
                      <w:bCs/>
                      <w:color w:val="auto"/>
                      <w:szCs w:val="21"/>
                    </w:rPr>
                    <w:t>昼间</w:t>
                  </w:r>
                </w:p>
              </w:tc>
              <w:tc>
                <w:tcPr>
                  <w:tcW w:w="3292" w:type="dxa"/>
                  <w:tcBorders>
                    <w:top w:val="single" w:color="auto" w:sz="12" w:space="0"/>
                    <w:left w:val="single" w:color="auto" w:sz="2" w:space="0"/>
                    <w:bottom w:val="single" w:color="auto" w:sz="12" w:space="0"/>
                    <w:right w:val="nil"/>
                  </w:tcBorders>
                  <w:vAlign w:val="center"/>
                </w:tcPr>
                <w:p w14:paraId="317A4E96">
                  <w:pPr>
                    <w:jc w:val="center"/>
                    <w:rPr>
                      <w:b/>
                      <w:bCs/>
                      <w:color w:val="auto"/>
                      <w:szCs w:val="21"/>
                    </w:rPr>
                  </w:pPr>
                  <w:r>
                    <w:rPr>
                      <w:b/>
                      <w:bCs/>
                      <w:color w:val="auto"/>
                      <w:szCs w:val="21"/>
                    </w:rPr>
                    <w:t>夜间</w:t>
                  </w:r>
                </w:p>
              </w:tc>
            </w:tr>
            <w:tr w14:paraId="3163CD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3444" w:type="dxa"/>
                  <w:tcBorders>
                    <w:top w:val="single" w:color="auto" w:sz="12" w:space="0"/>
                    <w:left w:val="nil"/>
                    <w:bottom w:val="single" w:color="auto" w:sz="12" w:space="0"/>
                    <w:right w:val="single" w:color="auto" w:sz="2" w:space="0"/>
                  </w:tcBorders>
                  <w:vAlign w:val="center"/>
                </w:tcPr>
                <w:p w14:paraId="44C9B0BC">
                  <w:pPr>
                    <w:jc w:val="center"/>
                    <w:rPr>
                      <w:color w:val="auto"/>
                      <w:szCs w:val="21"/>
                    </w:rPr>
                  </w:pPr>
                  <w:r>
                    <w:rPr>
                      <w:color w:val="auto"/>
                      <w:szCs w:val="21"/>
                    </w:rPr>
                    <w:t>GB12348-2008中3类标准</w:t>
                  </w:r>
                </w:p>
              </w:tc>
              <w:tc>
                <w:tcPr>
                  <w:tcW w:w="1601" w:type="dxa"/>
                  <w:tcBorders>
                    <w:top w:val="single" w:color="auto" w:sz="12" w:space="0"/>
                    <w:left w:val="single" w:color="auto" w:sz="2" w:space="0"/>
                    <w:bottom w:val="single" w:color="auto" w:sz="12" w:space="0"/>
                    <w:right w:val="single" w:color="auto" w:sz="2" w:space="0"/>
                  </w:tcBorders>
                  <w:vAlign w:val="center"/>
                </w:tcPr>
                <w:p w14:paraId="72EA15B2">
                  <w:pPr>
                    <w:jc w:val="center"/>
                    <w:rPr>
                      <w:color w:val="auto"/>
                      <w:szCs w:val="21"/>
                    </w:rPr>
                  </w:pPr>
                  <w:r>
                    <w:rPr>
                      <w:color w:val="auto"/>
                      <w:szCs w:val="21"/>
                    </w:rPr>
                    <w:t>≤65</w:t>
                  </w:r>
                </w:p>
              </w:tc>
              <w:tc>
                <w:tcPr>
                  <w:tcW w:w="3292" w:type="dxa"/>
                  <w:tcBorders>
                    <w:top w:val="single" w:color="auto" w:sz="12" w:space="0"/>
                    <w:left w:val="single" w:color="auto" w:sz="2" w:space="0"/>
                    <w:bottom w:val="single" w:color="auto" w:sz="12" w:space="0"/>
                    <w:right w:val="nil"/>
                  </w:tcBorders>
                  <w:vAlign w:val="center"/>
                </w:tcPr>
                <w:p w14:paraId="47DD7868">
                  <w:pPr>
                    <w:jc w:val="center"/>
                    <w:rPr>
                      <w:color w:val="auto"/>
                      <w:szCs w:val="21"/>
                    </w:rPr>
                  </w:pPr>
                  <w:r>
                    <w:rPr>
                      <w:color w:val="auto"/>
                      <w:szCs w:val="21"/>
                    </w:rPr>
                    <w:t>≤55</w:t>
                  </w:r>
                </w:p>
              </w:tc>
            </w:tr>
          </w:tbl>
          <w:p w14:paraId="37008130">
            <w:pPr>
              <w:widowControl/>
              <w:adjustRightInd w:val="0"/>
              <w:snapToGrid w:val="0"/>
              <w:spacing w:before="120" w:beforeLines="50" w:line="360" w:lineRule="auto"/>
              <w:ind w:firstLine="482" w:firstLineChars="200"/>
              <w:rPr>
                <w:b/>
                <w:color w:val="auto"/>
                <w:sz w:val="24"/>
                <w:szCs w:val="20"/>
              </w:rPr>
            </w:pPr>
            <w:r>
              <w:rPr>
                <w:b/>
                <w:color w:val="auto"/>
                <w:sz w:val="24"/>
                <w:szCs w:val="20"/>
              </w:rPr>
              <w:t>4.</w:t>
            </w:r>
            <w:r>
              <w:rPr>
                <w:rFonts w:hAnsi="宋体"/>
                <w:b/>
                <w:color w:val="auto"/>
                <w:sz w:val="24"/>
                <w:szCs w:val="20"/>
              </w:rPr>
              <w:t>固废</w:t>
            </w:r>
          </w:p>
          <w:p w14:paraId="7B299AA4">
            <w:pPr>
              <w:adjustRightInd w:val="0"/>
              <w:spacing w:line="346" w:lineRule="auto"/>
              <w:ind w:firstLine="480" w:firstLineChars="200"/>
              <w:rPr>
                <w:color w:val="auto"/>
                <w:sz w:val="24"/>
              </w:rPr>
            </w:pPr>
            <w:r>
              <w:rPr>
                <w:rFonts w:hint="eastAsia"/>
                <w:color w:val="auto"/>
                <w:sz w:val="24"/>
                <w:lang w:eastAsia="zh-CN"/>
              </w:rPr>
              <w:t>扩建</w:t>
            </w:r>
            <w:r>
              <w:rPr>
                <w:rFonts w:hAnsi="宋体"/>
                <w:color w:val="auto"/>
                <w:sz w:val="24"/>
              </w:rPr>
              <w:t>项目固体废物属性鉴别执行《固体废物鉴别标准通则》（</w:t>
            </w:r>
            <w:r>
              <w:rPr>
                <w:color w:val="auto"/>
                <w:sz w:val="24"/>
              </w:rPr>
              <w:t>GB34330-2017</w:t>
            </w:r>
            <w:r>
              <w:rPr>
                <w:rFonts w:hAnsi="宋体"/>
                <w:color w:val="auto"/>
                <w:sz w:val="24"/>
              </w:rPr>
              <w:t>），危险废物属性鉴别执行《危险废物鉴别标准通则》（</w:t>
            </w:r>
            <w:r>
              <w:rPr>
                <w:color w:val="auto"/>
                <w:sz w:val="24"/>
              </w:rPr>
              <w:t>GB5085.7-2019</w:t>
            </w:r>
            <w:r>
              <w:rPr>
                <w:rFonts w:hAnsi="宋体"/>
                <w:color w:val="auto"/>
                <w:sz w:val="24"/>
              </w:rPr>
              <w:t>）。</w:t>
            </w:r>
          </w:p>
          <w:p w14:paraId="2AB2FEA0">
            <w:pPr>
              <w:adjustRightInd w:val="0"/>
              <w:spacing w:line="346" w:lineRule="auto"/>
              <w:ind w:firstLine="480" w:firstLineChars="200"/>
              <w:rPr>
                <w:rFonts w:hAnsi="宋体"/>
                <w:color w:val="auto"/>
                <w:sz w:val="24"/>
              </w:rPr>
            </w:pPr>
            <w:r>
              <w:rPr>
                <w:rFonts w:hAnsi="宋体"/>
                <w:color w:val="auto"/>
                <w:sz w:val="24"/>
              </w:rPr>
              <w:t>危险废物贮存执行《危险废物识别标志设置技术规范》（</w:t>
            </w:r>
            <w:r>
              <w:rPr>
                <w:color w:val="auto"/>
                <w:sz w:val="24"/>
              </w:rPr>
              <w:t>HJ1276-2022</w:t>
            </w:r>
            <w:r>
              <w:rPr>
                <w:rFonts w:hAnsi="宋体"/>
                <w:color w:val="auto"/>
                <w:sz w:val="24"/>
              </w:rPr>
              <w:t>）、《危险废物贮存污染控制标准》（</w:t>
            </w:r>
            <w:r>
              <w:rPr>
                <w:color w:val="auto"/>
                <w:sz w:val="24"/>
              </w:rPr>
              <w:t>GB18597-2023</w:t>
            </w:r>
            <w:r>
              <w:rPr>
                <w:rFonts w:hAnsi="宋体"/>
                <w:color w:val="auto"/>
                <w:sz w:val="24"/>
              </w:rPr>
              <w:t>）和《危险废物收集贮存运输技术规范》（</w:t>
            </w:r>
            <w:r>
              <w:rPr>
                <w:color w:val="auto"/>
                <w:sz w:val="24"/>
              </w:rPr>
              <w:t>HJ2025-2012</w:t>
            </w:r>
            <w:r>
              <w:rPr>
                <w:rFonts w:hAnsi="宋体"/>
                <w:color w:val="auto"/>
                <w:sz w:val="24"/>
              </w:rPr>
              <w:t>）中相关规定；固废贮存场所标志执行《危险废物识别标志设置技术规范》（</w:t>
            </w:r>
            <w:r>
              <w:rPr>
                <w:color w:val="auto"/>
                <w:sz w:val="24"/>
              </w:rPr>
              <w:t>HJ1276-2022</w:t>
            </w:r>
            <w:r>
              <w:rPr>
                <w:rFonts w:hAnsi="宋体"/>
                <w:color w:val="auto"/>
                <w:sz w:val="24"/>
              </w:rPr>
              <w:t>）、《环境保护图形标志固体废物贮存（处置）场》（</w:t>
            </w:r>
            <w:r>
              <w:rPr>
                <w:color w:val="auto"/>
                <w:sz w:val="24"/>
              </w:rPr>
              <w:t>GB15562.2-1995</w:t>
            </w:r>
            <w:r>
              <w:rPr>
                <w:rFonts w:hAnsi="宋体"/>
                <w:color w:val="auto"/>
                <w:sz w:val="24"/>
              </w:rPr>
              <w:t>）及修改单、</w:t>
            </w:r>
            <w:r>
              <w:rPr>
                <w:rFonts w:hint="eastAsia" w:ascii="Times New Roman" w:hAnsi="Times New Roman" w:eastAsia="宋体" w:cs="Times New Roman"/>
                <w:color w:val="auto"/>
                <w:kern w:val="0"/>
                <w:sz w:val="24"/>
              </w:rPr>
              <w:t>《江苏省固体废物全过程环境监管工作意见》的通知</w:t>
            </w:r>
            <w:r>
              <w:rPr>
                <w:rFonts w:hint="eastAsia" w:cs="Times New Roman"/>
                <w:color w:val="auto"/>
                <w:kern w:val="0"/>
                <w:sz w:val="24"/>
                <w:lang w:eastAsia="zh-CN"/>
              </w:rPr>
              <w:t>（</w:t>
            </w:r>
            <w:r>
              <w:rPr>
                <w:rFonts w:hint="eastAsia" w:ascii="Times New Roman" w:hAnsi="Times New Roman" w:eastAsia="宋体" w:cs="Times New Roman"/>
                <w:color w:val="auto"/>
                <w:kern w:val="0"/>
                <w:sz w:val="24"/>
              </w:rPr>
              <w:t>苏环办</w:t>
            </w:r>
            <w:r>
              <w:rPr>
                <w:rFonts w:hint="eastAsia" w:cs="Times New Roman"/>
                <w:color w:val="auto"/>
                <w:kern w:val="0"/>
                <w:sz w:val="24"/>
                <w:lang w:eastAsia="zh-CN"/>
              </w:rPr>
              <w:t>〔2024〕16号）</w:t>
            </w:r>
            <w:r>
              <w:rPr>
                <w:rFonts w:hAnsi="宋体"/>
                <w:color w:val="auto"/>
                <w:sz w:val="24"/>
              </w:rPr>
              <w:t>、《江苏省危险废物集中收集体系建设工作方案（试行）》（苏环办〔</w:t>
            </w:r>
            <w:r>
              <w:rPr>
                <w:color w:val="auto"/>
                <w:sz w:val="24"/>
              </w:rPr>
              <w:t>2021</w:t>
            </w:r>
            <w:r>
              <w:rPr>
                <w:rFonts w:hAnsi="宋体"/>
                <w:color w:val="auto"/>
                <w:sz w:val="24"/>
              </w:rPr>
              <w:t>〕</w:t>
            </w:r>
            <w:r>
              <w:rPr>
                <w:color w:val="auto"/>
                <w:sz w:val="24"/>
              </w:rPr>
              <w:t>290</w:t>
            </w:r>
            <w:r>
              <w:rPr>
                <w:rFonts w:hAnsi="宋体"/>
                <w:color w:val="auto"/>
                <w:sz w:val="24"/>
              </w:rPr>
              <w:t>号）、</w:t>
            </w:r>
            <w:bookmarkStart w:id="32" w:name="_Hlk140322507"/>
            <w:r>
              <w:rPr>
                <w:rFonts w:hAnsi="宋体"/>
                <w:color w:val="auto"/>
                <w:sz w:val="24"/>
              </w:rPr>
              <w:t>《省生态环境厅关于做好</w:t>
            </w:r>
            <w:r>
              <w:rPr>
                <w:rFonts w:hint="eastAsia" w:hAnsi="宋体"/>
                <w:color w:val="auto"/>
                <w:sz w:val="24"/>
                <w:lang w:eastAsia="zh-CN"/>
              </w:rPr>
              <w:t>〈</w:t>
            </w:r>
            <w:r>
              <w:rPr>
                <w:rFonts w:hAnsi="宋体"/>
                <w:color w:val="auto"/>
                <w:sz w:val="24"/>
              </w:rPr>
              <w:t>危险废物贮存污染控制标准</w:t>
            </w:r>
            <w:r>
              <w:rPr>
                <w:rFonts w:hint="eastAsia" w:hAnsi="宋体"/>
                <w:color w:val="auto"/>
                <w:sz w:val="24"/>
                <w:lang w:eastAsia="zh-CN"/>
              </w:rPr>
              <w:t>〉</w:t>
            </w:r>
            <w:r>
              <w:rPr>
                <w:rFonts w:hAnsi="宋体"/>
                <w:color w:val="auto"/>
                <w:sz w:val="24"/>
              </w:rPr>
              <w:t>标准规范实施后危险废物环境管理衔接工作的通知》（苏环办</w:t>
            </w:r>
            <w:r>
              <w:rPr>
                <w:rFonts w:hint="eastAsia" w:hAnsi="宋体"/>
                <w:color w:val="auto"/>
                <w:sz w:val="24"/>
                <w:lang w:eastAsia="zh-CN"/>
              </w:rPr>
              <w:t>〔2023〕154号</w:t>
            </w:r>
            <w:r>
              <w:rPr>
                <w:rFonts w:hAnsi="宋体"/>
                <w:color w:val="auto"/>
                <w:sz w:val="24"/>
              </w:rPr>
              <w:t>）要求。</w:t>
            </w:r>
            <w:bookmarkEnd w:id="32"/>
          </w:p>
          <w:p w14:paraId="03E0034E">
            <w:pPr>
              <w:tabs>
                <w:tab w:val="left" w:pos="720"/>
              </w:tabs>
              <w:adjustRightInd w:val="0"/>
              <w:snapToGrid w:val="0"/>
              <w:spacing w:line="360" w:lineRule="auto"/>
              <w:ind w:firstLine="482" w:firstLineChars="200"/>
              <w:rPr>
                <w:b/>
                <w:bCs/>
                <w:color w:val="auto"/>
                <w:sz w:val="24"/>
              </w:rPr>
            </w:pPr>
            <w:r>
              <w:rPr>
                <w:rFonts w:hint="eastAsia"/>
                <w:b/>
                <w:bCs/>
                <w:color w:val="auto"/>
                <w:sz w:val="24"/>
                <w:lang w:val="en-US" w:eastAsia="zh-CN"/>
              </w:rPr>
              <w:t>5</w:t>
            </w:r>
            <w:r>
              <w:rPr>
                <w:b/>
                <w:bCs/>
                <w:color w:val="auto"/>
                <w:sz w:val="24"/>
              </w:rPr>
              <w:t>总量控制指标</w:t>
            </w:r>
          </w:p>
          <w:p w14:paraId="1B9CE5EB">
            <w:pPr>
              <w:tabs>
                <w:tab w:val="left" w:pos="720"/>
              </w:tabs>
              <w:adjustRightInd w:val="0"/>
              <w:snapToGrid w:val="0"/>
              <w:spacing w:line="360" w:lineRule="auto"/>
              <w:ind w:firstLine="480" w:firstLineChars="200"/>
              <w:rPr>
                <w:bCs/>
                <w:color w:val="auto"/>
                <w:sz w:val="24"/>
              </w:rPr>
            </w:pPr>
            <w:r>
              <w:rPr>
                <w:rFonts w:hint="eastAsia"/>
                <w:color w:val="auto"/>
                <w:sz w:val="24"/>
                <w:lang w:eastAsia="zh-CN"/>
              </w:rPr>
              <w:t>扩建</w:t>
            </w:r>
            <w:r>
              <w:rPr>
                <w:bCs/>
                <w:color w:val="auto"/>
                <w:sz w:val="24"/>
              </w:rPr>
              <w:t>项目污染物产生量、削减量和排放量</w:t>
            </w:r>
            <w:r>
              <w:rPr>
                <w:rFonts w:hint="eastAsia"/>
                <w:bCs/>
                <w:color w:val="auto"/>
                <w:sz w:val="24"/>
                <w:lang w:eastAsia="zh-CN"/>
              </w:rPr>
              <w:t>三本账</w:t>
            </w:r>
            <w:r>
              <w:rPr>
                <w:bCs/>
                <w:color w:val="auto"/>
                <w:sz w:val="24"/>
              </w:rPr>
              <w:t>见表3-</w:t>
            </w:r>
            <w:r>
              <w:rPr>
                <w:rFonts w:hint="eastAsia"/>
                <w:bCs/>
                <w:color w:val="auto"/>
                <w:sz w:val="24"/>
                <w:lang w:val="en-US" w:eastAsia="zh-CN"/>
              </w:rPr>
              <w:t>9</w:t>
            </w:r>
            <w:r>
              <w:rPr>
                <w:bCs/>
                <w:color w:val="auto"/>
                <w:sz w:val="24"/>
              </w:rPr>
              <w:t>，本项目建成后全厂污染物产生量、削减量和排放量</w:t>
            </w:r>
            <w:r>
              <w:rPr>
                <w:rFonts w:hint="eastAsia"/>
                <w:bCs/>
                <w:color w:val="auto"/>
                <w:sz w:val="24"/>
                <w:lang w:eastAsia="zh-CN"/>
              </w:rPr>
              <w:t>三本账</w:t>
            </w:r>
            <w:r>
              <w:rPr>
                <w:bCs/>
                <w:color w:val="auto"/>
                <w:sz w:val="24"/>
              </w:rPr>
              <w:t>见表3-</w:t>
            </w:r>
            <w:r>
              <w:rPr>
                <w:rFonts w:hint="eastAsia"/>
                <w:bCs/>
                <w:color w:val="auto"/>
                <w:sz w:val="24"/>
                <w:lang w:val="en-US" w:eastAsia="zh-CN"/>
              </w:rPr>
              <w:t>10</w:t>
            </w:r>
            <w:r>
              <w:rPr>
                <w:bCs/>
                <w:color w:val="auto"/>
                <w:sz w:val="24"/>
              </w:rPr>
              <w:t>。</w:t>
            </w:r>
          </w:p>
          <w:p w14:paraId="707B82A1">
            <w:pPr>
              <w:keepNext/>
              <w:adjustRightInd w:val="0"/>
              <w:snapToGrid w:val="0"/>
              <w:jc w:val="center"/>
              <w:rPr>
                <w:b/>
                <w:color w:val="auto"/>
                <w:szCs w:val="21"/>
              </w:rPr>
            </w:pPr>
            <w:r>
              <w:rPr>
                <w:b/>
                <w:color w:val="auto"/>
                <w:szCs w:val="21"/>
              </w:rPr>
              <w:t>表3</w:t>
            </w:r>
            <w:r>
              <w:rPr>
                <w:rFonts w:hint="eastAsia"/>
                <w:b/>
                <w:color w:val="auto"/>
                <w:szCs w:val="21"/>
                <w:lang w:val="en-US" w:eastAsia="zh-CN"/>
              </w:rPr>
              <w:t>-9</w:t>
            </w:r>
            <w:r>
              <w:rPr>
                <w:b/>
                <w:color w:val="auto"/>
                <w:szCs w:val="21"/>
              </w:rPr>
              <w:t xml:space="preserve"> 本项目污染物排放量汇总表    单位：t/a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86"/>
              <w:gridCol w:w="1671"/>
              <w:gridCol w:w="1624"/>
              <w:gridCol w:w="1235"/>
              <w:gridCol w:w="1095"/>
              <w:gridCol w:w="1407"/>
            </w:tblGrid>
            <w:tr w14:paraId="14F1C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noWrap w:val="0"/>
                  <w:vAlign w:val="center"/>
                </w:tcPr>
                <w:p w14:paraId="7CF48FE4">
                  <w:pPr>
                    <w:adjustRightInd w:val="0"/>
                    <w:snapToGrid w:val="0"/>
                    <w:jc w:val="center"/>
                    <w:rPr>
                      <w:b/>
                      <w:color w:val="auto"/>
                      <w:sz w:val="21"/>
                      <w:szCs w:val="21"/>
                    </w:rPr>
                  </w:pPr>
                  <w:r>
                    <w:rPr>
                      <w:b/>
                      <w:color w:val="auto"/>
                      <w:sz w:val="21"/>
                      <w:szCs w:val="21"/>
                    </w:rPr>
                    <w:t>类别</w:t>
                  </w:r>
                </w:p>
              </w:tc>
              <w:tc>
                <w:tcPr>
                  <w:tcW w:w="992" w:type="pct"/>
                  <w:noWrap w:val="0"/>
                  <w:vAlign w:val="center"/>
                </w:tcPr>
                <w:p w14:paraId="43B92808">
                  <w:pPr>
                    <w:adjustRightInd w:val="0"/>
                    <w:snapToGrid w:val="0"/>
                    <w:jc w:val="center"/>
                    <w:rPr>
                      <w:b/>
                      <w:color w:val="auto"/>
                      <w:sz w:val="21"/>
                      <w:szCs w:val="21"/>
                    </w:rPr>
                  </w:pPr>
                  <w:r>
                    <w:rPr>
                      <w:b/>
                      <w:color w:val="auto"/>
                      <w:sz w:val="21"/>
                      <w:szCs w:val="21"/>
                    </w:rPr>
                    <w:t>污染物</w:t>
                  </w:r>
                </w:p>
              </w:tc>
              <w:tc>
                <w:tcPr>
                  <w:tcW w:w="964" w:type="pct"/>
                  <w:noWrap w:val="0"/>
                  <w:vAlign w:val="center"/>
                </w:tcPr>
                <w:p w14:paraId="13FB9A73">
                  <w:pPr>
                    <w:pStyle w:val="143"/>
                    <w:widowControl w:val="0"/>
                    <w:pBdr>
                      <w:left w:val="none" w:color="auto" w:sz="0" w:space="0"/>
                    </w:pBdr>
                    <w:adjustRightInd w:val="0"/>
                    <w:snapToGrid w:val="0"/>
                    <w:spacing w:before="0" w:beforeAutospacing="0" w:after="0" w:afterAutospacing="0"/>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产生量</w:t>
                  </w:r>
                </w:p>
              </w:tc>
              <w:tc>
                <w:tcPr>
                  <w:tcW w:w="733" w:type="pct"/>
                  <w:noWrap w:val="0"/>
                  <w:vAlign w:val="center"/>
                </w:tcPr>
                <w:p w14:paraId="777B8F8E">
                  <w:pPr>
                    <w:pStyle w:val="143"/>
                    <w:widowControl w:val="0"/>
                    <w:pBdr>
                      <w:left w:val="none" w:color="auto" w:sz="0" w:space="0"/>
                    </w:pBdr>
                    <w:adjustRightInd w:val="0"/>
                    <w:snapToGrid w:val="0"/>
                    <w:spacing w:before="0" w:beforeAutospacing="0" w:after="0" w:afterAutospacing="0"/>
                    <w:rPr>
                      <w:rFonts w:hint="default" w:ascii="Times New Roman" w:hAnsi="Times New Roman" w:eastAsia="宋体"/>
                      <w:b/>
                      <w:color w:val="auto"/>
                      <w:sz w:val="21"/>
                      <w:szCs w:val="21"/>
                    </w:rPr>
                  </w:pPr>
                  <w:r>
                    <w:rPr>
                      <w:rFonts w:hint="default" w:ascii="Times New Roman" w:hAnsi="Times New Roman" w:eastAsia="宋体"/>
                      <w:b/>
                      <w:color w:val="auto"/>
                      <w:sz w:val="21"/>
                      <w:szCs w:val="21"/>
                    </w:rPr>
                    <w:t>削减量</w:t>
                  </w:r>
                </w:p>
              </w:tc>
              <w:tc>
                <w:tcPr>
                  <w:tcW w:w="650" w:type="pct"/>
                  <w:noWrap w:val="0"/>
                  <w:vAlign w:val="center"/>
                </w:tcPr>
                <w:p w14:paraId="36C4157A">
                  <w:pPr>
                    <w:pStyle w:val="143"/>
                    <w:widowControl w:val="0"/>
                    <w:pBdr>
                      <w:left w:val="none" w:color="auto" w:sz="0" w:space="0"/>
                    </w:pBdr>
                    <w:adjustRightInd w:val="0"/>
                    <w:snapToGrid w:val="0"/>
                    <w:spacing w:before="0" w:beforeAutospacing="0" w:after="0" w:afterAutospacing="0"/>
                    <w:rPr>
                      <w:rFonts w:hint="default" w:ascii="Times New Roman" w:hAnsi="Times New Roman" w:eastAsia="宋体"/>
                      <w:b/>
                      <w:color w:val="auto"/>
                      <w:sz w:val="21"/>
                      <w:szCs w:val="21"/>
                    </w:rPr>
                  </w:pPr>
                  <w:r>
                    <w:rPr>
                      <w:rFonts w:hint="default" w:ascii="Times New Roman" w:hAnsi="Times New Roman" w:eastAsia="宋体"/>
                      <w:b/>
                      <w:color w:val="auto"/>
                      <w:sz w:val="21"/>
                      <w:szCs w:val="21"/>
                    </w:rPr>
                    <w:t>接管量</w:t>
                  </w:r>
                </w:p>
              </w:tc>
              <w:tc>
                <w:tcPr>
                  <w:tcW w:w="835" w:type="pct"/>
                  <w:noWrap w:val="0"/>
                  <w:vAlign w:val="center"/>
                </w:tcPr>
                <w:p w14:paraId="0A7E3C18">
                  <w:pPr>
                    <w:pStyle w:val="143"/>
                    <w:widowControl w:val="0"/>
                    <w:pBdr>
                      <w:left w:val="none" w:color="auto" w:sz="0" w:space="0"/>
                    </w:pBdr>
                    <w:adjustRightInd w:val="0"/>
                    <w:snapToGrid w:val="0"/>
                    <w:spacing w:before="0" w:beforeAutospacing="0" w:after="0" w:afterAutospacing="0"/>
                    <w:rPr>
                      <w:rFonts w:hint="default" w:ascii="Times New Roman" w:hAnsi="Times New Roman" w:eastAsia="宋体"/>
                      <w:b/>
                      <w:color w:val="auto"/>
                      <w:sz w:val="21"/>
                      <w:szCs w:val="21"/>
                    </w:rPr>
                  </w:pPr>
                  <w:r>
                    <w:rPr>
                      <w:rFonts w:hint="default" w:ascii="Times New Roman" w:hAnsi="Times New Roman" w:eastAsia="宋体"/>
                      <w:b/>
                      <w:color w:val="auto"/>
                      <w:sz w:val="21"/>
                      <w:szCs w:val="21"/>
                    </w:rPr>
                    <w:t>排放量</w:t>
                  </w:r>
                </w:p>
              </w:tc>
            </w:tr>
            <w:tr w14:paraId="6D4BF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noWrap w:val="0"/>
                  <w:vAlign w:val="center"/>
                </w:tcPr>
                <w:p w14:paraId="1E2FDADA">
                  <w:pPr>
                    <w:adjustRightInd w:val="0"/>
                    <w:snapToGrid w:val="0"/>
                    <w:jc w:val="center"/>
                    <w:rPr>
                      <w:color w:val="auto"/>
                      <w:sz w:val="21"/>
                      <w:szCs w:val="21"/>
                    </w:rPr>
                  </w:pPr>
                  <w:r>
                    <w:rPr>
                      <w:color w:val="auto"/>
                      <w:sz w:val="21"/>
                      <w:szCs w:val="21"/>
                    </w:rPr>
                    <w:t>废气</w:t>
                  </w:r>
                </w:p>
              </w:tc>
              <w:tc>
                <w:tcPr>
                  <w:tcW w:w="992" w:type="pct"/>
                  <w:noWrap w:val="0"/>
                  <w:vAlign w:val="center"/>
                </w:tcPr>
                <w:p w14:paraId="030D3610">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964" w:type="pct"/>
                  <w:noWrap w:val="0"/>
                  <w:vAlign w:val="center"/>
                </w:tcPr>
                <w:p w14:paraId="0CA8091C">
                  <w:pPr>
                    <w:jc w:val="center"/>
                    <w:rPr>
                      <w:rFonts w:hint="default" w:eastAsia="宋体"/>
                      <w:color w:val="auto"/>
                      <w:sz w:val="21"/>
                      <w:szCs w:val="21"/>
                      <w:lang w:val="en-US" w:eastAsia="zh-CN"/>
                    </w:rPr>
                  </w:pPr>
                  <w:r>
                    <w:rPr>
                      <w:rFonts w:hint="eastAsia"/>
                      <w:color w:val="auto"/>
                      <w:sz w:val="21"/>
                      <w:szCs w:val="21"/>
                      <w:lang w:val="en-US" w:eastAsia="zh-CN"/>
                    </w:rPr>
                    <w:t>/</w:t>
                  </w:r>
                </w:p>
              </w:tc>
              <w:tc>
                <w:tcPr>
                  <w:tcW w:w="733" w:type="pct"/>
                  <w:noWrap w:val="0"/>
                  <w:vAlign w:val="center"/>
                </w:tcPr>
                <w:p w14:paraId="2DC0CE25">
                  <w:pPr>
                    <w:jc w:val="center"/>
                    <w:rPr>
                      <w:rFonts w:hint="eastAsia" w:eastAsia="宋体"/>
                      <w:color w:val="auto"/>
                      <w:sz w:val="21"/>
                      <w:szCs w:val="21"/>
                      <w:lang w:eastAsia="zh-CN"/>
                    </w:rPr>
                  </w:pPr>
                  <w:r>
                    <w:rPr>
                      <w:rFonts w:hint="eastAsia"/>
                      <w:color w:val="auto"/>
                      <w:sz w:val="21"/>
                      <w:szCs w:val="21"/>
                      <w:lang w:val="en-US" w:eastAsia="zh-CN"/>
                    </w:rPr>
                    <w:t>/</w:t>
                  </w:r>
                </w:p>
              </w:tc>
              <w:tc>
                <w:tcPr>
                  <w:tcW w:w="650" w:type="pct"/>
                  <w:noWrap w:val="0"/>
                  <w:vAlign w:val="center"/>
                </w:tcPr>
                <w:p w14:paraId="06552651">
                  <w:pPr>
                    <w:jc w:val="center"/>
                    <w:rPr>
                      <w:color w:val="auto"/>
                      <w:sz w:val="21"/>
                      <w:szCs w:val="21"/>
                    </w:rPr>
                  </w:pPr>
                  <w:r>
                    <w:rPr>
                      <w:color w:val="auto"/>
                      <w:sz w:val="21"/>
                      <w:szCs w:val="21"/>
                    </w:rPr>
                    <w:t>/</w:t>
                  </w:r>
                </w:p>
              </w:tc>
              <w:tc>
                <w:tcPr>
                  <w:tcW w:w="835" w:type="pct"/>
                  <w:noWrap w:val="0"/>
                  <w:vAlign w:val="center"/>
                </w:tcPr>
                <w:p w14:paraId="5F11C5AE">
                  <w:pPr>
                    <w:jc w:val="center"/>
                    <w:rPr>
                      <w:color w:val="auto"/>
                      <w:sz w:val="21"/>
                      <w:szCs w:val="21"/>
                    </w:rPr>
                  </w:pPr>
                  <w:r>
                    <w:rPr>
                      <w:rFonts w:hint="eastAsia"/>
                      <w:color w:val="auto"/>
                      <w:sz w:val="21"/>
                      <w:szCs w:val="21"/>
                      <w:lang w:val="en-US" w:eastAsia="zh-CN"/>
                    </w:rPr>
                    <w:t>/</w:t>
                  </w:r>
                </w:p>
              </w:tc>
            </w:tr>
            <w:tr w14:paraId="0686D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restart"/>
                  <w:noWrap w:val="0"/>
                  <w:vAlign w:val="center"/>
                </w:tcPr>
                <w:p w14:paraId="60A5C72F">
                  <w:pPr>
                    <w:jc w:val="center"/>
                    <w:rPr>
                      <w:color w:val="auto"/>
                      <w:sz w:val="21"/>
                      <w:szCs w:val="21"/>
                    </w:rPr>
                  </w:pPr>
                  <w:r>
                    <w:rPr>
                      <w:rFonts w:hint="eastAsia"/>
                      <w:color w:val="auto"/>
                      <w:sz w:val="21"/>
                      <w:szCs w:val="21"/>
                      <w:lang w:eastAsia="zh-CN"/>
                    </w:rPr>
                    <w:t>综合</w:t>
                  </w:r>
                  <w:r>
                    <w:rPr>
                      <w:color w:val="auto"/>
                      <w:sz w:val="21"/>
                      <w:szCs w:val="21"/>
                    </w:rPr>
                    <w:t>废水</w:t>
                  </w:r>
                </w:p>
              </w:tc>
              <w:tc>
                <w:tcPr>
                  <w:tcW w:w="992" w:type="pct"/>
                  <w:noWrap w:val="0"/>
                  <w:vAlign w:val="center"/>
                </w:tcPr>
                <w:p w14:paraId="6B29CA0C">
                  <w:pPr>
                    <w:adjustRightInd w:val="0"/>
                    <w:snapToGrid w:val="0"/>
                    <w:jc w:val="center"/>
                    <w:rPr>
                      <w:color w:val="auto"/>
                      <w:sz w:val="21"/>
                      <w:szCs w:val="21"/>
                    </w:rPr>
                  </w:pPr>
                  <w:r>
                    <w:rPr>
                      <w:color w:val="auto"/>
                      <w:sz w:val="21"/>
                      <w:szCs w:val="21"/>
                    </w:rPr>
                    <w:t>废水量</w:t>
                  </w:r>
                </w:p>
              </w:tc>
              <w:tc>
                <w:tcPr>
                  <w:tcW w:w="1624" w:type="dxa"/>
                  <w:noWrap w:val="0"/>
                  <w:vAlign w:val="center"/>
                </w:tcPr>
                <w:p w14:paraId="4145F2B2">
                  <w:pPr>
                    <w:keepNext w:val="0"/>
                    <w:keepLines w:val="0"/>
                    <w:widowControl/>
                    <w:suppressLineNumbers w:val="0"/>
                    <w:jc w:val="center"/>
                    <w:textAlignment w:val="center"/>
                    <w:rPr>
                      <w:rFonts w:hint="default" w:eastAsia="宋体"/>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46866</w:t>
                  </w:r>
                </w:p>
              </w:tc>
              <w:tc>
                <w:tcPr>
                  <w:tcW w:w="1235" w:type="dxa"/>
                  <w:noWrap w:val="0"/>
                  <w:vAlign w:val="center"/>
                </w:tcPr>
                <w:p w14:paraId="166B6A68">
                  <w:pPr>
                    <w:keepNext w:val="0"/>
                    <w:keepLines w:val="0"/>
                    <w:widowControl/>
                    <w:suppressLineNumbers w:val="0"/>
                    <w:jc w:val="center"/>
                    <w:textAlignment w:val="center"/>
                    <w:rPr>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095" w:type="dxa"/>
                  <w:noWrap w:val="0"/>
                  <w:vAlign w:val="center"/>
                </w:tcPr>
                <w:p w14:paraId="77EE51F7">
                  <w:pPr>
                    <w:keepNext w:val="0"/>
                    <w:keepLines w:val="0"/>
                    <w:widowControl/>
                    <w:suppressLineNumbers w:val="0"/>
                    <w:jc w:val="center"/>
                    <w:textAlignment w:val="center"/>
                    <w:rPr>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46866</w:t>
                  </w:r>
                </w:p>
              </w:tc>
              <w:tc>
                <w:tcPr>
                  <w:tcW w:w="1407" w:type="dxa"/>
                  <w:noWrap w:val="0"/>
                  <w:vAlign w:val="center"/>
                </w:tcPr>
                <w:p w14:paraId="6735B496">
                  <w:pPr>
                    <w:keepNext w:val="0"/>
                    <w:keepLines w:val="0"/>
                    <w:widowControl/>
                    <w:suppressLineNumbers w:val="0"/>
                    <w:jc w:val="center"/>
                    <w:textAlignment w:val="center"/>
                    <w:rPr>
                      <w:b w:val="0"/>
                      <w:bCs w:val="0"/>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46866</w:t>
                  </w:r>
                </w:p>
              </w:tc>
            </w:tr>
            <w:tr w14:paraId="24246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4482E03C">
                  <w:pPr>
                    <w:jc w:val="center"/>
                    <w:rPr>
                      <w:color w:val="auto"/>
                      <w:sz w:val="21"/>
                      <w:szCs w:val="21"/>
                    </w:rPr>
                  </w:pPr>
                </w:p>
              </w:tc>
              <w:tc>
                <w:tcPr>
                  <w:tcW w:w="992" w:type="pct"/>
                  <w:noWrap w:val="0"/>
                  <w:vAlign w:val="center"/>
                </w:tcPr>
                <w:p w14:paraId="797F46AD">
                  <w:pPr>
                    <w:adjustRightInd w:val="0"/>
                    <w:snapToGrid w:val="0"/>
                    <w:jc w:val="center"/>
                    <w:rPr>
                      <w:color w:val="auto"/>
                      <w:sz w:val="21"/>
                      <w:szCs w:val="21"/>
                    </w:rPr>
                  </w:pPr>
                  <w:r>
                    <w:rPr>
                      <w:color w:val="auto"/>
                      <w:sz w:val="21"/>
                      <w:szCs w:val="21"/>
                    </w:rPr>
                    <w:t>COD</w:t>
                  </w:r>
                </w:p>
              </w:tc>
              <w:tc>
                <w:tcPr>
                  <w:tcW w:w="1624" w:type="dxa"/>
                  <w:shd w:val="clear" w:color="auto" w:fill="auto"/>
                  <w:noWrap w:val="0"/>
                  <w:vAlign w:val="center"/>
                </w:tcPr>
                <w:p w14:paraId="794127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39.8424</w:t>
                  </w:r>
                </w:p>
              </w:tc>
              <w:tc>
                <w:tcPr>
                  <w:tcW w:w="1235" w:type="dxa"/>
                  <w:noWrap w:val="0"/>
                  <w:vAlign w:val="center"/>
                </w:tcPr>
                <w:p w14:paraId="0E4D906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36.0741</w:t>
                  </w:r>
                </w:p>
              </w:tc>
              <w:tc>
                <w:tcPr>
                  <w:tcW w:w="1095" w:type="dxa"/>
                  <w:shd w:val="clear" w:color="auto" w:fill="auto"/>
                  <w:noWrap w:val="0"/>
                  <w:vAlign w:val="center"/>
                </w:tcPr>
                <w:p w14:paraId="4278C6A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3.7683</w:t>
                  </w:r>
                </w:p>
              </w:tc>
              <w:tc>
                <w:tcPr>
                  <w:tcW w:w="1407" w:type="dxa"/>
                  <w:shd w:val="clear" w:color="auto" w:fill="auto"/>
                  <w:noWrap w:val="0"/>
                  <w:vAlign w:val="center"/>
                </w:tcPr>
                <w:p w14:paraId="380CF5E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2.3433</w:t>
                  </w:r>
                </w:p>
              </w:tc>
            </w:tr>
            <w:tr w14:paraId="7C5FD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6B20264A">
                  <w:pPr>
                    <w:jc w:val="center"/>
                    <w:rPr>
                      <w:color w:val="auto"/>
                      <w:sz w:val="21"/>
                      <w:szCs w:val="21"/>
                    </w:rPr>
                  </w:pPr>
                </w:p>
              </w:tc>
              <w:tc>
                <w:tcPr>
                  <w:tcW w:w="992" w:type="pct"/>
                  <w:noWrap w:val="0"/>
                  <w:vAlign w:val="center"/>
                </w:tcPr>
                <w:p w14:paraId="764C1BD9">
                  <w:pPr>
                    <w:adjustRightInd w:val="0"/>
                    <w:snapToGrid w:val="0"/>
                    <w:jc w:val="center"/>
                    <w:rPr>
                      <w:color w:val="auto"/>
                      <w:sz w:val="21"/>
                      <w:szCs w:val="21"/>
                    </w:rPr>
                  </w:pPr>
                  <w:r>
                    <w:rPr>
                      <w:rFonts w:hint="eastAsia"/>
                      <w:color w:val="auto"/>
                      <w:sz w:val="21"/>
                      <w:szCs w:val="21"/>
                    </w:rPr>
                    <w:t>B</w:t>
                  </w:r>
                  <w:r>
                    <w:rPr>
                      <w:color w:val="auto"/>
                      <w:sz w:val="21"/>
                      <w:szCs w:val="21"/>
                    </w:rPr>
                    <w:t>OD</w:t>
                  </w:r>
                  <w:r>
                    <w:rPr>
                      <w:color w:val="auto"/>
                      <w:sz w:val="21"/>
                      <w:szCs w:val="21"/>
                      <w:vertAlign w:val="subscript"/>
                    </w:rPr>
                    <w:t>5</w:t>
                  </w:r>
                </w:p>
              </w:tc>
              <w:tc>
                <w:tcPr>
                  <w:tcW w:w="1624" w:type="dxa"/>
                  <w:shd w:val="clear" w:color="auto" w:fill="auto"/>
                  <w:noWrap w:val="0"/>
                  <w:vAlign w:val="center"/>
                </w:tcPr>
                <w:p w14:paraId="23A0B1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18.1968</w:t>
                  </w:r>
                </w:p>
              </w:tc>
              <w:tc>
                <w:tcPr>
                  <w:tcW w:w="1235" w:type="dxa"/>
                  <w:noWrap w:val="0"/>
                  <w:vAlign w:val="center"/>
                </w:tcPr>
                <w:p w14:paraId="1CB9BE3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14.1090</w:t>
                  </w:r>
                </w:p>
              </w:tc>
              <w:tc>
                <w:tcPr>
                  <w:tcW w:w="1095" w:type="dxa"/>
                  <w:shd w:val="clear" w:color="auto" w:fill="auto"/>
                  <w:noWrap w:val="0"/>
                  <w:vAlign w:val="center"/>
                </w:tcPr>
                <w:p w14:paraId="17A5716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4.0878</w:t>
                  </w:r>
                </w:p>
              </w:tc>
              <w:tc>
                <w:tcPr>
                  <w:tcW w:w="1407" w:type="dxa"/>
                  <w:shd w:val="clear" w:color="auto" w:fill="auto"/>
                  <w:noWrap w:val="0"/>
                  <w:vAlign w:val="center"/>
                </w:tcPr>
                <w:p w14:paraId="15D60F0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0.4687</w:t>
                  </w:r>
                </w:p>
              </w:tc>
            </w:tr>
            <w:tr w14:paraId="711E7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3743426D">
                  <w:pPr>
                    <w:jc w:val="center"/>
                    <w:rPr>
                      <w:color w:val="auto"/>
                      <w:sz w:val="21"/>
                      <w:szCs w:val="21"/>
                    </w:rPr>
                  </w:pPr>
                </w:p>
              </w:tc>
              <w:tc>
                <w:tcPr>
                  <w:tcW w:w="992" w:type="pct"/>
                  <w:noWrap w:val="0"/>
                  <w:vAlign w:val="center"/>
                </w:tcPr>
                <w:p w14:paraId="19B7FB4E">
                  <w:pPr>
                    <w:adjustRightInd w:val="0"/>
                    <w:snapToGrid w:val="0"/>
                    <w:jc w:val="center"/>
                    <w:rPr>
                      <w:rFonts w:hint="eastAsia" w:eastAsia="宋体"/>
                      <w:color w:val="auto"/>
                      <w:sz w:val="21"/>
                      <w:szCs w:val="21"/>
                      <w:lang w:eastAsia="zh-CN"/>
                    </w:rPr>
                  </w:pPr>
                  <w:r>
                    <w:rPr>
                      <w:color w:val="auto"/>
                      <w:sz w:val="21"/>
                      <w:szCs w:val="21"/>
                    </w:rPr>
                    <w:t>SS</w:t>
                  </w:r>
                </w:p>
              </w:tc>
              <w:tc>
                <w:tcPr>
                  <w:tcW w:w="1624" w:type="dxa"/>
                  <w:shd w:val="clear" w:color="auto" w:fill="auto"/>
                  <w:noWrap w:val="0"/>
                  <w:vAlign w:val="center"/>
                </w:tcPr>
                <w:p w14:paraId="67D8528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9.7476</w:t>
                  </w:r>
                </w:p>
              </w:tc>
              <w:tc>
                <w:tcPr>
                  <w:tcW w:w="1235" w:type="dxa"/>
                  <w:noWrap w:val="0"/>
                  <w:vAlign w:val="center"/>
                </w:tcPr>
                <w:p w14:paraId="0189193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7.6946</w:t>
                  </w:r>
                </w:p>
              </w:tc>
              <w:tc>
                <w:tcPr>
                  <w:tcW w:w="1095" w:type="dxa"/>
                  <w:shd w:val="clear" w:color="auto" w:fill="auto"/>
                  <w:noWrap w:val="0"/>
                  <w:vAlign w:val="center"/>
                </w:tcPr>
                <w:p w14:paraId="4FAB7A8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2.0530</w:t>
                  </w:r>
                </w:p>
              </w:tc>
              <w:tc>
                <w:tcPr>
                  <w:tcW w:w="1407" w:type="dxa"/>
                  <w:shd w:val="clear" w:color="auto" w:fill="auto"/>
                  <w:noWrap w:val="0"/>
                  <w:vAlign w:val="center"/>
                </w:tcPr>
                <w:p w14:paraId="2A833854">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0.4687</w:t>
                  </w:r>
                </w:p>
              </w:tc>
            </w:tr>
            <w:tr w14:paraId="71120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4890766C">
                  <w:pPr>
                    <w:jc w:val="center"/>
                    <w:rPr>
                      <w:color w:val="auto"/>
                      <w:sz w:val="21"/>
                      <w:szCs w:val="21"/>
                    </w:rPr>
                  </w:pPr>
                </w:p>
              </w:tc>
              <w:tc>
                <w:tcPr>
                  <w:tcW w:w="992" w:type="pct"/>
                  <w:noWrap w:val="0"/>
                  <w:vAlign w:val="center"/>
                </w:tcPr>
                <w:p w14:paraId="69A47DB8">
                  <w:pPr>
                    <w:adjustRightInd w:val="0"/>
                    <w:snapToGrid w:val="0"/>
                    <w:jc w:val="center"/>
                    <w:rPr>
                      <w:rFonts w:hint="eastAsia"/>
                      <w:color w:val="auto"/>
                      <w:sz w:val="21"/>
                      <w:szCs w:val="21"/>
                      <w:lang w:eastAsia="zh-CN"/>
                    </w:rPr>
                  </w:pPr>
                  <w:r>
                    <w:rPr>
                      <w:color w:val="auto"/>
                      <w:sz w:val="21"/>
                      <w:szCs w:val="21"/>
                    </w:rPr>
                    <w:t>氨氮</w:t>
                  </w:r>
                </w:p>
              </w:tc>
              <w:tc>
                <w:tcPr>
                  <w:tcW w:w="1624" w:type="dxa"/>
                  <w:shd w:val="clear" w:color="auto" w:fill="auto"/>
                  <w:noWrap w:val="0"/>
                  <w:vAlign w:val="center"/>
                </w:tcPr>
                <w:p w14:paraId="0AD72B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2.5238</w:t>
                  </w:r>
                </w:p>
              </w:tc>
              <w:tc>
                <w:tcPr>
                  <w:tcW w:w="1235" w:type="dxa"/>
                  <w:noWrap w:val="0"/>
                  <w:vAlign w:val="center"/>
                </w:tcPr>
                <w:p w14:paraId="664AD4A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2.3927</w:t>
                  </w:r>
                </w:p>
              </w:tc>
              <w:tc>
                <w:tcPr>
                  <w:tcW w:w="1095" w:type="dxa"/>
                  <w:shd w:val="clear" w:color="auto" w:fill="auto"/>
                  <w:noWrap w:val="0"/>
                  <w:vAlign w:val="center"/>
                </w:tcPr>
                <w:p w14:paraId="37D9B7D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0.1311</w:t>
                  </w:r>
                </w:p>
              </w:tc>
              <w:tc>
                <w:tcPr>
                  <w:tcW w:w="1407" w:type="dxa"/>
                  <w:shd w:val="clear" w:color="auto" w:fill="auto"/>
                  <w:noWrap w:val="0"/>
                  <w:vAlign w:val="center"/>
                </w:tcPr>
                <w:p w14:paraId="797F905F">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0.0937</w:t>
                  </w:r>
                </w:p>
              </w:tc>
            </w:tr>
            <w:tr w14:paraId="04359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542F821D">
                  <w:pPr>
                    <w:jc w:val="center"/>
                    <w:rPr>
                      <w:color w:val="auto"/>
                      <w:sz w:val="21"/>
                      <w:szCs w:val="21"/>
                    </w:rPr>
                  </w:pPr>
                </w:p>
              </w:tc>
              <w:tc>
                <w:tcPr>
                  <w:tcW w:w="992" w:type="pct"/>
                  <w:noWrap w:val="0"/>
                  <w:vAlign w:val="center"/>
                </w:tcPr>
                <w:p w14:paraId="0AE331EA">
                  <w:pPr>
                    <w:adjustRightInd w:val="0"/>
                    <w:snapToGrid w:val="0"/>
                    <w:jc w:val="center"/>
                    <w:rPr>
                      <w:rFonts w:hint="eastAsia"/>
                      <w:color w:val="auto"/>
                      <w:sz w:val="21"/>
                      <w:szCs w:val="21"/>
                      <w:lang w:eastAsia="zh-CN"/>
                    </w:rPr>
                  </w:pPr>
                  <w:r>
                    <w:rPr>
                      <w:color w:val="auto"/>
                      <w:sz w:val="21"/>
                      <w:szCs w:val="21"/>
                    </w:rPr>
                    <w:t>总氮</w:t>
                  </w:r>
                </w:p>
              </w:tc>
              <w:tc>
                <w:tcPr>
                  <w:tcW w:w="1624" w:type="dxa"/>
                  <w:shd w:val="clear" w:color="auto" w:fill="auto"/>
                  <w:noWrap w:val="0"/>
                  <w:vAlign w:val="center"/>
                </w:tcPr>
                <w:p w14:paraId="7CBB37A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4.7878</w:t>
                  </w:r>
                </w:p>
              </w:tc>
              <w:tc>
                <w:tcPr>
                  <w:tcW w:w="1235" w:type="dxa"/>
                  <w:noWrap w:val="0"/>
                  <w:vAlign w:val="center"/>
                </w:tcPr>
                <w:p w14:paraId="0AF0651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4.5377</w:t>
                  </w:r>
                </w:p>
              </w:tc>
              <w:tc>
                <w:tcPr>
                  <w:tcW w:w="1095" w:type="dxa"/>
                  <w:shd w:val="clear" w:color="auto" w:fill="auto"/>
                  <w:noWrap w:val="0"/>
                  <w:vAlign w:val="center"/>
                </w:tcPr>
                <w:p w14:paraId="7DF8DBA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0.2501</w:t>
                  </w:r>
                </w:p>
              </w:tc>
              <w:tc>
                <w:tcPr>
                  <w:tcW w:w="1407" w:type="dxa"/>
                  <w:shd w:val="clear" w:color="auto" w:fill="auto"/>
                  <w:noWrap w:val="0"/>
                  <w:vAlign w:val="center"/>
                </w:tcPr>
                <w:p w14:paraId="3485E54B">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0.1406</w:t>
                  </w:r>
                </w:p>
              </w:tc>
            </w:tr>
            <w:tr w14:paraId="00BB5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1FD89492">
                  <w:pPr>
                    <w:jc w:val="center"/>
                    <w:rPr>
                      <w:color w:val="auto"/>
                      <w:sz w:val="21"/>
                      <w:szCs w:val="21"/>
                    </w:rPr>
                  </w:pPr>
                </w:p>
              </w:tc>
              <w:tc>
                <w:tcPr>
                  <w:tcW w:w="992" w:type="pct"/>
                  <w:noWrap w:val="0"/>
                  <w:vAlign w:val="center"/>
                </w:tcPr>
                <w:p w14:paraId="1801EF8A">
                  <w:pPr>
                    <w:adjustRightInd w:val="0"/>
                    <w:snapToGrid w:val="0"/>
                    <w:jc w:val="center"/>
                    <w:rPr>
                      <w:rFonts w:hint="eastAsia"/>
                      <w:color w:val="auto"/>
                      <w:sz w:val="21"/>
                      <w:szCs w:val="21"/>
                      <w:lang w:eastAsia="zh-CN"/>
                    </w:rPr>
                  </w:pPr>
                  <w:r>
                    <w:rPr>
                      <w:color w:val="auto"/>
                      <w:sz w:val="21"/>
                      <w:szCs w:val="21"/>
                    </w:rPr>
                    <w:t>总磷</w:t>
                  </w:r>
                </w:p>
              </w:tc>
              <w:tc>
                <w:tcPr>
                  <w:tcW w:w="1624" w:type="dxa"/>
                  <w:shd w:val="clear" w:color="auto" w:fill="auto"/>
                  <w:noWrap w:val="0"/>
                  <w:vAlign w:val="center"/>
                </w:tcPr>
                <w:p w14:paraId="4B2810C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0.6302</w:t>
                  </w:r>
                </w:p>
              </w:tc>
              <w:tc>
                <w:tcPr>
                  <w:tcW w:w="1235" w:type="dxa"/>
                  <w:noWrap w:val="0"/>
                  <w:vAlign w:val="center"/>
                </w:tcPr>
                <w:p w14:paraId="77129CB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0.6055</w:t>
                  </w:r>
                </w:p>
              </w:tc>
              <w:tc>
                <w:tcPr>
                  <w:tcW w:w="1095" w:type="dxa"/>
                  <w:shd w:val="clear" w:color="auto" w:fill="auto"/>
                  <w:noWrap w:val="0"/>
                  <w:vAlign w:val="center"/>
                </w:tcPr>
                <w:p w14:paraId="1C94106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0.0247</w:t>
                  </w:r>
                </w:p>
              </w:tc>
              <w:tc>
                <w:tcPr>
                  <w:tcW w:w="1407" w:type="dxa"/>
                  <w:shd w:val="clear" w:color="auto" w:fill="auto"/>
                  <w:noWrap w:val="0"/>
                  <w:vAlign w:val="center"/>
                </w:tcPr>
                <w:p w14:paraId="7BFF7318">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0.0127</w:t>
                  </w:r>
                </w:p>
              </w:tc>
            </w:tr>
            <w:tr w14:paraId="309C7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535118CF">
                  <w:pPr>
                    <w:jc w:val="center"/>
                    <w:rPr>
                      <w:color w:val="auto"/>
                      <w:sz w:val="21"/>
                      <w:szCs w:val="21"/>
                    </w:rPr>
                  </w:pPr>
                </w:p>
              </w:tc>
              <w:tc>
                <w:tcPr>
                  <w:tcW w:w="992" w:type="pct"/>
                  <w:noWrap w:val="0"/>
                  <w:vAlign w:val="center"/>
                </w:tcPr>
                <w:p w14:paraId="0F02E09E">
                  <w:pPr>
                    <w:adjustRightInd w:val="0"/>
                    <w:snapToGrid w:val="0"/>
                    <w:jc w:val="center"/>
                    <w:rPr>
                      <w:rFonts w:hint="eastAsia"/>
                      <w:color w:val="auto"/>
                      <w:sz w:val="21"/>
                      <w:szCs w:val="21"/>
                      <w:lang w:eastAsia="zh-CN"/>
                    </w:rPr>
                  </w:pPr>
                  <w:r>
                    <w:rPr>
                      <w:color w:val="auto"/>
                      <w:sz w:val="21"/>
                      <w:szCs w:val="21"/>
                    </w:rPr>
                    <w:t>动植物油</w:t>
                  </w:r>
                </w:p>
              </w:tc>
              <w:tc>
                <w:tcPr>
                  <w:tcW w:w="1624" w:type="dxa"/>
                  <w:shd w:val="clear" w:color="auto" w:fill="auto"/>
                  <w:noWrap w:val="0"/>
                  <w:vAlign w:val="center"/>
                </w:tcPr>
                <w:p w14:paraId="4B22148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1.0466</w:t>
                  </w:r>
                </w:p>
              </w:tc>
              <w:tc>
                <w:tcPr>
                  <w:tcW w:w="1235" w:type="dxa"/>
                  <w:noWrap w:val="0"/>
                  <w:vAlign w:val="center"/>
                </w:tcPr>
                <w:p w14:paraId="2B917E4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1.0275</w:t>
                  </w:r>
                </w:p>
              </w:tc>
              <w:tc>
                <w:tcPr>
                  <w:tcW w:w="1095" w:type="dxa"/>
                  <w:shd w:val="clear" w:color="auto" w:fill="auto"/>
                  <w:noWrap w:val="0"/>
                  <w:vAlign w:val="center"/>
                </w:tcPr>
                <w:p w14:paraId="0656BFC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0.0191</w:t>
                  </w:r>
                </w:p>
              </w:tc>
              <w:tc>
                <w:tcPr>
                  <w:tcW w:w="1407" w:type="dxa"/>
                  <w:shd w:val="clear" w:color="auto" w:fill="auto"/>
                  <w:noWrap w:val="0"/>
                  <w:vAlign w:val="center"/>
                </w:tcPr>
                <w:p w14:paraId="0CEC39A3">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0.0094</w:t>
                  </w:r>
                </w:p>
              </w:tc>
            </w:tr>
            <w:tr w14:paraId="40051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24ACA124">
                  <w:pPr>
                    <w:jc w:val="center"/>
                    <w:rPr>
                      <w:color w:val="auto"/>
                      <w:sz w:val="21"/>
                      <w:szCs w:val="21"/>
                    </w:rPr>
                  </w:pPr>
                </w:p>
              </w:tc>
              <w:tc>
                <w:tcPr>
                  <w:tcW w:w="992" w:type="pct"/>
                  <w:shd w:val="clear" w:color="auto" w:fill="auto"/>
                  <w:noWrap w:val="0"/>
                  <w:vAlign w:val="center"/>
                </w:tcPr>
                <w:p w14:paraId="34AD68F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 w:val="21"/>
                      <w:szCs w:val="21"/>
                    </w:rPr>
                    <w:t>LAS</w:t>
                  </w:r>
                </w:p>
              </w:tc>
              <w:tc>
                <w:tcPr>
                  <w:tcW w:w="1624" w:type="dxa"/>
                  <w:shd w:val="clear" w:color="auto" w:fill="auto"/>
                  <w:noWrap w:val="0"/>
                  <w:vAlign w:val="center"/>
                </w:tcPr>
                <w:p w14:paraId="6B1D9AD5">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1.1592</w:t>
                  </w:r>
                </w:p>
              </w:tc>
              <w:tc>
                <w:tcPr>
                  <w:tcW w:w="1235" w:type="dxa"/>
                  <w:shd w:val="clear" w:color="auto" w:fill="auto"/>
                  <w:noWrap w:val="0"/>
                  <w:vAlign w:val="center"/>
                </w:tcPr>
                <w:p w14:paraId="56D81E9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1.1174</w:t>
                  </w:r>
                </w:p>
              </w:tc>
              <w:tc>
                <w:tcPr>
                  <w:tcW w:w="1095" w:type="dxa"/>
                  <w:shd w:val="clear" w:color="auto" w:fill="auto"/>
                  <w:noWrap w:val="0"/>
                  <w:vAlign w:val="center"/>
                </w:tcPr>
                <w:p w14:paraId="4308A2FB">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0.0418</w:t>
                  </w:r>
                </w:p>
              </w:tc>
              <w:tc>
                <w:tcPr>
                  <w:tcW w:w="1407" w:type="dxa"/>
                  <w:shd w:val="clear" w:color="auto" w:fill="auto"/>
                  <w:noWrap w:val="0"/>
                  <w:vAlign w:val="center"/>
                </w:tcPr>
                <w:p w14:paraId="50F6141C">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0.0234</w:t>
                  </w:r>
                </w:p>
              </w:tc>
            </w:tr>
            <w:tr w14:paraId="7B834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2C572510">
                  <w:pPr>
                    <w:jc w:val="center"/>
                    <w:rPr>
                      <w:color w:val="auto"/>
                      <w:sz w:val="21"/>
                      <w:szCs w:val="21"/>
                    </w:rPr>
                  </w:pPr>
                </w:p>
              </w:tc>
              <w:tc>
                <w:tcPr>
                  <w:tcW w:w="992" w:type="pct"/>
                  <w:noWrap w:val="0"/>
                  <w:vAlign w:val="center"/>
                </w:tcPr>
                <w:p w14:paraId="5E0B306C">
                  <w:pPr>
                    <w:adjustRightInd w:val="0"/>
                    <w:snapToGrid w:val="0"/>
                    <w:jc w:val="center"/>
                    <w:rPr>
                      <w:rFonts w:hint="eastAsia"/>
                      <w:color w:val="auto"/>
                      <w:sz w:val="21"/>
                      <w:szCs w:val="21"/>
                      <w:lang w:eastAsia="zh-CN"/>
                    </w:rPr>
                  </w:pPr>
                  <w:r>
                    <w:rPr>
                      <w:rFonts w:hint="eastAsia"/>
                      <w:color w:val="auto"/>
                      <w:sz w:val="21"/>
                      <w:szCs w:val="21"/>
                      <w:lang w:eastAsia="zh-CN"/>
                    </w:rPr>
                    <w:t>盐分</w:t>
                  </w:r>
                </w:p>
              </w:tc>
              <w:tc>
                <w:tcPr>
                  <w:tcW w:w="1624" w:type="dxa"/>
                  <w:shd w:val="clear" w:color="auto" w:fill="auto"/>
                  <w:noWrap w:val="0"/>
                  <w:vAlign w:val="center"/>
                </w:tcPr>
                <w:p w14:paraId="1EFED6A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1235" w:type="dxa"/>
                  <w:noWrap w:val="0"/>
                  <w:vAlign w:val="center"/>
                </w:tcPr>
                <w:p w14:paraId="16B322E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95" w:type="dxa"/>
                  <w:shd w:val="clear" w:color="auto" w:fill="auto"/>
                  <w:noWrap w:val="0"/>
                  <w:vAlign w:val="center"/>
                </w:tcPr>
                <w:p w14:paraId="5B73655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1407" w:type="dxa"/>
                  <w:shd w:val="clear" w:color="auto" w:fill="auto"/>
                  <w:noWrap w:val="0"/>
                  <w:vAlign w:val="center"/>
                </w:tcPr>
                <w:p w14:paraId="12643EDB">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1.68</w:t>
                  </w:r>
                </w:p>
              </w:tc>
            </w:tr>
            <w:tr w14:paraId="45A3C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restart"/>
                  <w:noWrap w:val="0"/>
                  <w:vAlign w:val="center"/>
                </w:tcPr>
                <w:p w14:paraId="165C0CC9">
                  <w:pPr>
                    <w:adjustRightInd w:val="0"/>
                    <w:snapToGrid w:val="0"/>
                    <w:jc w:val="center"/>
                    <w:rPr>
                      <w:color w:val="auto"/>
                      <w:sz w:val="21"/>
                      <w:szCs w:val="21"/>
                    </w:rPr>
                  </w:pPr>
                  <w:r>
                    <w:rPr>
                      <w:color w:val="auto"/>
                      <w:sz w:val="21"/>
                      <w:szCs w:val="21"/>
                    </w:rPr>
                    <w:t>固废</w:t>
                  </w:r>
                </w:p>
              </w:tc>
              <w:tc>
                <w:tcPr>
                  <w:tcW w:w="992" w:type="pct"/>
                  <w:noWrap w:val="0"/>
                  <w:vAlign w:val="center"/>
                </w:tcPr>
                <w:p w14:paraId="732A29D2">
                  <w:pPr>
                    <w:adjustRightInd w:val="0"/>
                    <w:snapToGrid w:val="0"/>
                    <w:jc w:val="center"/>
                    <w:rPr>
                      <w:color w:val="auto"/>
                      <w:sz w:val="21"/>
                      <w:szCs w:val="21"/>
                    </w:rPr>
                  </w:pPr>
                  <w:r>
                    <w:rPr>
                      <w:color w:val="auto"/>
                      <w:sz w:val="21"/>
                      <w:szCs w:val="21"/>
                    </w:rPr>
                    <w:t>一般工业固废</w:t>
                  </w:r>
                </w:p>
              </w:tc>
              <w:tc>
                <w:tcPr>
                  <w:tcW w:w="964" w:type="pct"/>
                  <w:noWrap w:val="0"/>
                  <w:vAlign w:val="center"/>
                </w:tcPr>
                <w:p w14:paraId="7EB055E6">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4.4</w:t>
                  </w:r>
                </w:p>
              </w:tc>
              <w:tc>
                <w:tcPr>
                  <w:tcW w:w="733" w:type="pct"/>
                  <w:noWrap w:val="0"/>
                  <w:vAlign w:val="center"/>
                </w:tcPr>
                <w:p w14:paraId="5B93042B">
                  <w:pPr>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50" w:type="pct"/>
                  <w:noWrap w:val="0"/>
                  <w:vAlign w:val="center"/>
                </w:tcPr>
                <w:p w14:paraId="54875ECF">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4.4</w:t>
                  </w:r>
                </w:p>
              </w:tc>
              <w:tc>
                <w:tcPr>
                  <w:tcW w:w="835" w:type="pct"/>
                  <w:noWrap w:val="0"/>
                  <w:vAlign w:val="center"/>
                </w:tcPr>
                <w:p w14:paraId="09722D9E">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r>
            <w:tr w14:paraId="53A03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79A8CB88">
                  <w:pPr>
                    <w:adjustRightInd w:val="0"/>
                    <w:snapToGrid w:val="0"/>
                    <w:jc w:val="center"/>
                    <w:rPr>
                      <w:color w:val="auto"/>
                      <w:sz w:val="21"/>
                      <w:szCs w:val="21"/>
                    </w:rPr>
                  </w:pPr>
                </w:p>
              </w:tc>
              <w:tc>
                <w:tcPr>
                  <w:tcW w:w="992" w:type="pct"/>
                  <w:noWrap w:val="0"/>
                  <w:vAlign w:val="center"/>
                </w:tcPr>
                <w:p w14:paraId="5B2DB78C">
                  <w:pPr>
                    <w:pBdr>
                      <w:left w:val="single" w:color="auto" w:sz="4" w:space="0"/>
                    </w:pBdr>
                    <w:adjustRightInd w:val="0"/>
                    <w:snapToGrid w:val="0"/>
                    <w:jc w:val="center"/>
                    <w:rPr>
                      <w:color w:val="auto"/>
                      <w:sz w:val="21"/>
                      <w:szCs w:val="21"/>
                    </w:rPr>
                  </w:pPr>
                  <w:r>
                    <w:rPr>
                      <w:color w:val="auto"/>
                      <w:sz w:val="21"/>
                      <w:szCs w:val="21"/>
                    </w:rPr>
                    <w:t>危险废物</w:t>
                  </w:r>
                </w:p>
              </w:tc>
              <w:tc>
                <w:tcPr>
                  <w:tcW w:w="964" w:type="pct"/>
                  <w:noWrap w:val="0"/>
                  <w:vAlign w:val="center"/>
                </w:tcPr>
                <w:p w14:paraId="7B9C72ED">
                  <w:pPr>
                    <w:pBdr>
                      <w:left w:val="single" w:color="auto" w:sz="4" w:space="0"/>
                    </w:pBdr>
                    <w:adjustRightInd w:val="0"/>
                    <w:snapToGrid w:val="0"/>
                    <w:jc w:val="center"/>
                    <w:rPr>
                      <w:rFonts w:hint="default" w:eastAsia="宋体"/>
                      <w:color w:val="auto"/>
                      <w:sz w:val="21"/>
                      <w:szCs w:val="21"/>
                      <w:lang w:val="en-US" w:eastAsia="zh-CN"/>
                    </w:rPr>
                  </w:pPr>
                </w:p>
              </w:tc>
              <w:tc>
                <w:tcPr>
                  <w:tcW w:w="733" w:type="pct"/>
                  <w:noWrap w:val="0"/>
                  <w:vAlign w:val="center"/>
                </w:tcPr>
                <w:p w14:paraId="63CA628B">
                  <w:pPr>
                    <w:pBdr>
                      <w:left w:val="single" w:color="auto" w:sz="4" w:space="0"/>
                    </w:pBdr>
                    <w:adjustRightInd w:val="0"/>
                    <w:snapToGrid w:val="0"/>
                    <w:jc w:val="center"/>
                    <w:rPr>
                      <w:rFonts w:hint="default" w:eastAsia="宋体"/>
                      <w:color w:val="auto"/>
                      <w:sz w:val="21"/>
                      <w:szCs w:val="21"/>
                      <w:lang w:val="en-US" w:eastAsia="zh-CN"/>
                    </w:rPr>
                  </w:pPr>
                </w:p>
              </w:tc>
              <w:tc>
                <w:tcPr>
                  <w:tcW w:w="650" w:type="pct"/>
                  <w:noWrap w:val="0"/>
                  <w:vAlign w:val="center"/>
                </w:tcPr>
                <w:p w14:paraId="211F737A">
                  <w:pPr>
                    <w:pBdr>
                      <w:left w:val="single" w:color="auto" w:sz="4" w:space="0"/>
                    </w:pBdr>
                    <w:adjustRightInd w:val="0"/>
                    <w:snapToGrid w:val="0"/>
                    <w:jc w:val="center"/>
                    <w:rPr>
                      <w:color w:val="auto"/>
                      <w:sz w:val="21"/>
                      <w:szCs w:val="21"/>
                    </w:rPr>
                  </w:pPr>
                  <w:r>
                    <w:rPr>
                      <w:color w:val="auto"/>
                      <w:sz w:val="21"/>
                      <w:szCs w:val="21"/>
                    </w:rPr>
                    <w:t>/</w:t>
                  </w:r>
                </w:p>
              </w:tc>
              <w:tc>
                <w:tcPr>
                  <w:tcW w:w="835" w:type="pct"/>
                  <w:tcBorders>
                    <w:right w:val="single" w:color="auto" w:sz="4" w:space="0"/>
                  </w:tcBorders>
                  <w:noWrap w:val="0"/>
                  <w:vAlign w:val="center"/>
                </w:tcPr>
                <w:p w14:paraId="70ABA181">
                  <w:pPr>
                    <w:pBdr>
                      <w:left w:val="single" w:color="auto" w:sz="4" w:space="0"/>
                    </w:pBdr>
                    <w:adjustRightInd w:val="0"/>
                    <w:snapToGrid w:val="0"/>
                    <w:jc w:val="center"/>
                    <w:rPr>
                      <w:color w:val="auto"/>
                      <w:sz w:val="21"/>
                      <w:szCs w:val="21"/>
                    </w:rPr>
                  </w:pPr>
                  <w:r>
                    <w:rPr>
                      <w:color w:val="auto"/>
                      <w:sz w:val="21"/>
                      <w:szCs w:val="21"/>
                    </w:rPr>
                    <w:t>0</w:t>
                  </w:r>
                </w:p>
              </w:tc>
            </w:tr>
            <w:tr w14:paraId="3EDD5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0E77DC0E">
                  <w:pPr>
                    <w:adjustRightInd w:val="0"/>
                    <w:snapToGrid w:val="0"/>
                    <w:jc w:val="center"/>
                    <w:rPr>
                      <w:color w:val="auto"/>
                      <w:sz w:val="21"/>
                      <w:szCs w:val="21"/>
                    </w:rPr>
                  </w:pPr>
                </w:p>
              </w:tc>
              <w:tc>
                <w:tcPr>
                  <w:tcW w:w="992" w:type="pct"/>
                  <w:noWrap w:val="0"/>
                  <w:vAlign w:val="center"/>
                </w:tcPr>
                <w:p w14:paraId="1DF6DB51">
                  <w:pPr>
                    <w:pBdr>
                      <w:left w:val="single" w:color="auto" w:sz="4" w:space="0"/>
                    </w:pBdr>
                    <w:adjustRightInd w:val="0"/>
                    <w:snapToGrid w:val="0"/>
                    <w:jc w:val="center"/>
                    <w:rPr>
                      <w:color w:val="auto"/>
                      <w:sz w:val="21"/>
                      <w:szCs w:val="21"/>
                    </w:rPr>
                  </w:pPr>
                  <w:r>
                    <w:rPr>
                      <w:color w:val="auto"/>
                      <w:sz w:val="21"/>
                      <w:szCs w:val="21"/>
                    </w:rPr>
                    <w:t>生活垃圾</w:t>
                  </w:r>
                </w:p>
              </w:tc>
              <w:tc>
                <w:tcPr>
                  <w:tcW w:w="964" w:type="pct"/>
                  <w:noWrap w:val="0"/>
                  <w:vAlign w:val="center"/>
                </w:tcPr>
                <w:p w14:paraId="1150FBED">
                  <w:pPr>
                    <w:pBdr>
                      <w:left w:val="single" w:color="auto" w:sz="4" w:space="0"/>
                    </w:pBd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733" w:type="pct"/>
                  <w:noWrap w:val="0"/>
                  <w:vAlign w:val="center"/>
                </w:tcPr>
                <w:p w14:paraId="1028B7D2">
                  <w:pPr>
                    <w:pBdr>
                      <w:left w:val="single" w:color="auto" w:sz="4" w:space="0"/>
                    </w:pBd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650" w:type="pct"/>
                  <w:noWrap w:val="0"/>
                  <w:vAlign w:val="center"/>
                </w:tcPr>
                <w:p w14:paraId="6EAB4A78">
                  <w:pPr>
                    <w:pBdr>
                      <w:left w:val="single" w:color="auto" w:sz="4" w:space="0"/>
                    </w:pBdr>
                    <w:adjustRightInd w:val="0"/>
                    <w:snapToGrid w:val="0"/>
                    <w:jc w:val="center"/>
                    <w:rPr>
                      <w:color w:val="auto"/>
                      <w:sz w:val="21"/>
                      <w:szCs w:val="21"/>
                    </w:rPr>
                  </w:pPr>
                  <w:r>
                    <w:rPr>
                      <w:color w:val="auto"/>
                      <w:sz w:val="21"/>
                      <w:szCs w:val="21"/>
                    </w:rPr>
                    <w:t>/</w:t>
                  </w:r>
                </w:p>
              </w:tc>
              <w:tc>
                <w:tcPr>
                  <w:tcW w:w="835" w:type="pct"/>
                  <w:tcBorders>
                    <w:right w:val="single" w:color="auto" w:sz="4" w:space="0"/>
                  </w:tcBorders>
                  <w:noWrap w:val="0"/>
                  <w:vAlign w:val="center"/>
                </w:tcPr>
                <w:p w14:paraId="3FFF0CA7">
                  <w:pPr>
                    <w:pBdr>
                      <w:left w:val="single" w:color="auto" w:sz="4" w:space="0"/>
                    </w:pBd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r>
          </w:tbl>
          <w:p w14:paraId="559C3EC2">
            <w:pPr>
              <w:pStyle w:val="13"/>
              <w:rPr>
                <w:color w:val="auto"/>
              </w:rPr>
            </w:pPr>
          </w:p>
        </w:tc>
      </w:tr>
    </w:tbl>
    <w:p w14:paraId="32243F9C">
      <w:pPr>
        <w:adjustRightInd w:val="0"/>
        <w:snapToGrid w:val="0"/>
        <w:jc w:val="center"/>
        <w:rPr>
          <w:b/>
          <w:bCs/>
          <w:color w:val="auto"/>
          <w:kern w:val="0"/>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612"/>
      </w:tblGrid>
      <w:tr w14:paraId="19E0C4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37" w:hRule="atLeast"/>
          <w:jc w:val="center"/>
        </w:trPr>
        <w:tc>
          <w:tcPr>
            <w:tcW w:w="233" w:type="pct"/>
            <w:vAlign w:val="center"/>
          </w:tcPr>
          <w:p w14:paraId="5ACE0F7F">
            <w:pPr>
              <w:adjustRightInd w:val="0"/>
              <w:snapToGrid w:val="0"/>
              <w:jc w:val="center"/>
              <w:rPr>
                <w:b/>
                <w:bCs/>
                <w:color w:val="auto"/>
                <w:kern w:val="0"/>
                <w:szCs w:val="21"/>
              </w:rPr>
            </w:pPr>
            <w:r>
              <w:rPr>
                <w:rFonts w:hAnsi="宋体"/>
                <w:b/>
                <w:bCs/>
                <w:color w:val="auto"/>
                <w:kern w:val="0"/>
                <w:szCs w:val="21"/>
              </w:rPr>
              <w:t>总量</w:t>
            </w:r>
          </w:p>
          <w:p w14:paraId="5B66F9B6">
            <w:pPr>
              <w:adjustRightInd w:val="0"/>
              <w:snapToGrid w:val="0"/>
              <w:jc w:val="center"/>
              <w:rPr>
                <w:b/>
                <w:bCs/>
                <w:color w:val="auto"/>
                <w:kern w:val="0"/>
                <w:szCs w:val="21"/>
              </w:rPr>
            </w:pPr>
            <w:r>
              <w:rPr>
                <w:rFonts w:hAnsi="宋体"/>
                <w:b/>
                <w:bCs/>
                <w:color w:val="auto"/>
                <w:kern w:val="0"/>
                <w:szCs w:val="21"/>
              </w:rPr>
              <w:t>控制</w:t>
            </w:r>
          </w:p>
          <w:p w14:paraId="1AF56D64">
            <w:pPr>
              <w:adjustRightInd w:val="0"/>
              <w:snapToGrid w:val="0"/>
              <w:jc w:val="center"/>
              <w:rPr>
                <w:b/>
                <w:bCs/>
                <w:color w:val="auto"/>
                <w:kern w:val="0"/>
                <w:szCs w:val="21"/>
              </w:rPr>
            </w:pPr>
            <w:r>
              <w:rPr>
                <w:rFonts w:hAnsi="宋体"/>
                <w:b/>
                <w:bCs/>
                <w:color w:val="auto"/>
                <w:kern w:val="0"/>
                <w:szCs w:val="21"/>
              </w:rPr>
              <w:t>指标</w:t>
            </w:r>
          </w:p>
        </w:tc>
        <w:tc>
          <w:tcPr>
            <w:tcW w:w="4766" w:type="pct"/>
            <w:vAlign w:val="center"/>
          </w:tcPr>
          <w:p w14:paraId="46819BCA">
            <w:pPr>
              <w:keepNext w:val="0"/>
              <w:keepLines w:val="0"/>
              <w:pageBreakBefore w:val="0"/>
              <w:widowControl/>
              <w:kinsoku/>
              <w:wordWrap/>
              <w:overflowPunct/>
              <w:topLinePunct w:val="0"/>
              <w:autoSpaceDE/>
              <w:autoSpaceDN/>
              <w:bidi w:val="0"/>
              <w:adjustRightInd w:val="0"/>
              <w:snapToGrid w:val="0"/>
              <w:spacing w:before="120" w:beforeLines="50" w:line="300" w:lineRule="exact"/>
              <w:ind w:firstLine="480" w:firstLineChars="200"/>
              <w:jc w:val="left"/>
              <w:textAlignment w:val="auto"/>
              <w:rPr>
                <w:color w:val="auto"/>
                <w:kern w:val="0"/>
                <w:sz w:val="24"/>
              </w:rPr>
            </w:pPr>
            <w:r>
              <w:rPr>
                <w:rFonts w:hAnsi="宋体"/>
                <w:color w:val="auto"/>
                <w:kern w:val="0"/>
                <w:sz w:val="24"/>
              </w:rPr>
              <w:t>建设项目污染物排放情况见表</w:t>
            </w:r>
            <w:r>
              <w:rPr>
                <w:color w:val="auto"/>
                <w:kern w:val="0"/>
                <w:sz w:val="24"/>
              </w:rPr>
              <w:t>3-</w:t>
            </w:r>
            <w:r>
              <w:rPr>
                <w:rFonts w:hint="eastAsia"/>
                <w:color w:val="auto"/>
                <w:kern w:val="0"/>
                <w:sz w:val="24"/>
                <w:lang w:val="en-US" w:eastAsia="zh-CN"/>
              </w:rPr>
              <w:t>10</w:t>
            </w:r>
            <w:r>
              <w:rPr>
                <w:rFonts w:hAnsi="宋体"/>
                <w:color w:val="auto"/>
                <w:kern w:val="0"/>
                <w:sz w:val="24"/>
              </w:rPr>
              <w:t>。</w:t>
            </w:r>
          </w:p>
          <w:p w14:paraId="23079C75">
            <w:pPr>
              <w:pStyle w:val="72"/>
              <w:keepNext w:val="0"/>
              <w:keepLines w:val="0"/>
              <w:pageBreakBefore w:val="0"/>
              <w:widowControl/>
              <w:kinsoku/>
              <w:wordWrap/>
              <w:overflowPunct/>
              <w:topLinePunct w:val="0"/>
              <w:autoSpaceDE/>
              <w:autoSpaceDN/>
              <w:bidi w:val="0"/>
              <w:adjustRightInd w:val="0"/>
              <w:snapToGrid w:val="0"/>
              <w:spacing w:before="120" w:beforeLines="50" w:line="300" w:lineRule="exact"/>
              <w:ind w:firstLine="422"/>
              <w:jc w:val="center"/>
              <w:textAlignment w:val="auto"/>
              <w:rPr>
                <w:bCs/>
                <w:color w:val="auto"/>
                <w:kern w:val="2"/>
                <w:sz w:val="21"/>
                <w:szCs w:val="21"/>
              </w:rPr>
            </w:pPr>
            <w:r>
              <w:rPr>
                <w:rFonts w:hAnsi="宋体"/>
                <w:b/>
                <w:bCs/>
                <w:color w:val="auto"/>
                <w:kern w:val="2"/>
                <w:szCs w:val="24"/>
              </w:rPr>
              <w:t>表</w:t>
            </w:r>
            <w:r>
              <w:rPr>
                <w:b/>
                <w:bCs/>
                <w:color w:val="auto"/>
                <w:kern w:val="2"/>
                <w:szCs w:val="24"/>
              </w:rPr>
              <w:t>3-</w:t>
            </w:r>
            <w:r>
              <w:rPr>
                <w:rFonts w:hint="eastAsia"/>
                <w:b/>
                <w:bCs/>
                <w:color w:val="auto"/>
                <w:kern w:val="2"/>
                <w:szCs w:val="24"/>
                <w:lang w:val="en-US" w:eastAsia="zh-CN"/>
              </w:rPr>
              <w:t>10</w:t>
            </w:r>
            <w:r>
              <w:rPr>
                <w:rFonts w:hAnsi="宋体"/>
                <w:b/>
                <w:bCs/>
                <w:color w:val="auto"/>
                <w:kern w:val="2"/>
                <w:szCs w:val="24"/>
              </w:rPr>
              <w:t>项目污染物</w:t>
            </w:r>
            <w:r>
              <w:rPr>
                <w:b/>
                <w:bCs/>
                <w:color w:val="auto"/>
                <w:kern w:val="2"/>
                <w:szCs w:val="24"/>
              </w:rPr>
              <w:t>“</w:t>
            </w:r>
            <w:r>
              <w:rPr>
                <w:rFonts w:hAnsi="宋体"/>
                <w:b/>
                <w:bCs/>
                <w:color w:val="auto"/>
                <w:kern w:val="2"/>
                <w:szCs w:val="24"/>
              </w:rPr>
              <w:t>三本账</w:t>
            </w:r>
            <w:r>
              <w:rPr>
                <w:b/>
                <w:bCs/>
                <w:color w:val="auto"/>
                <w:kern w:val="2"/>
                <w:szCs w:val="24"/>
              </w:rPr>
              <w:t>”</w:t>
            </w:r>
            <w:r>
              <w:rPr>
                <w:rFonts w:hAnsi="宋体"/>
                <w:b/>
                <w:bCs/>
                <w:color w:val="auto"/>
                <w:kern w:val="2"/>
                <w:szCs w:val="24"/>
              </w:rPr>
              <w:t>一览表</w:t>
            </w:r>
            <w:r>
              <w:rPr>
                <w:rFonts w:hAnsi="宋体"/>
                <w:bCs/>
                <w:color w:val="auto"/>
                <w:kern w:val="2"/>
                <w:sz w:val="21"/>
                <w:szCs w:val="21"/>
              </w:rPr>
              <w:t>单位：</w:t>
            </w:r>
            <w:r>
              <w:rPr>
                <w:bCs/>
                <w:color w:val="auto"/>
                <w:kern w:val="2"/>
                <w:sz w:val="21"/>
                <w:szCs w:val="21"/>
              </w:rPr>
              <w:t>t/a</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00"/>
              <w:gridCol w:w="536"/>
              <w:gridCol w:w="459"/>
              <w:gridCol w:w="1128"/>
              <w:gridCol w:w="950"/>
              <w:gridCol w:w="850"/>
              <w:gridCol w:w="950"/>
              <w:gridCol w:w="1056"/>
              <w:gridCol w:w="813"/>
              <w:gridCol w:w="845"/>
              <w:gridCol w:w="1086"/>
              <w:gridCol w:w="1210"/>
              <w:gridCol w:w="873"/>
              <w:gridCol w:w="1133"/>
            </w:tblGrid>
            <w:tr w14:paraId="2C3FD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7" w:hRule="atLeast"/>
                <w:tblHeader/>
                <w:jc w:val="center"/>
              </w:trPr>
              <w:tc>
                <w:tcPr>
                  <w:tcW w:w="202" w:type="pct"/>
                  <w:vMerge w:val="restart"/>
                  <w:shd w:val="clear" w:color="auto" w:fill="auto"/>
                  <w:vAlign w:val="center"/>
                </w:tcPr>
                <w:p w14:paraId="6B66E94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w:t>
                  </w:r>
                </w:p>
              </w:tc>
              <w:tc>
                <w:tcPr>
                  <w:tcW w:w="856" w:type="pct"/>
                  <w:gridSpan w:val="3"/>
                  <w:vMerge w:val="restart"/>
                  <w:shd w:val="clear" w:color="auto" w:fill="auto"/>
                  <w:vAlign w:val="center"/>
                </w:tcPr>
                <w:p w14:paraId="5F0D6E3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726" w:type="pct"/>
                  <w:gridSpan w:val="2"/>
                  <w:shd w:val="clear" w:color="auto" w:fill="auto"/>
                  <w:vAlign w:val="center"/>
                </w:tcPr>
                <w:p w14:paraId="0C63EEA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现有项目批复量</w:t>
                  </w:r>
                </w:p>
              </w:tc>
              <w:tc>
                <w:tcPr>
                  <w:tcW w:w="809" w:type="pct"/>
                  <w:gridSpan w:val="2"/>
                  <w:shd w:val="clear" w:color="auto" w:fill="auto"/>
                  <w:vAlign w:val="center"/>
                </w:tcPr>
                <w:p w14:paraId="7158A84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本次</w:t>
                  </w:r>
                  <w:r>
                    <w:rPr>
                      <w:rFonts w:hint="default" w:ascii="Times New Roman" w:hAnsi="Times New Roman" w:eastAsia="宋体" w:cs="Times New Roman"/>
                      <w:b/>
                      <w:color w:val="auto"/>
                      <w:sz w:val="21"/>
                      <w:szCs w:val="21"/>
                    </w:rPr>
                    <w:t>建设项目</w:t>
                  </w:r>
                </w:p>
              </w:tc>
              <w:tc>
                <w:tcPr>
                  <w:tcW w:w="669" w:type="pct"/>
                  <w:gridSpan w:val="2"/>
                  <w:shd w:val="clear" w:color="auto" w:fill="auto"/>
                  <w:vAlign w:val="center"/>
                </w:tcPr>
                <w:p w14:paraId="11EACD5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“以新带老”削减量</w:t>
                  </w:r>
                </w:p>
              </w:tc>
              <w:tc>
                <w:tcPr>
                  <w:tcW w:w="926" w:type="pct"/>
                  <w:gridSpan w:val="2"/>
                  <w:shd w:val="clear" w:color="auto" w:fill="auto"/>
                  <w:vAlign w:val="center"/>
                </w:tcPr>
                <w:p w14:paraId="0861E2C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建设项目增减量</w:t>
                  </w:r>
                </w:p>
              </w:tc>
              <w:tc>
                <w:tcPr>
                  <w:tcW w:w="809" w:type="pct"/>
                  <w:gridSpan w:val="2"/>
                  <w:shd w:val="clear" w:color="auto" w:fill="auto"/>
                  <w:vAlign w:val="center"/>
                </w:tcPr>
                <w:p w14:paraId="374AD24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最终全厂排放总量</w:t>
                  </w:r>
                </w:p>
              </w:tc>
            </w:tr>
            <w:tr w14:paraId="753E2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tblHeader/>
                <w:jc w:val="center"/>
              </w:trPr>
              <w:tc>
                <w:tcPr>
                  <w:tcW w:w="202" w:type="pct"/>
                  <w:vMerge w:val="continue"/>
                  <w:shd w:val="clear" w:color="auto" w:fill="auto"/>
                  <w:vAlign w:val="center"/>
                </w:tcPr>
                <w:p w14:paraId="2C8014EC">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856" w:type="pct"/>
                  <w:gridSpan w:val="3"/>
                  <w:vMerge w:val="continue"/>
                  <w:shd w:val="clear" w:color="auto" w:fill="auto"/>
                  <w:vAlign w:val="center"/>
                </w:tcPr>
                <w:p w14:paraId="7F0759F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383" w:type="pct"/>
                  <w:shd w:val="clear" w:color="auto" w:fill="auto"/>
                  <w:vAlign w:val="center"/>
                </w:tcPr>
                <w:p w14:paraId="0974C88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343" w:type="pct"/>
                  <w:shd w:val="clear" w:color="auto" w:fill="auto"/>
                  <w:vAlign w:val="center"/>
                </w:tcPr>
                <w:p w14:paraId="3C55460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3D78407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383" w:type="pct"/>
                  <w:shd w:val="clear" w:color="auto" w:fill="auto"/>
                  <w:vAlign w:val="center"/>
                </w:tcPr>
                <w:p w14:paraId="400312E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426" w:type="pct"/>
                  <w:shd w:val="clear" w:color="auto" w:fill="auto"/>
                  <w:vAlign w:val="center"/>
                </w:tcPr>
                <w:p w14:paraId="48B23EF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6F4B98A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328" w:type="pct"/>
                  <w:shd w:val="clear" w:color="auto" w:fill="auto"/>
                  <w:vAlign w:val="center"/>
                </w:tcPr>
                <w:p w14:paraId="120A258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341" w:type="pct"/>
                  <w:shd w:val="clear" w:color="auto" w:fill="auto"/>
                  <w:vAlign w:val="center"/>
                </w:tcPr>
                <w:p w14:paraId="736B140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79CD401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438" w:type="pct"/>
                  <w:shd w:val="clear" w:color="auto" w:fill="auto"/>
                  <w:vAlign w:val="center"/>
                </w:tcPr>
                <w:p w14:paraId="3636F18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488" w:type="pct"/>
                  <w:shd w:val="clear" w:color="auto" w:fill="auto"/>
                  <w:vAlign w:val="center"/>
                </w:tcPr>
                <w:p w14:paraId="7DF6D09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400551D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352" w:type="pct"/>
                  <w:shd w:val="clear" w:color="auto" w:fill="auto"/>
                  <w:vAlign w:val="center"/>
                </w:tcPr>
                <w:p w14:paraId="253F37D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457" w:type="pct"/>
                  <w:shd w:val="clear" w:color="auto" w:fill="auto"/>
                  <w:vAlign w:val="center"/>
                </w:tcPr>
                <w:p w14:paraId="6155D3E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3047ACE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r>
            <w:tr w14:paraId="26915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2" w:type="pct"/>
                  <w:vMerge w:val="continue"/>
                  <w:shd w:val="clear" w:color="auto" w:fill="auto"/>
                  <w:vAlign w:val="center"/>
                </w:tcPr>
                <w:p w14:paraId="554178F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01" w:type="pct"/>
                  <w:gridSpan w:val="2"/>
                  <w:shd w:val="clear" w:color="auto" w:fill="auto"/>
                  <w:vAlign w:val="center"/>
                </w:tcPr>
                <w:p w14:paraId="605F9CE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有组织</w:t>
                  </w:r>
                </w:p>
              </w:tc>
              <w:tc>
                <w:tcPr>
                  <w:tcW w:w="454" w:type="pct"/>
                  <w:shd w:val="clear" w:color="auto" w:fill="auto"/>
                  <w:vAlign w:val="center"/>
                </w:tcPr>
                <w:p w14:paraId="6A93871B">
                  <w:pPr>
                    <w:jc w:val="center"/>
                    <w:rPr>
                      <w:rFonts w:hint="eastAsia" w:ascii="Times New Roman" w:hAnsi="Times New Roman" w:eastAsia="宋体" w:cs="Times New Roman"/>
                      <w:color w:val="auto"/>
                      <w:sz w:val="21"/>
                      <w:szCs w:val="21"/>
                      <w:lang w:val="en-US" w:eastAsia="zh-CN"/>
                    </w:rPr>
                  </w:pPr>
                  <w:r>
                    <w:rPr>
                      <w:rFonts w:hint="eastAsia"/>
                      <w:color w:val="auto"/>
                      <w:szCs w:val="21"/>
                      <w:lang w:val="en-US" w:eastAsia="zh-CN"/>
                    </w:rPr>
                    <w:t>/</w:t>
                  </w:r>
                </w:p>
              </w:tc>
              <w:tc>
                <w:tcPr>
                  <w:tcW w:w="726" w:type="pct"/>
                  <w:gridSpan w:val="2"/>
                  <w:shd w:val="clear" w:color="auto" w:fill="auto"/>
                  <w:vAlign w:val="center"/>
                </w:tcPr>
                <w:p w14:paraId="471EA780">
                  <w:pPr>
                    <w:jc w:val="center"/>
                    <w:rPr>
                      <w:rFonts w:hint="eastAsia" w:ascii="Times New Roman" w:hAnsi="Times New Roman" w:eastAsia="宋体" w:cs="Times New Roman"/>
                      <w:bCs/>
                      <w:color w:val="auto"/>
                      <w:sz w:val="21"/>
                      <w:szCs w:val="21"/>
                      <w:lang w:val="en-US" w:eastAsia="zh-CN"/>
                    </w:rPr>
                  </w:pPr>
                  <w:r>
                    <w:rPr>
                      <w:rFonts w:hint="eastAsia"/>
                      <w:color w:val="auto"/>
                      <w:szCs w:val="21"/>
                      <w:lang w:eastAsia="zh-CN"/>
                    </w:rPr>
                    <w:t>/</w:t>
                  </w:r>
                </w:p>
              </w:tc>
              <w:tc>
                <w:tcPr>
                  <w:tcW w:w="809" w:type="pct"/>
                  <w:gridSpan w:val="2"/>
                  <w:shd w:val="clear" w:color="auto" w:fill="auto"/>
                  <w:vAlign w:val="center"/>
                </w:tcPr>
                <w:p w14:paraId="4B5223A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p>
              </w:tc>
              <w:tc>
                <w:tcPr>
                  <w:tcW w:w="669" w:type="pct"/>
                  <w:gridSpan w:val="2"/>
                  <w:shd w:val="clear" w:color="auto" w:fill="auto"/>
                  <w:vAlign w:val="center"/>
                </w:tcPr>
                <w:p w14:paraId="3824708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p>
              </w:tc>
              <w:tc>
                <w:tcPr>
                  <w:tcW w:w="926" w:type="pct"/>
                  <w:gridSpan w:val="2"/>
                  <w:shd w:val="clear" w:color="auto" w:fill="auto"/>
                  <w:vAlign w:val="center"/>
                </w:tcPr>
                <w:p w14:paraId="3303829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p>
              </w:tc>
              <w:tc>
                <w:tcPr>
                  <w:tcW w:w="809" w:type="pct"/>
                  <w:gridSpan w:val="2"/>
                  <w:shd w:val="clear" w:color="auto" w:fill="auto"/>
                  <w:vAlign w:val="center"/>
                </w:tcPr>
                <w:p w14:paraId="59C580DE">
                  <w:pPr>
                    <w:jc w:val="center"/>
                    <w:rPr>
                      <w:rFonts w:hint="default" w:cs="Times New Roman"/>
                      <w:bCs/>
                      <w:color w:val="auto"/>
                      <w:sz w:val="21"/>
                      <w:szCs w:val="21"/>
                      <w:lang w:val="en-US" w:eastAsia="zh-CN"/>
                    </w:rPr>
                  </w:pPr>
                  <w:r>
                    <w:rPr>
                      <w:rFonts w:hint="eastAsia" w:cs="Times New Roman"/>
                      <w:bCs/>
                      <w:color w:val="auto"/>
                      <w:sz w:val="21"/>
                      <w:szCs w:val="21"/>
                      <w:lang w:val="en-US" w:eastAsia="zh-CN"/>
                    </w:rPr>
                    <w:t>/</w:t>
                  </w:r>
                </w:p>
              </w:tc>
            </w:tr>
            <w:tr w14:paraId="7344A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2" w:type="pct"/>
                  <w:vMerge w:val="continue"/>
                  <w:shd w:val="clear" w:color="auto" w:fill="auto"/>
                  <w:vAlign w:val="center"/>
                </w:tcPr>
                <w:p w14:paraId="5992093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01" w:type="pct"/>
                  <w:gridSpan w:val="2"/>
                  <w:shd w:val="clear" w:color="auto" w:fill="auto"/>
                  <w:vAlign w:val="center"/>
                </w:tcPr>
                <w:p w14:paraId="1E8278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lang w:eastAsia="zh-CN" w:bidi="ar"/>
                    </w:rPr>
                  </w:pPr>
                  <w:r>
                    <w:rPr>
                      <w:rFonts w:hint="default" w:ascii="Times New Roman" w:hAnsi="Times New Roman" w:eastAsia="宋体" w:cs="Times New Roman"/>
                      <w:b w:val="0"/>
                      <w:bCs w:val="0"/>
                      <w:color w:val="auto"/>
                      <w:kern w:val="0"/>
                      <w:sz w:val="21"/>
                      <w:szCs w:val="21"/>
                      <w:lang w:eastAsia="zh-CN" w:bidi="ar"/>
                    </w:rPr>
                    <w:t>无组织</w:t>
                  </w:r>
                </w:p>
              </w:tc>
              <w:tc>
                <w:tcPr>
                  <w:tcW w:w="454" w:type="pct"/>
                  <w:shd w:val="clear" w:color="auto" w:fill="auto"/>
                  <w:vAlign w:val="center"/>
                </w:tcPr>
                <w:p w14:paraId="48FCEE51">
                  <w:pPr>
                    <w:jc w:val="center"/>
                    <w:rPr>
                      <w:rFonts w:hint="eastAsia" w:ascii="Times New Roman" w:hAnsi="Times New Roman" w:eastAsia="宋体" w:cs="Times New Roman"/>
                      <w:color w:val="auto"/>
                      <w:sz w:val="21"/>
                      <w:szCs w:val="21"/>
                      <w:lang w:val="en-US" w:eastAsia="zh-CN"/>
                    </w:rPr>
                  </w:pPr>
                  <w:r>
                    <w:rPr>
                      <w:rFonts w:hint="eastAsia"/>
                      <w:color w:val="auto"/>
                      <w:szCs w:val="21"/>
                      <w:lang w:val="en-US" w:eastAsia="zh-CN"/>
                    </w:rPr>
                    <w:t>/</w:t>
                  </w:r>
                </w:p>
              </w:tc>
              <w:tc>
                <w:tcPr>
                  <w:tcW w:w="726" w:type="pct"/>
                  <w:gridSpan w:val="2"/>
                  <w:tcBorders>
                    <w:bottom w:val="single" w:color="000000" w:sz="4" w:space="0"/>
                  </w:tcBorders>
                  <w:shd w:val="clear" w:color="auto" w:fill="auto"/>
                  <w:vAlign w:val="center"/>
                </w:tcPr>
                <w:p w14:paraId="0C85DD82">
                  <w:pPr>
                    <w:jc w:val="center"/>
                    <w:rPr>
                      <w:rFonts w:hint="eastAsia" w:eastAsia="宋体" w:cs="Times New Roman"/>
                      <w:bCs/>
                      <w:color w:val="auto"/>
                      <w:sz w:val="21"/>
                      <w:szCs w:val="21"/>
                      <w:lang w:val="en-US" w:eastAsia="zh-CN"/>
                    </w:rPr>
                  </w:pPr>
                  <w:r>
                    <w:rPr>
                      <w:rFonts w:hint="eastAsia"/>
                      <w:color w:val="auto"/>
                      <w:szCs w:val="21"/>
                      <w:lang w:val="en-US" w:eastAsia="zh-CN"/>
                    </w:rPr>
                    <w:t>/</w:t>
                  </w:r>
                </w:p>
              </w:tc>
              <w:tc>
                <w:tcPr>
                  <w:tcW w:w="809" w:type="pct"/>
                  <w:gridSpan w:val="2"/>
                  <w:tcBorders>
                    <w:bottom w:val="single" w:color="000000" w:sz="4" w:space="0"/>
                  </w:tcBorders>
                  <w:shd w:val="clear" w:color="auto" w:fill="auto"/>
                  <w:vAlign w:val="center"/>
                </w:tcPr>
                <w:p w14:paraId="6B72A852">
                  <w:pPr>
                    <w:jc w:val="center"/>
                    <w:rPr>
                      <w:rFonts w:hint="default"/>
                      <w:color w:val="auto"/>
                      <w:sz w:val="21"/>
                      <w:szCs w:val="21"/>
                      <w:lang w:val="en-US" w:eastAsia="zh-CN"/>
                    </w:rPr>
                  </w:pPr>
                  <w:r>
                    <w:rPr>
                      <w:rFonts w:hint="default"/>
                      <w:color w:val="auto"/>
                      <w:sz w:val="21"/>
                      <w:szCs w:val="21"/>
                      <w:lang w:val="en-US" w:eastAsia="zh-CN"/>
                    </w:rPr>
                    <w:t>/</w:t>
                  </w:r>
                </w:p>
              </w:tc>
              <w:tc>
                <w:tcPr>
                  <w:tcW w:w="669" w:type="pct"/>
                  <w:gridSpan w:val="2"/>
                  <w:tcBorders>
                    <w:bottom w:val="single" w:color="000000" w:sz="4" w:space="0"/>
                  </w:tcBorders>
                  <w:shd w:val="clear" w:color="auto" w:fill="auto"/>
                  <w:vAlign w:val="center"/>
                </w:tcPr>
                <w:p w14:paraId="7046EECB">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bCs/>
                      <w:color w:val="auto"/>
                      <w:sz w:val="21"/>
                      <w:szCs w:val="21"/>
                      <w:lang w:val="en-US" w:eastAsia="zh-CN"/>
                    </w:rPr>
                  </w:pPr>
                  <w:r>
                    <w:rPr>
                      <w:rFonts w:hint="default" w:cs="Times New Roman"/>
                      <w:bCs/>
                      <w:color w:val="auto"/>
                      <w:sz w:val="21"/>
                      <w:szCs w:val="21"/>
                      <w:lang w:val="en-US" w:eastAsia="zh-CN"/>
                    </w:rPr>
                    <w:t>0</w:t>
                  </w:r>
                </w:p>
              </w:tc>
              <w:tc>
                <w:tcPr>
                  <w:tcW w:w="926" w:type="pct"/>
                  <w:gridSpan w:val="2"/>
                  <w:tcBorders>
                    <w:bottom w:val="single" w:color="000000" w:sz="4" w:space="0"/>
                  </w:tcBorders>
                  <w:shd w:val="clear" w:color="auto" w:fill="auto"/>
                  <w:vAlign w:val="center"/>
                </w:tcPr>
                <w:p w14:paraId="5BE759B6">
                  <w:pPr>
                    <w:jc w:val="center"/>
                    <w:rPr>
                      <w:rFonts w:hint="default"/>
                      <w:color w:val="auto"/>
                      <w:sz w:val="21"/>
                      <w:szCs w:val="21"/>
                      <w:lang w:val="en-US" w:eastAsia="zh-CN"/>
                    </w:rPr>
                  </w:pPr>
                  <w:r>
                    <w:rPr>
                      <w:rFonts w:hint="default"/>
                      <w:color w:val="auto"/>
                      <w:sz w:val="21"/>
                      <w:szCs w:val="21"/>
                      <w:lang w:val="en-US" w:eastAsia="zh-CN"/>
                    </w:rPr>
                    <w:t>/</w:t>
                  </w:r>
                </w:p>
              </w:tc>
              <w:tc>
                <w:tcPr>
                  <w:tcW w:w="809" w:type="pct"/>
                  <w:gridSpan w:val="2"/>
                  <w:tcBorders>
                    <w:bottom w:val="single" w:color="000000" w:sz="4" w:space="0"/>
                  </w:tcBorders>
                  <w:shd w:val="clear" w:color="auto" w:fill="auto"/>
                  <w:vAlign w:val="center"/>
                </w:tcPr>
                <w:p w14:paraId="749E3DC5">
                  <w:pPr>
                    <w:jc w:val="center"/>
                    <w:rPr>
                      <w:rFonts w:hint="eastAsia" w:eastAsia="宋体"/>
                      <w:color w:val="auto"/>
                      <w:sz w:val="21"/>
                      <w:szCs w:val="21"/>
                      <w:lang w:val="en-US" w:eastAsia="zh-CN"/>
                    </w:rPr>
                  </w:pPr>
                  <w:r>
                    <w:rPr>
                      <w:rFonts w:hint="eastAsia"/>
                      <w:color w:val="auto"/>
                      <w:szCs w:val="21"/>
                      <w:lang w:val="en-US" w:eastAsia="zh-CN"/>
                    </w:rPr>
                    <w:t>/</w:t>
                  </w:r>
                </w:p>
              </w:tc>
            </w:tr>
            <w:tr w14:paraId="6C274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2" w:type="pct"/>
                  <w:vMerge w:val="restart"/>
                  <w:shd w:val="clear" w:color="auto" w:fill="auto"/>
                  <w:vAlign w:val="center"/>
                </w:tcPr>
                <w:p w14:paraId="168A83C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16" w:type="pct"/>
                  <w:vMerge w:val="restart"/>
                  <w:shd w:val="clear" w:color="auto" w:fill="auto"/>
                  <w:vAlign w:val="center"/>
                </w:tcPr>
                <w:p w14:paraId="223E361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综合</w:t>
                  </w:r>
                  <w:r>
                    <w:rPr>
                      <w:rFonts w:hint="default" w:ascii="Times New Roman" w:hAnsi="Times New Roman" w:eastAsia="宋体" w:cs="Times New Roman"/>
                      <w:color w:val="auto"/>
                      <w:sz w:val="21"/>
                      <w:szCs w:val="21"/>
                    </w:rPr>
                    <w:t>污水</w:t>
                  </w:r>
                </w:p>
              </w:tc>
              <w:tc>
                <w:tcPr>
                  <w:tcW w:w="639" w:type="pct"/>
                  <w:gridSpan w:val="2"/>
                  <w:shd w:val="clear" w:color="auto" w:fill="auto"/>
                  <w:vAlign w:val="center"/>
                </w:tcPr>
                <w:p w14:paraId="793E4FF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726" w:type="pct"/>
                  <w:gridSpan w:val="2"/>
                  <w:shd w:val="clear" w:color="auto" w:fill="auto"/>
                  <w:vAlign w:val="center"/>
                </w:tcPr>
                <w:p w14:paraId="057BBD69">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429074</w:t>
                  </w:r>
                </w:p>
              </w:tc>
              <w:tc>
                <w:tcPr>
                  <w:tcW w:w="809" w:type="pct"/>
                  <w:gridSpan w:val="2"/>
                  <w:shd w:val="clear" w:color="auto" w:fill="auto"/>
                  <w:vAlign w:val="center"/>
                </w:tcPr>
                <w:p w14:paraId="4AAD0C6C">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46866</w:t>
                  </w:r>
                </w:p>
              </w:tc>
              <w:tc>
                <w:tcPr>
                  <w:tcW w:w="669" w:type="pct"/>
                  <w:gridSpan w:val="2"/>
                  <w:shd w:val="clear" w:color="auto" w:fill="auto"/>
                  <w:vAlign w:val="center"/>
                </w:tcPr>
                <w:p w14:paraId="3FFCD1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134719</w:t>
                  </w:r>
                </w:p>
              </w:tc>
              <w:tc>
                <w:tcPr>
                  <w:tcW w:w="926" w:type="pct"/>
                  <w:gridSpan w:val="2"/>
                  <w:shd w:val="clear" w:color="auto" w:fill="auto"/>
                  <w:vAlign w:val="center"/>
                </w:tcPr>
                <w:p w14:paraId="1A105C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-87853</w:t>
                  </w:r>
                </w:p>
              </w:tc>
              <w:tc>
                <w:tcPr>
                  <w:tcW w:w="809" w:type="pct"/>
                  <w:gridSpan w:val="2"/>
                  <w:shd w:val="clear" w:color="auto" w:fill="auto"/>
                  <w:vAlign w:val="center"/>
                </w:tcPr>
                <w:p w14:paraId="0435C5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341221</w:t>
                  </w:r>
                </w:p>
              </w:tc>
            </w:tr>
            <w:tr w14:paraId="1F3DF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2" w:hRule="atLeast"/>
                <w:jc w:val="center"/>
              </w:trPr>
              <w:tc>
                <w:tcPr>
                  <w:tcW w:w="202" w:type="pct"/>
                  <w:vMerge w:val="continue"/>
                  <w:shd w:val="clear" w:color="auto" w:fill="auto"/>
                  <w:vAlign w:val="center"/>
                </w:tcPr>
                <w:p w14:paraId="77FF479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6" w:type="pct"/>
                  <w:vMerge w:val="continue"/>
                  <w:shd w:val="clear" w:color="auto" w:fill="auto"/>
                  <w:vAlign w:val="center"/>
                </w:tcPr>
                <w:p w14:paraId="08F9802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39" w:type="pct"/>
                  <w:gridSpan w:val="2"/>
                  <w:shd w:val="clear" w:color="auto" w:fill="auto"/>
                  <w:vAlign w:val="center"/>
                </w:tcPr>
                <w:p w14:paraId="483EBC4D">
                  <w:pPr>
                    <w:jc w:val="center"/>
                    <w:rPr>
                      <w:rFonts w:hint="default" w:ascii="Times New Roman" w:hAnsi="Times New Roman" w:eastAsia="宋体" w:cs="Times New Roman"/>
                      <w:color w:val="auto"/>
                      <w:sz w:val="21"/>
                      <w:szCs w:val="21"/>
                    </w:rPr>
                  </w:pPr>
                  <w:r>
                    <w:rPr>
                      <w:color w:val="auto"/>
                      <w:sz w:val="21"/>
                      <w:szCs w:val="21"/>
                    </w:rPr>
                    <w:t>COD</w:t>
                  </w:r>
                </w:p>
              </w:tc>
              <w:tc>
                <w:tcPr>
                  <w:tcW w:w="383" w:type="pct"/>
                  <w:shd w:val="clear" w:color="auto" w:fill="auto"/>
                  <w:vAlign w:val="center"/>
                </w:tcPr>
                <w:p w14:paraId="1E5FC65C">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57.4</w:t>
                  </w:r>
                </w:p>
              </w:tc>
              <w:tc>
                <w:tcPr>
                  <w:tcW w:w="343" w:type="pct"/>
                  <w:shd w:val="clear" w:color="auto" w:fill="auto"/>
                  <w:vAlign w:val="center"/>
                </w:tcPr>
                <w:p w14:paraId="6C3E36D2">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21.45</w:t>
                  </w:r>
                </w:p>
              </w:tc>
              <w:tc>
                <w:tcPr>
                  <w:tcW w:w="950" w:type="dxa"/>
                  <w:shd w:val="clear" w:color="auto" w:fill="auto"/>
                  <w:vAlign w:val="center"/>
                </w:tcPr>
                <w:p w14:paraId="11C0E5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3.7683</w:t>
                  </w:r>
                </w:p>
              </w:tc>
              <w:tc>
                <w:tcPr>
                  <w:tcW w:w="1056" w:type="dxa"/>
                  <w:shd w:val="clear" w:color="auto" w:fill="auto"/>
                  <w:vAlign w:val="center"/>
                </w:tcPr>
                <w:p w14:paraId="333BC0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2.3433</w:t>
                  </w:r>
                </w:p>
              </w:tc>
              <w:tc>
                <w:tcPr>
                  <w:tcW w:w="813" w:type="dxa"/>
                  <w:shd w:val="clear" w:color="auto" w:fill="auto"/>
                  <w:vAlign w:val="center"/>
                </w:tcPr>
                <w:p w14:paraId="3ACECC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17.35</w:t>
                  </w:r>
                </w:p>
              </w:tc>
              <w:tc>
                <w:tcPr>
                  <w:tcW w:w="845" w:type="dxa"/>
                  <w:shd w:val="clear" w:color="auto" w:fill="auto"/>
                  <w:vAlign w:val="center"/>
                </w:tcPr>
                <w:p w14:paraId="5CB07B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6.73</w:t>
                  </w:r>
                </w:p>
              </w:tc>
              <w:tc>
                <w:tcPr>
                  <w:tcW w:w="1086" w:type="dxa"/>
                  <w:shd w:val="clear" w:color="auto" w:fill="auto"/>
                  <w:vAlign w:val="center"/>
                </w:tcPr>
                <w:p w14:paraId="376A13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-13.5817</w:t>
                  </w:r>
                </w:p>
              </w:tc>
              <w:tc>
                <w:tcPr>
                  <w:tcW w:w="1210" w:type="dxa"/>
                  <w:shd w:val="clear" w:color="auto" w:fill="auto"/>
                  <w:vAlign w:val="center"/>
                </w:tcPr>
                <w:p w14:paraId="642DD0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-4.3867</w:t>
                  </w:r>
                </w:p>
              </w:tc>
              <w:tc>
                <w:tcPr>
                  <w:tcW w:w="873" w:type="dxa"/>
                  <w:shd w:val="clear" w:color="auto" w:fill="auto"/>
                  <w:vAlign w:val="center"/>
                </w:tcPr>
                <w:p w14:paraId="1FA2D8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43.8183</w:t>
                  </w:r>
                </w:p>
              </w:tc>
              <w:tc>
                <w:tcPr>
                  <w:tcW w:w="1133" w:type="dxa"/>
                  <w:shd w:val="clear" w:color="auto" w:fill="auto"/>
                  <w:vAlign w:val="center"/>
                </w:tcPr>
                <w:p w14:paraId="39C863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17.0633</w:t>
                  </w:r>
                </w:p>
              </w:tc>
            </w:tr>
            <w:tr w14:paraId="0875F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202" w:type="pct"/>
                  <w:vMerge w:val="continue"/>
                  <w:shd w:val="clear" w:color="auto" w:fill="auto"/>
                  <w:vAlign w:val="center"/>
                </w:tcPr>
                <w:p w14:paraId="3060364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6" w:type="pct"/>
                  <w:vMerge w:val="continue"/>
                  <w:shd w:val="clear" w:color="auto" w:fill="auto"/>
                  <w:vAlign w:val="center"/>
                </w:tcPr>
                <w:p w14:paraId="2CF0256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39" w:type="pct"/>
                  <w:gridSpan w:val="2"/>
                  <w:shd w:val="clear" w:color="auto" w:fill="auto"/>
                  <w:vAlign w:val="center"/>
                </w:tcPr>
                <w:p w14:paraId="1728B426">
                  <w:pPr>
                    <w:jc w:val="center"/>
                    <w:rPr>
                      <w:rFonts w:hint="default" w:ascii="Times New Roman" w:hAnsi="Times New Roman" w:eastAsia="宋体" w:cs="Times New Roman"/>
                      <w:color w:val="auto"/>
                      <w:sz w:val="21"/>
                      <w:szCs w:val="21"/>
                    </w:rPr>
                  </w:pPr>
                  <w:r>
                    <w:rPr>
                      <w:rFonts w:hint="eastAsia"/>
                      <w:color w:val="auto"/>
                      <w:sz w:val="21"/>
                      <w:szCs w:val="21"/>
                    </w:rPr>
                    <w:t>B</w:t>
                  </w:r>
                  <w:r>
                    <w:rPr>
                      <w:color w:val="auto"/>
                      <w:sz w:val="21"/>
                      <w:szCs w:val="21"/>
                    </w:rPr>
                    <w:t>OD</w:t>
                  </w:r>
                  <w:r>
                    <w:rPr>
                      <w:color w:val="auto"/>
                      <w:sz w:val="21"/>
                      <w:szCs w:val="21"/>
                      <w:vertAlign w:val="subscript"/>
                    </w:rPr>
                    <w:t>5</w:t>
                  </w:r>
                </w:p>
              </w:tc>
              <w:tc>
                <w:tcPr>
                  <w:tcW w:w="383" w:type="pct"/>
                  <w:shd w:val="clear" w:color="auto" w:fill="auto"/>
                  <w:vAlign w:val="center"/>
                </w:tcPr>
                <w:p w14:paraId="1015FD5C">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36.49</w:t>
                  </w:r>
                </w:p>
              </w:tc>
              <w:tc>
                <w:tcPr>
                  <w:tcW w:w="343" w:type="pct"/>
                  <w:shd w:val="clear" w:color="auto" w:fill="auto"/>
                  <w:vAlign w:val="center"/>
                </w:tcPr>
                <w:p w14:paraId="164D626A">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4.29</w:t>
                  </w:r>
                </w:p>
              </w:tc>
              <w:tc>
                <w:tcPr>
                  <w:tcW w:w="950" w:type="dxa"/>
                  <w:shd w:val="clear" w:color="auto" w:fill="auto"/>
                  <w:vAlign w:val="center"/>
                </w:tcPr>
                <w:p w14:paraId="636761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4.0878</w:t>
                  </w:r>
                </w:p>
              </w:tc>
              <w:tc>
                <w:tcPr>
                  <w:tcW w:w="1056" w:type="dxa"/>
                  <w:shd w:val="clear" w:color="auto" w:fill="auto"/>
                  <w:vAlign w:val="center"/>
                </w:tcPr>
                <w:p w14:paraId="0986B6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0.4687</w:t>
                  </w:r>
                </w:p>
              </w:tc>
              <w:tc>
                <w:tcPr>
                  <w:tcW w:w="813" w:type="dxa"/>
                  <w:shd w:val="clear" w:color="auto" w:fill="auto"/>
                  <w:vAlign w:val="center"/>
                </w:tcPr>
                <w:p w14:paraId="1CF0F1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11.03</w:t>
                  </w:r>
                </w:p>
              </w:tc>
              <w:tc>
                <w:tcPr>
                  <w:tcW w:w="845" w:type="dxa"/>
                  <w:shd w:val="clear" w:color="auto" w:fill="auto"/>
                  <w:vAlign w:val="center"/>
                </w:tcPr>
                <w:p w14:paraId="375D6D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1086" w:type="dxa"/>
                  <w:shd w:val="clear" w:color="auto" w:fill="auto"/>
                  <w:vAlign w:val="center"/>
                </w:tcPr>
                <w:p w14:paraId="721E51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-6.9422</w:t>
                  </w:r>
                </w:p>
              </w:tc>
              <w:tc>
                <w:tcPr>
                  <w:tcW w:w="1210" w:type="dxa"/>
                  <w:shd w:val="clear" w:color="auto" w:fill="auto"/>
                  <w:vAlign w:val="center"/>
                </w:tcPr>
                <w:p w14:paraId="3739F8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-0.8713</w:t>
                  </w:r>
                </w:p>
              </w:tc>
              <w:tc>
                <w:tcPr>
                  <w:tcW w:w="873" w:type="dxa"/>
                  <w:shd w:val="clear" w:color="auto" w:fill="auto"/>
                  <w:vAlign w:val="center"/>
                </w:tcPr>
                <w:p w14:paraId="36BC3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29.5478</w:t>
                  </w:r>
                </w:p>
              </w:tc>
              <w:tc>
                <w:tcPr>
                  <w:tcW w:w="1133" w:type="dxa"/>
                  <w:shd w:val="clear" w:color="auto" w:fill="auto"/>
                  <w:vAlign w:val="center"/>
                </w:tcPr>
                <w:p w14:paraId="5D8779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3.4187</w:t>
                  </w:r>
                </w:p>
              </w:tc>
            </w:tr>
            <w:tr w14:paraId="13736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02" w:type="pct"/>
                  <w:vMerge w:val="continue"/>
                  <w:shd w:val="clear" w:color="auto" w:fill="auto"/>
                  <w:vAlign w:val="center"/>
                </w:tcPr>
                <w:p w14:paraId="3F122EA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6" w:type="pct"/>
                  <w:vMerge w:val="continue"/>
                  <w:shd w:val="clear" w:color="auto" w:fill="auto"/>
                  <w:vAlign w:val="center"/>
                </w:tcPr>
                <w:p w14:paraId="6A8B6F2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39" w:type="pct"/>
                  <w:gridSpan w:val="2"/>
                  <w:shd w:val="clear" w:color="auto" w:fill="auto"/>
                  <w:vAlign w:val="center"/>
                </w:tcPr>
                <w:p w14:paraId="4D9F030F">
                  <w:pPr>
                    <w:jc w:val="center"/>
                    <w:rPr>
                      <w:rFonts w:hint="default" w:ascii="Times New Roman" w:hAnsi="Times New Roman" w:eastAsia="宋体" w:cs="Times New Roman"/>
                      <w:color w:val="auto"/>
                      <w:sz w:val="21"/>
                      <w:szCs w:val="21"/>
                    </w:rPr>
                  </w:pPr>
                  <w:r>
                    <w:rPr>
                      <w:color w:val="auto"/>
                      <w:sz w:val="21"/>
                      <w:szCs w:val="21"/>
                    </w:rPr>
                    <w:t>SS</w:t>
                  </w:r>
                </w:p>
              </w:tc>
              <w:tc>
                <w:tcPr>
                  <w:tcW w:w="383" w:type="pct"/>
                  <w:shd w:val="clear" w:color="auto" w:fill="auto"/>
                  <w:vAlign w:val="center"/>
                </w:tcPr>
                <w:p w14:paraId="7454E1FA">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17.11</w:t>
                  </w:r>
                </w:p>
              </w:tc>
              <w:tc>
                <w:tcPr>
                  <w:tcW w:w="343" w:type="pct"/>
                  <w:shd w:val="clear" w:color="auto" w:fill="auto"/>
                  <w:vAlign w:val="center"/>
                </w:tcPr>
                <w:p w14:paraId="1C977BE3">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4.29</w:t>
                  </w:r>
                </w:p>
              </w:tc>
              <w:tc>
                <w:tcPr>
                  <w:tcW w:w="950" w:type="dxa"/>
                  <w:shd w:val="clear" w:color="auto" w:fill="auto"/>
                  <w:vAlign w:val="center"/>
                </w:tcPr>
                <w:p w14:paraId="695B78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2.0530</w:t>
                  </w:r>
                </w:p>
              </w:tc>
              <w:tc>
                <w:tcPr>
                  <w:tcW w:w="1056" w:type="dxa"/>
                  <w:shd w:val="clear" w:color="auto" w:fill="auto"/>
                  <w:vAlign w:val="center"/>
                </w:tcPr>
                <w:p w14:paraId="049DAC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0.4687</w:t>
                  </w:r>
                </w:p>
              </w:tc>
              <w:tc>
                <w:tcPr>
                  <w:tcW w:w="813" w:type="dxa"/>
                  <w:shd w:val="clear" w:color="auto" w:fill="auto"/>
                  <w:vAlign w:val="center"/>
                </w:tcPr>
                <w:p w14:paraId="2190BD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5.23</w:t>
                  </w:r>
                </w:p>
              </w:tc>
              <w:tc>
                <w:tcPr>
                  <w:tcW w:w="845" w:type="dxa"/>
                  <w:shd w:val="clear" w:color="auto" w:fill="auto"/>
                  <w:vAlign w:val="center"/>
                </w:tcPr>
                <w:p w14:paraId="5B7053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1086" w:type="dxa"/>
                  <w:shd w:val="clear" w:color="auto" w:fill="auto"/>
                  <w:vAlign w:val="center"/>
                </w:tcPr>
                <w:p w14:paraId="50DC89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-3.1770</w:t>
                  </w:r>
                </w:p>
              </w:tc>
              <w:tc>
                <w:tcPr>
                  <w:tcW w:w="1210" w:type="dxa"/>
                  <w:shd w:val="clear" w:color="auto" w:fill="auto"/>
                  <w:vAlign w:val="center"/>
                </w:tcPr>
                <w:p w14:paraId="2A246C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-0.8713</w:t>
                  </w:r>
                </w:p>
              </w:tc>
              <w:tc>
                <w:tcPr>
                  <w:tcW w:w="873" w:type="dxa"/>
                  <w:shd w:val="clear" w:color="auto" w:fill="auto"/>
                  <w:vAlign w:val="center"/>
                </w:tcPr>
                <w:p w14:paraId="148DC2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13.9330</w:t>
                  </w:r>
                </w:p>
              </w:tc>
              <w:tc>
                <w:tcPr>
                  <w:tcW w:w="1133" w:type="dxa"/>
                  <w:shd w:val="clear" w:color="auto" w:fill="auto"/>
                  <w:vAlign w:val="center"/>
                </w:tcPr>
                <w:p w14:paraId="726A5C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3.4187</w:t>
                  </w:r>
                </w:p>
              </w:tc>
            </w:tr>
            <w:tr w14:paraId="14EE6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7" w:hRule="atLeast"/>
                <w:jc w:val="center"/>
              </w:trPr>
              <w:tc>
                <w:tcPr>
                  <w:tcW w:w="202" w:type="pct"/>
                  <w:vMerge w:val="continue"/>
                  <w:shd w:val="clear" w:color="auto" w:fill="auto"/>
                  <w:vAlign w:val="center"/>
                </w:tcPr>
                <w:p w14:paraId="1028401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6" w:type="pct"/>
                  <w:vMerge w:val="continue"/>
                  <w:shd w:val="clear" w:color="auto" w:fill="auto"/>
                  <w:vAlign w:val="center"/>
                </w:tcPr>
                <w:p w14:paraId="7D05ABC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39" w:type="pct"/>
                  <w:gridSpan w:val="2"/>
                  <w:shd w:val="clear" w:color="auto" w:fill="auto"/>
                  <w:vAlign w:val="center"/>
                </w:tcPr>
                <w:p w14:paraId="1BCE057F">
                  <w:pPr>
                    <w:jc w:val="center"/>
                    <w:rPr>
                      <w:rFonts w:hint="default" w:ascii="Times New Roman" w:hAnsi="Times New Roman" w:eastAsia="宋体" w:cs="Times New Roman"/>
                      <w:color w:val="auto"/>
                      <w:sz w:val="21"/>
                      <w:szCs w:val="21"/>
                    </w:rPr>
                  </w:pPr>
                  <w:r>
                    <w:rPr>
                      <w:color w:val="auto"/>
                      <w:sz w:val="21"/>
                      <w:szCs w:val="21"/>
                    </w:rPr>
                    <w:t>氨氮</w:t>
                  </w:r>
                </w:p>
              </w:tc>
              <w:tc>
                <w:tcPr>
                  <w:tcW w:w="383" w:type="pct"/>
                  <w:shd w:val="clear" w:color="auto" w:fill="auto"/>
                  <w:vAlign w:val="center"/>
                </w:tcPr>
                <w:p w14:paraId="7B7CA66E">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343" w:type="pct"/>
                  <w:shd w:val="clear" w:color="auto" w:fill="auto"/>
                  <w:vAlign w:val="center"/>
                </w:tcPr>
                <w:p w14:paraId="39A7ED3E">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0.86</w:t>
                  </w:r>
                </w:p>
              </w:tc>
              <w:tc>
                <w:tcPr>
                  <w:tcW w:w="950" w:type="dxa"/>
                  <w:shd w:val="clear" w:color="auto" w:fill="auto"/>
                  <w:vAlign w:val="center"/>
                </w:tcPr>
                <w:p w14:paraId="4AAB3A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0.1311</w:t>
                  </w:r>
                </w:p>
              </w:tc>
              <w:tc>
                <w:tcPr>
                  <w:tcW w:w="1056" w:type="dxa"/>
                  <w:shd w:val="clear" w:color="auto" w:fill="auto"/>
                  <w:vAlign w:val="center"/>
                </w:tcPr>
                <w:p w14:paraId="075C17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0.0937</w:t>
                  </w:r>
                </w:p>
              </w:tc>
              <w:tc>
                <w:tcPr>
                  <w:tcW w:w="813" w:type="dxa"/>
                  <w:shd w:val="clear" w:color="auto" w:fill="auto"/>
                  <w:vAlign w:val="center"/>
                </w:tcPr>
                <w:p w14:paraId="4092F4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845" w:type="dxa"/>
                  <w:shd w:val="clear" w:color="auto" w:fill="auto"/>
                  <w:vAlign w:val="center"/>
                </w:tcPr>
                <w:p w14:paraId="7E397E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1086" w:type="dxa"/>
                  <w:shd w:val="clear" w:color="auto" w:fill="auto"/>
                  <w:vAlign w:val="center"/>
                </w:tcPr>
                <w:p w14:paraId="6EBC6F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-0.2389</w:t>
                  </w:r>
                </w:p>
              </w:tc>
              <w:tc>
                <w:tcPr>
                  <w:tcW w:w="1210" w:type="dxa"/>
                  <w:shd w:val="clear" w:color="auto" w:fill="auto"/>
                  <w:vAlign w:val="center"/>
                </w:tcPr>
                <w:p w14:paraId="3981E2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-0.1863</w:t>
                  </w:r>
                </w:p>
              </w:tc>
              <w:tc>
                <w:tcPr>
                  <w:tcW w:w="873" w:type="dxa"/>
                  <w:shd w:val="clear" w:color="auto" w:fill="auto"/>
                  <w:vAlign w:val="center"/>
                </w:tcPr>
                <w:p w14:paraId="5CEDB6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0.9611</w:t>
                  </w:r>
                </w:p>
              </w:tc>
              <w:tc>
                <w:tcPr>
                  <w:tcW w:w="1133" w:type="dxa"/>
                  <w:shd w:val="clear" w:color="auto" w:fill="auto"/>
                  <w:vAlign w:val="center"/>
                </w:tcPr>
                <w:p w14:paraId="6171EA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0.6737</w:t>
                  </w:r>
                </w:p>
              </w:tc>
            </w:tr>
            <w:tr w14:paraId="1ACD0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2" w:type="pct"/>
                  <w:vMerge w:val="continue"/>
                  <w:shd w:val="clear" w:color="auto" w:fill="auto"/>
                  <w:vAlign w:val="center"/>
                </w:tcPr>
                <w:p w14:paraId="3298BB7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6" w:type="pct"/>
                  <w:vMerge w:val="continue"/>
                  <w:shd w:val="clear" w:color="auto" w:fill="auto"/>
                  <w:vAlign w:val="center"/>
                </w:tcPr>
                <w:p w14:paraId="2CD8D93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39" w:type="pct"/>
                  <w:gridSpan w:val="2"/>
                  <w:shd w:val="clear" w:color="auto" w:fill="auto"/>
                  <w:vAlign w:val="center"/>
                </w:tcPr>
                <w:p w14:paraId="5AB7C6BB">
                  <w:pPr>
                    <w:jc w:val="center"/>
                    <w:rPr>
                      <w:rFonts w:hint="eastAsia" w:ascii="Times New Roman" w:hAnsi="Times New Roman" w:eastAsia="宋体" w:cs="Times New Roman"/>
                      <w:color w:val="auto"/>
                      <w:sz w:val="21"/>
                      <w:szCs w:val="21"/>
                      <w:lang w:eastAsia="zh-CN"/>
                    </w:rPr>
                  </w:pPr>
                  <w:r>
                    <w:rPr>
                      <w:color w:val="auto"/>
                      <w:sz w:val="21"/>
                      <w:szCs w:val="21"/>
                    </w:rPr>
                    <w:t>总氮</w:t>
                  </w:r>
                </w:p>
              </w:tc>
              <w:tc>
                <w:tcPr>
                  <w:tcW w:w="383" w:type="pct"/>
                  <w:shd w:val="clear" w:color="auto" w:fill="auto"/>
                  <w:vAlign w:val="center"/>
                </w:tcPr>
                <w:p w14:paraId="137CE72B">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2.27</w:t>
                  </w:r>
                </w:p>
              </w:tc>
              <w:tc>
                <w:tcPr>
                  <w:tcW w:w="343" w:type="pct"/>
                  <w:shd w:val="clear" w:color="auto" w:fill="auto"/>
                  <w:vAlign w:val="center"/>
                </w:tcPr>
                <w:p w14:paraId="18B5FB7F">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950" w:type="dxa"/>
                  <w:shd w:val="clear" w:color="auto" w:fill="auto"/>
                  <w:vAlign w:val="center"/>
                </w:tcPr>
                <w:p w14:paraId="647B0F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0.2501</w:t>
                  </w:r>
                </w:p>
              </w:tc>
              <w:tc>
                <w:tcPr>
                  <w:tcW w:w="1056" w:type="dxa"/>
                  <w:shd w:val="clear" w:color="auto" w:fill="auto"/>
                  <w:vAlign w:val="center"/>
                </w:tcPr>
                <w:p w14:paraId="01470F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0.1406</w:t>
                  </w:r>
                </w:p>
              </w:tc>
              <w:tc>
                <w:tcPr>
                  <w:tcW w:w="813" w:type="dxa"/>
                  <w:shd w:val="clear" w:color="auto" w:fill="auto"/>
                  <w:vAlign w:val="center"/>
                </w:tcPr>
                <w:p w14:paraId="3BC3DC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845" w:type="dxa"/>
                  <w:shd w:val="clear" w:color="auto" w:fill="auto"/>
                  <w:vAlign w:val="center"/>
                </w:tcPr>
                <w:p w14:paraId="24E7E1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w:t>
                  </w:r>
                </w:p>
              </w:tc>
              <w:tc>
                <w:tcPr>
                  <w:tcW w:w="1086" w:type="dxa"/>
                  <w:shd w:val="clear" w:color="auto" w:fill="auto"/>
                  <w:vAlign w:val="center"/>
                </w:tcPr>
                <w:p w14:paraId="4585DC3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-0.4399</w:t>
                  </w:r>
                </w:p>
              </w:tc>
              <w:tc>
                <w:tcPr>
                  <w:tcW w:w="1210" w:type="dxa"/>
                  <w:shd w:val="clear" w:color="auto" w:fill="auto"/>
                  <w:vAlign w:val="center"/>
                </w:tcPr>
                <w:p w14:paraId="2E2F182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-0.2594</w:t>
                  </w:r>
                </w:p>
              </w:tc>
              <w:tc>
                <w:tcPr>
                  <w:tcW w:w="873" w:type="dxa"/>
                  <w:shd w:val="clear" w:color="auto" w:fill="auto"/>
                  <w:vAlign w:val="center"/>
                </w:tcPr>
                <w:p w14:paraId="226CC70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1.8301</w:t>
                  </w:r>
                </w:p>
              </w:tc>
              <w:tc>
                <w:tcPr>
                  <w:tcW w:w="1133" w:type="dxa"/>
                  <w:shd w:val="clear" w:color="auto" w:fill="auto"/>
                  <w:vAlign w:val="center"/>
                </w:tcPr>
                <w:p w14:paraId="204FE31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1.0306</w:t>
                  </w:r>
                </w:p>
              </w:tc>
            </w:tr>
            <w:tr w14:paraId="1F761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2" w:type="pct"/>
                  <w:vMerge w:val="continue"/>
                  <w:shd w:val="clear" w:color="auto" w:fill="auto"/>
                  <w:vAlign w:val="center"/>
                </w:tcPr>
                <w:p w14:paraId="43784F9C">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6" w:type="pct"/>
                  <w:vMerge w:val="continue"/>
                  <w:shd w:val="clear" w:color="auto" w:fill="auto"/>
                  <w:vAlign w:val="center"/>
                </w:tcPr>
                <w:p w14:paraId="3ED860A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39" w:type="pct"/>
                  <w:gridSpan w:val="2"/>
                  <w:shd w:val="clear" w:color="auto" w:fill="auto"/>
                  <w:vAlign w:val="center"/>
                </w:tcPr>
                <w:p w14:paraId="67859135">
                  <w:pPr>
                    <w:jc w:val="center"/>
                    <w:rPr>
                      <w:rFonts w:hint="eastAsia" w:ascii="Times New Roman" w:hAnsi="Times New Roman" w:eastAsia="宋体" w:cs="Times New Roman"/>
                      <w:color w:val="auto"/>
                      <w:sz w:val="21"/>
                      <w:szCs w:val="21"/>
                      <w:lang w:eastAsia="zh-CN"/>
                    </w:rPr>
                  </w:pPr>
                  <w:r>
                    <w:rPr>
                      <w:color w:val="auto"/>
                      <w:sz w:val="21"/>
                      <w:szCs w:val="21"/>
                    </w:rPr>
                    <w:t>总磷</w:t>
                  </w:r>
                </w:p>
              </w:tc>
              <w:tc>
                <w:tcPr>
                  <w:tcW w:w="383" w:type="pct"/>
                  <w:shd w:val="clear" w:color="auto" w:fill="auto"/>
                  <w:vAlign w:val="center"/>
                </w:tcPr>
                <w:p w14:paraId="00E64A45">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0.21</w:t>
                  </w:r>
                </w:p>
              </w:tc>
              <w:tc>
                <w:tcPr>
                  <w:tcW w:w="343" w:type="pct"/>
                  <w:shd w:val="clear" w:color="auto" w:fill="auto"/>
                  <w:vAlign w:val="center"/>
                </w:tcPr>
                <w:p w14:paraId="76811A51">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950" w:type="dxa"/>
                  <w:shd w:val="clear" w:color="auto" w:fill="auto"/>
                  <w:vAlign w:val="center"/>
                </w:tcPr>
                <w:p w14:paraId="698089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0.0247</w:t>
                  </w:r>
                </w:p>
              </w:tc>
              <w:tc>
                <w:tcPr>
                  <w:tcW w:w="1056" w:type="dxa"/>
                  <w:shd w:val="clear" w:color="auto" w:fill="auto"/>
                  <w:vAlign w:val="center"/>
                </w:tcPr>
                <w:p w14:paraId="3AA8F6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0.0127</w:t>
                  </w:r>
                </w:p>
              </w:tc>
              <w:tc>
                <w:tcPr>
                  <w:tcW w:w="813" w:type="dxa"/>
                  <w:shd w:val="clear" w:color="auto" w:fill="auto"/>
                  <w:vAlign w:val="center"/>
                </w:tcPr>
                <w:p w14:paraId="4759C5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845" w:type="dxa"/>
                  <w:shd w:val="clear" w:color="auto" w:fill="auto"/>
                  <w:vAlign w:val="center"/>
                </w:tcPr>
                <w:p w14:paraId="149B40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086" w:type="dxa"/>
                  <w:shd w:val="clear" w:color="auto" w:fill="auto"/>
                  <w:vAlign w:val="center"/>
                </w:tcPr>
                <w:p w14:paraId="2AB4F74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-0.0353</w:t>
                  </w:r>
                </w:p>
              </w:tc>
              <w:tc>
                <w:tcPr>
                  <w:tcW w:w="1210" w:type="dxa"/>
                  <w:shd w:val="clear" w:color="auto" w:fill="auto"/>
                  <w:vAlign w:val="center"/>
                </w:tcPr>
                <w:p w14:paraId="1EFA956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-0.0073</w:t>
                  </w:r>
                </w:p>
              </w:tc>
              <w:tc>
                <w:tcPr>
                  <w:tcW w:w="873" w:type="dxa"/>
                  <w:shd w:val="clear" w:color="auto" w:fill="auto"/>
                  <w:vAlign w:val="center"/>
                </w:tcPr>
                <w:p w14:paraId="687535A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0.1747</w:t>
                  </w:r>
                </w:p>
              </w:tc>
              <w:tc>
                <w:tcPr>
                  <w:tcW w:w="1133" w:type="dxa"/>
                  <w:shd w:val="clear" w:color="auto" w:fill="auto"/>
                  <w:vAlign w:val="center"/>
                </w:tcPr>
                <w:p w14:paraId="195FBF6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0.0827</w:t>
                  </w:r>
                </w:p>
              </w:tc>
            </w:tr>
            <w:tr w14:paraId="062AB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2" w:type="pct"/>
                  <w:vMerge w:val="continue"/>
                  <w:shd w:val="clear" w:color="auto" w:fill="auto"/>
                  <w:vAlign w:val="center"/>
                </w:tcPr>
                <w:p w14:paraId="4E2F797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6" w:type="pct"/>
                  <w:vMerge w:val="continue"/>
                  <w:shd w:val="clear" w:color="auto" w:fill="auto"/>
                  <w:vAlign w:val="center"/>
                </w:tcPr>
                <w:p w14:paraId="2E09EDE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39" w:type="pct"/>
                  <w:gridSpan w:val="2"/>
                  <w:shd w:val="clear" w:color="auto" w:fill="auto"/>
                  <w:vAlign w:val="center"/>
                </w:tcPr>
                <w:p w14:paraId="6B8CFE6F">
                  <w:pPr>
                    <w:jc w:val="center"/>
                    <w:rPr>
                      <w:rFonts w:hint="eastAsia" w:cs="Times New Roman"/>
                      <w:color w:val="auto"/>
                      <w:sz w:val="21"/>
                      <w:szCs w:val="21"/>
                      <w:lang w:eastAsia="zh-CN"/>
                    </w:rPr>
                  </w:pPr>
                  <w:r>
                    <w:rPr>
                      <w:color w:val="auto"/>
                      <w:sz w:val="21"/>
                      <w:szCs w:val="21"/>
                    </w:rPr>
                    <w:t>动植物油</w:t>
                  </w:r>
                </w:p>
              </w:tc>
              <w:tc>
                <w:tcPr>
                  <w:tcW w:w="383" w:type="pct"/>
                  <w:shd w:val="clear" w:color="auto" w:fill="auto"/>
                  <w:vAlign w:val="center"/>
                </w:tcPr>
                <w:p w14:paraId="1860E938">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343" w:type="pct"/>
                  <w:shd w:val="clear" w:color="auto" w:fill="auto"/>
                  <w:vAlign w:val="center"/>
                </w:tcPr>
                <w:p w14:paraId="3F2D14B6">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0.09</w:t>
                  </w:r>
                </w:p>
              </w:tc>
              <w:tc>
                <w:tcPr>
                  <w:tcW w:w="950" w:type="dxa"/>
                  <w:shd w:val="clear" w:color="auto" w:fill="auto"/>
                  <w:vAlign w:val="center"/>
                </w:tcPr>
                <w:p w14:paraId="757B85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0.0191</w:t>
                  </w:r>
                </w:p>
              </w:tc>
              <w:tc>
                <w:tcPr>
                  <w:tcW w:w="1056" w:type="dxa"/>
                  <w:shd w:val="clear" w:color="auto" w:fill="auto"/>
                  <w:vAlign w:val="center"/>
                </w:tcPr>
                <w:p w14:paraId="0C724C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0.0094</w:t>
                  </w:r>
                </w:p>
              </w:tc>
              <w:tc>
                <w:tcPr>
                  <w:tcW w:w="813" w:type="dxa"/>
                  <w:shd w:val="clear" w:color="auto" w:fill="auto"/>
                  <w:vAlign w:val="center"/>
                </w:tcPr>
                <w:p w14:paraId="71B997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45" w:type="dxa"/>
                  <w:shd w:val="clear" w:color="auto" w:fill="auto"/>
                  <w:vAlign w:val="center"/>
                </w:tcPr>
                <w:p w14:paraId="509A2F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1086" w:type="dxa"/>
                  <w:shd w:val="clear" w:color="auto" w:fill="auto"/>
                  <w:vAlign w:val="center"/>
                </w:tcPr>
                <w:p w14:paraId="35F20BE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1210" w:type="dxa"/>
                  <w:shd w:val="clear" w:color="auto" w:fill="auto"/>
                  <w:vAlign w:val="center"/>
                </w:tcPr>
                <w:p w14:paraId="12F7E8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-0.0206</w:t>
                  </w:r>
                </w:p>
              </w:tc>
              <w:tc>
                <w:tcPr>
                  <w:tcW w:w="873" w:type="dxa"/>
                  <w:shd w:val="clear" w:color="auto" w:fill="auto"/>
                  <w:vAlign w:val="center"/>
                </w:tcPr>
                <w:p w14:paraId="2394952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0.0891</w:t>
                  </w:r>
                </w:p>
              </w:tc>
              <w:tc>
                <w:tcPr>
                  <w:tcW w:w="1133" w:type="dxa"/>
                  <w:shd w:val="clear" w:color="auto" w:fill="auto"/>
                  <w:vAlign w:val="center"/>
                </w:tcPr>
                <w:p w14:paraId="455A3A8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0.0694</w:t>
                  </w:r>
                </w:p>
              </w:tc>
            </w:tr>
            <w:tr w14:paraId="4907A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2" w:type="pct"/>
                  <w:vMerge w:val="continue"/>
                  <w:shd w:val="clear" w:color="auto" w:fill="auto"/>
                  <w:vAlign w:val="center"/>
                </w:tcPr>
                <w:p w14:paraId="4D80331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6" w:type="pct"/>
                  <w:vMerge w:val="continue"/>
                  <w:shd w:val="clear" w:color="auto" w:fill="auto"/>
                  <w:vAlign w:val="center"/>
                </w:tcPr>
                <w:p w14:paraId="646AB72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39" w:type="pct"/>
                  <w:gridSpan w:val="2"/>
                  <w:shd w:val="clear" w:color="auto" w:fill="auto"/>
                  <w:vAlign w:val="center"/>
                </w:tcPr>
                <w:p w14:paraId="208D9A67">
                  <w:pPr>
                    <w:jc w:val="center"/>
                    <w:rPr>
                      <w:rFonts w:hint="eastAsia" w:cs="Times New Roman"/>
                      <w:color w:val="auto"/>
                      <w:sz w:val="21"/>
                      <w:szCs w:val="21"/>
                      <w:lang w:eastAsia="zh-CN"/>
                    </w:rPr>
                  </w:pPr>
                  <w:r>
                    <w:rPr>
                      <w:color w:val="auto"/>
                      <w:sz w:val="21"/>
                      <w:szCs w:val="21"/>
                    </w:rPr>
                    <w:t>LAS</w:t>
                  </w:r>
                </w:p>
              </w:tc>
              <w:tc>
                <w:tcPr>
                  <w:tcW w:w="383" w:type="pct"/>
                  <w:shd w:val="clear" w:color="auto" w:fill="auto"/>
                  <w:vAlign w:val="center"/>
                </w:tcPr>
                <w:p w14:paraId="75818FB3">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343" w:type="pct"/>
                  <w:shd w:val="clear" w:color="auto" w:fill="auto"/>
                  <w:vAlign w:val="center"/>
                </w:tcPr>
                <w:p w14:paraId="48AF6259">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0.21</w:t>
                  </w:r>
                </w:p>
              </w:tc>
              <w:tc>
                <w:tcPr>
                  <w:tcW w:w="950" w:type="dxa"/>
                  <w:shd w:val="clear" w:color="auto" w:fill="auto"/>
                  <w:vAlign w:val="center"/>
                </w:tcPr>
                <w:p w14:paraId="309F936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0.0418</w:t>
                  </w:r>
                </w:p>
              </w:tc>
              <w:tc>
                <w:tcPr>
                  <w:tcW w:w="1056" w:type="dxa"/>
                  <w:shd w:val="clear" w:color="auto" w:fill="auto"/>
                  <w:vAlign w:val="center"/>
                </w:tcPr>
                <w:p w14:paraId="595C508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0.0234</w:t>
                  </w:r>
                </w:p>
              </w:tc>
              <w:tc>
                <w:tcPr>
                  <w:tcW w:w="813" w:type="dxa"/>
                  <w:shd w:val="clear" w:color="auto" w:fill="auto"/>
                  <w:vAlign w:val="center"/>
                </w:tcPr>
                <w:p w14:paraId="7F02CB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845" w:type="dxa"/>
                  <w:shd w:val="clear" w:color="auto" w:fill="auto"/>
                  <w:vAlign w:val="center"/>
                </w:tcPr>
                <w:p w14:paraId="64928F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086" w:type="dxa"/>
                  <w:shd w:val="clear" w:color="auto" w:fill="auto"/>
                  <w:vAlign w:val="center"/>
                </w:tcPr>
                <w:p w14:paraId="0FDE96D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-0.0282</w:t>
                  </w:r>
                </w:p>
              </w:tc>
              <w:tc>
                <w:tcPr>
                  <w:tcW w:w="1210" w:type="dxa"/>
                  <w:shd w:val="clear" w:color="auto" w:fill="auto"/>
                  <w:vAlign w:val="center"/>
                </w:tcPr>
                <w:p w14:paraId="34CB709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-0.0466</w:t>
                  </w:r>
                </w:p>
              </w:tc>
              <w:tc>
                <w:tcPr>
                  <w:tcW w:w="873" w:type="dxa"/>
                  <w:shd w:val="clear" w:color="auto" w:fill="auto"/>
                  <w:vAlign w:val="center"/>
                </w:tcPr>
                <w:p w14:paraId="7FC49EF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0.1918</w:t>
                  </w:r>
                </w:p>
              </w:tc>
              <w:tc>
                <w:tcPr>
                  <w:tcW w:w="1133" w:type="dxa"/>
                  <w:shd w:val="clear" w:color="auto" w:fill="auto"/>
                  <w:vAlign w:val="center"/>
                </w:tcPr>
                <w:p w14:paraId="072946B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0.1634</w:t>
                  </w:r>
                </w:p>
              </w:tc>
            </w:tr>
            <w:tr w14:paraId="40C2A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2" w:type="pct"/>
                  <w:vMerge w:val="continue"/>
                  <w:shd w:val="clear" w:color="auto" w:fill="auto"/>
                  <w:vAlign w:val="center"/>
                </w:tcPr>
                <w:p w14:paraId="6B23FC6C">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6" w:type="pct"/>
                  <w:vMerge w:val="continue"/>
                  <w:shd w:val="clear" w:color="auto" w:fill="auto"/>
                  <w:vAlign w:val="center"/>
                </w:tcPr>
                <w:p w14:paraId="48B8B8F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39" w:type="pct"/>
                  <w:gridSpan w:val="2"/>
                  <w:shd w:val="clear" w:color="auto" w:fill="auto"/>
                  <w:vAlign w:val="center"/>
                </w:tcPr>
                <w:p w14:paraId="3301EFDA">
                  <w:pPr>
                    <w:jc w:val="center"/>
                    <w:rPr>
                      <w:rFonts w:hint="eastAsia" w:eastAsia="宋体"/>
                      <w:color w:val="auto"/>
                      <w:sz w:val="21"/>
                      <w:szCs w:val="21"/>
                      <w:lang w:eastAsia="zh-CN"/>
                    </w:rPr>
                  </w:pPr>
                  <w:r>
                    <w:rPr>
                      <w:rFonts w:hint="eastAsia"/>
                      <w:color w:val="auto"/>
                      <w:sz w:val="21"/>
                      <w:szCs w:val="21"/>
                      <w:lang w:eastAsia="zh-CN"/>
                    </w:rPr>
                    <w:t>全盐量</w:t>
                  </w:r>
                  <w:r>
                    <w:rPr>
                      <w:rFonts w:hint="default" w:ascii="Times New Roman" w:hAnsi="Times New Roman" w:cs="Times New Roman"/>
                      <w:color w:val="auto"/>
                      <w:sz w:val="21"/>
                      <w:szCs w:val="21"/>
                      <w:lang w:eastAsia="zh-CN"/>
                    </w:rPr>
                    <w:t>*</w:t>
                  </w:r>
                </w:p>
              </w:tc>
              <w:tc>
                <w:tcPr>
                  <w:tcW w:w="383" w:type="pct"/>
                  <w:shd w:val="clear" w:color="auto" w:fill="auto"/>
                  <w:vAlign w:val="center"/>
                </w:tcPr>
                <w:p w14:paraId="3806EE96">
                  <w:pPr>
                    <w:keepNext w:val="0"/>
                    <w:keepLines w:val="0"/>
                    <w:widowControl/>
                    <w:suppressLineNumbers w:val="0"/>
                    <w:jc w:val="center"/>
                    <w:textAlignment w:val="center"/>
                    <w:rPr>
                      <w:rFonts w:hint="eastAsia"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343" w:type="pct"/>
                  <w:shd w:val="clear" w:color="auto" w:fill="auto"/>
                  <w:vAlign w:val="center"/>
                </w:tcPr>
                <w:p w14:paraId="31E933EF">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950" w:type="dxa"/>
                  <w:shd w:val="clear" w:color="auto" w:fill="auto"/>
                  <w:vAlign w:val="center"/>
                </w:tcPr>
                <w:p w14:paraId="712328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1056" w:type="dxa"/>
                  <w:shd w:val="clear" w:color="auto" w:fill="auto"/>
                  <w:vAlign w:val="center"/>
                </w:tcPr>
                <w:p w14:paraId="07CE457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8</w:t>
                  </w:r>
                </w:p>
              </w:tc>
              <w:tc>
                <w:tcPr>
                  <w:tcW w:w="813" w:type="dxa"/>
                  <w:shd w:val="clear" w:color="auto" w:fill="auto"/>
                  <w:vAlign w:val="center"/>
                </w:tcPr>
                <w:p w14:paraId="3EAE7A35">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45" w:type="dxa"/>
                  <w:shd w:val="clear" w:color="auto" w:fill="auto"/>
                  <w:vAlign w:val="center"/>
                </w:tcPr>
                <w:p w14:paraId="11D3B27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86" w:type="dxa"/>
                  <w:shd w:val="clear" w:color="auto" w:fill="auto"/>
                  <w:vAlign w:val="center"/>
                </w:tcPr>
                <w:p w14:paraId="3F5C5D0D">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1210" w:type="dxa"/>
                  <w:shd w:val="clear" w:color="auto" w:fill="auto"/>
                  <w:vAlign w:val="center"/>
                </w:tcPr>
                <w:p w14:paraId="0EDF56A7">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873" w:type="dxa"/>
                  <w:shd w:val="clear" w:color="auto" w:fill="auto"/>
                  <w:vAlign w:val="center"/>
                </w:tcPr>
                <w:p w14:paraId="2AFAB0F9">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1133" w:type="dxa"/>
                  <w:shd w:val="clear" w:color="auto" w:fill="auto"/>
                  <w:vAlign w:val="center"/>
                </w:tcPr>
                <w:p w14:paraId="7EC6E6EC">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1.68</w:t>
                  </w:r>
                </w:p>
              </w:tc>
            </w:tr>
            <w:tr w14:paraId="51034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02" w:type="pct"/>
                  <w:vMerge w:val="restart"/>
                  <w:shd w:val="clear" w:color="auto" w:fill="auto"/>
                  <w:vAlign w:val="center"/>
                </w:tcPr>
                <w:p w14:paraId="1E67347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56" w:type="pct"/>
                  <w:gridSpan w:val="3"/>
                  <w:shd w:val="clear" w:color="auto" w:fill="auto"/>
                  <w:vAlign w:val="center"/>
                </w:tcPr>
                <w:p w14:paraId="7896E4A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726" w:type="pct"/>
                  <w:gridSpan w:val="2"/>
                  <w:shd w:val="clear" w:color="auto" w:fill="auto"/>
                  <w:vAlign w:val="center"/>
                </w:tcPr>
                <w:p w14:paraId="10F7997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809" w:type="pct"/>
                  <w:gridSpan w:val="2"/>
                  <w:shd w:val="clear" w:color="auto" w:fill="auto"/>
                  <w:vAlign w:val="center"/>
                </w:tcPr>
                <w:p w14:paraId="40C53A5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669" w:type="pct"/>
                  <w:gridSpan w:val="2"/>
                  <w:shd w:val="clear" w:color="auto" w:fill="auto"/>
                  <w:vAlign w:val="center"/>
                </w:tcPr>
                <w:p w14:paraId="5B6A50F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926" w:type="pct"/>
                  <w:gridSpan w:val="2"/>
                  <w:shd w:val="clear" w:color="auto" w:fill="auto"/>
                  <w:vAlign w:val="center"/>
                </w:tcPr>
                <w:p w14:paraId="0847964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809" w:type="pct"/>
                  <w:gridSpan w:val="2"/>
                  <w:shd w:val="clear" w:color="auto" w:fill="auto"/>
                  <w:vAlign w:val="center"/>
                </w:tcPr>
                <w:p w14:paraId="6B31D64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r w14:paraId="261B9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2" w:type="pct"/>
                  <w:vMerge w:val="continue"/>
                  <w:shd w:val="clear" w:color="auto" w:fill="auto"/>
                  <w:vAlign w:val="center"/>
                </w:tcPr>
                <w:p w14:paraId="191D518C">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856" w:type="pct"/>
                  <w:gridSpan w:val="3"/>
                  <w:shd w:val="clear" w:color="auto" w:fill="auto"/>
                  <w:vAlign w:val="center"/>
                </w:tcPr>
                <w:p w14:paraId="669E4C5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一般工业固废</w:t>
                  </w:r>
                </w:p>
              </w:tc>
              <w:tc>
                <w:tcPr>
                  <w:tcW w:w="726" w:type="pct"/>
                  <w:gridSpan w:val="2"/>
                  <w:shd w:val="clear" w:color="auto" w:fill="auto"/>
                  <w:vAlign w:val="center"/>
                </w:tcPr>
                <w:p w14:paraId="0BA7B00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809" w:type="pct"/>
                  <w:gridSpan w:val="2"/>
                  <w:shd w:val="clear" w:color="auto" w:fill="auto"/>
                  <w:vAlign w:val="center"/>
                </w:tcPr>
                <w:p w14:paraId="4ABF37A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669" w:type="pct"/>
                  <w:gridSpan w:val="2"/>
                  <w:shd w:val="clear" w:color="auto" w:fill="auto"/>
                  <w:vAlign w:val="center"/>
                </w:tcPr>
                <w:p w14:paraId="222CA26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926" w:type="pct"/>
                  <w:gridSpan w:val="2"/>
                  <w:shd w:val="clear" w:color="auto" w:fill="auto"/>
                  <w:vAlign w:val="center"/>
                </w:tcPr>
                <w:p w14:paraId="15E0B31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809" w:type="pct"/>
                  <w:gridSpan w:val="2"/>
                  <w:shd w:val="clear" w:color="auto" w:fill="auto"/>
                  <w:vAlign w:val="center"/>
                </w:tcPr>
                <w:p w14:paraId="75AAFE0F">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r w14:paraId="15DB3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3" w:hRule="atLeast"/>
                <w:jc w:val="center"/>
              </w:trPr>
              <w:tc>
                <w:tcPr>
                  <w:tcW w:w="202" w:type="pct"/>
                  <w:vMerge w:val="continue"/>
                  <w:shd w:val="clear" w:color="auto" w:fill="auto"/>
                  <w:vAlign w:val="center"/>
                </w:tcPr>
                <w:p w14:paraId="1D7DD76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856" w:type="pct"/>
                  <w:gridSpan w:val="3"/>
                  <w:shd w:val="clear" w:color="auto" w:fill="auto"/>
                  <w:vAlign w:val="center"/>
                </w:tcPr>
                <w:p w14:paraId="73343CC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726" w:type="pct"/>
                  <w:gridSpan w:val="2"/>
                  <w:shd w:val="clear" w:color="auto" w:fill="auto"/>
                  <w:vAlign w:val="center"/>
                </w:tcPr>
                <w:p w14:paraId="3E4E539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809" w:type="pct"/>
                  <w:gridSpan w:val="2"/>
                  <w:shd w:val="clear" w:color="auto" w:fill="auto"/>
                  <w:vAlign w:val="center"/>
                </w:tcPr>
                <w:p w14:paraId="313518E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669" w:type="pct"/>
                  <w:gridSpan w:val="2"/>
                  <w:shd w:val="clear" w:color="auto" w:fill="auto"/>
                  <w:vAlign w:val="center"/>
                </w:tcPr>
                <w:p w14:paraId="5A6B6D44">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926" w:type="pct"/>
                  <w:gridSpan w:val="2"/>
                  <w:shd w:val="clear" w:color="auto" w:fill="auto"/>
                  <w:vAlign w:val="center"/>
                </w:tcPr>
                <w:p w14:paraId="5FE40054">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809" w:type="pct"/>
                  <w:gridSpan w:val="2"/>
                  <w:shd w:val="clear" w:color="auto" w:fill="auto"/>
                  <w:vAlign w:val="center"/>
                </w:tcPr>
                <w:p w14:paraId="3DC4002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bl>
          <w:p w14:paraId="7BE04B62">
            <w:pPr>
              <w:widowControl/>
              <w:adjustRightInd w:val="0"/>
              <w:snapToGrid w:val="0"/>
              <w:spacing w:before="120" w:beforeLines="50" w:line="360" w:lineRule="auto"/>
              <w:ind w:firstLine="630" w:firstLineChars="300"/>
              <w:jc w:val="left"/>
              <w:rPr>
                <w:rFonts w:hint="default"/>
                <w:b/>
                <w:color w:val="auto"/>
                <w:kern w:val="0"/>
                <w:sz w:val="24"/>
                <w:lang w:val="en-US"/>
              </w:rPr>
            </w:pP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注：全盐量无需申请总量。</w:t>
            </w:r>
          </w:p>
          <w:p w14:paraId="57CAEEE7">
            <w:pPr>
              <w:widowControl/>
              <w:adjustRightInd w:val="0"/>
              <w:snapToGrid w:val="0"/>
              <w:spacing w:before="120" w:beforeLines="50" w:line="360" w:lineRule="auto"/>
              <w:ind w:firstLine="723" w:firstLineChars="300"/>
              <w:jc w:val="left"/>
              <w:rPr>
                <w:b/>
                <w:color w:val="auto"/>
                <w:kern w:val="0"/>
                <w:sz w:val="24"/>
              </w:rPr>
            </w:pPr>
          </w:p>
          <w:p w14:paraId="0B301C08">
            <w:pPr>
              <w:widowControl/>
              <w:adjustRightInd w:val="0"/>
              <w:snapToGrid w:val="0"/>
              <w:spacing w:before="120" w:beforeLines="50" w:line="360" w:lineRule="auto"/>
              <w:ind w:firstLine="723" w:firstLineChars="300"/>
              <w:jc w:val="left"/>
              <w:rPr>
                <w:b/>
                <w:color w:val="auto"/>
                <w:kern w:val="0"/>
                <w:sz w:val="24"/>
              </w:rPr>
            </w:pPr>
          </w:p>
          <w:p w14:paraId="7CC566C7">
            <w:pPr>
              <w:widowControl/>
              <w:adjustRightInd w:val="0"/>
              <w:snapToGrid w:val="0"/>
              <w:spacing w:before="120" w:beforeLines="50" w:line="360" w:lineRule="auto"/>
              <w:ind w:firstLine="723" w:firstLineChars="300"/>
              <w:jc w:val="left"/>
              <w:rPr>
                <w:b/>
                <w:color w:val="auto"/>
                <w:kern w:val="0"/>
                <w:sz w:val="24"/>
              </w:rPr>
            </w:pPr>
            <w:r>
              <w:rPr>
                <w:b/>
                <w:color w:val="auto"/>
                <w:kern w:val="0"/>
                <w:sz w:val="24"/>
              </w:rPr>
              <w:t>建设项目总量控制指标：</w:t>
            </w:r>
          </w:p>
          <w:p w14:paraId="0B85C498">
            <w:pPr>
              <w:adjustRightInd w:val="0"/>
              <w:snapToGrid w:val="0"/>
              <w:spacing w:line="360" w:lineRule="auto"/>
              <w:ind w:firstLine="480" w:firstLineChars="200"/>
              <w:rPr>
                <w:bCs/>
                <w:color w:val="auto"/>
                <w:kern w:val="0"/>
                <w:sz w:val="24"/>
                <w:szCs w:val="20"/>
              </w:rPr>
            </w:pPr>
            <w:r>
              <w:rPr>
                <w:color w:val="auto"/>
                <w:sz w:val="24"/>
              </w:rPr>
              <w:t>（1）废气</w:t>
            </w:r>
          </w:p>
          <w:p w14:paraId="34D8033B">
            <w:pPr>
              <w:wordWrap w:val="0"/>
              <w:snapToGrid w:val="0"/>
              <w:spacing w:line="360" w:lineRule="auto"/>
              <w:ind w:firstLine="720" w:firstLineChars="300"/>
              <w:jc w:val="left"/>
              <w:rPr>
                <w:rFonts w:hint="eastAsia"/>
                <w:color w:val="auto"/>
                <w:kern w:val="0"/>
                <w:sz w:val="24"/>
              </w:rPr>
            </w:pPr>
            <w:r>
              <w:rPr>
                <w:rFonts w:hint="eastAsia"/>
                <w:color w:val="auto"/>
                <w:kern w:val="0"/>
                <w:sz w:val="24"/>
                <w:lang w:eastAsia="zh-CN"/>
              </w:rPr>
              <w:t>扩建项目不涉及新增有组织量，无需从</w:t>
            </w:r>
            <w:r>
              <w:rPr>
                <w:rFonts w:hint="eastAsia"/>
                <w:color w:val="auto"/>
                <w:kern w:val="0"/>
                <w:sz w:val="24"/>
              </w:rPr>
              <w:t>淮安市涟水生态环境局从境内企业削减总量中替代平衡。</w:t>
            </w:r>
          </w:p>
          <w:p w14:paraId="50DCA7D7">
            <w:pPr>
              <w:pStyle w:val="76"/>
              <w:widowControl/>
              <w:adjustRightInd w:val="0"/>
              <w:snapToGrid w:val="0"/>
              <w:spacing w:line="360" w:lineRule="auto"/>
              <w:ind w:left="480" w:firstLine="0" w:firstLineChars="0"/>
              <w:jc w:val="left"/>
              <w:rPr>
                <w:bCs/>
                <w:color w:val="auto"/>
                <w:kern w:val="0"/>
                <w:sz w:val="24"/>
                <w:szCs w:val="20"/>
              </w:rPr>
            </w:pPr>
            <w:r>
              <w:rPr>
                <w:rFonts w:hint="eastAsia"/>
                <w:bCs/>
                <w:color w:val="auto"/>
                <w:kern w:val="0"/>
                <w:sz w:val="24"/>
                <w:szCs w:val="20"/>
              </w:rPr>
              <w:t>（2）废水</w:t>
            </w:r>
          </w:p>
          <w:p w14:paraId="61AAE598">
            <w:pPr>
              <w:wordWrap w:val="0"/>
              <w:snapToGrid w:val="0"/>
              <w:spacing w:line="360" w:lineRule="auto"/>
              <w:ind w:firstLine="480" w:firstLineChars="200"/>
              <w:jc w:val="left"/>
              <w:rPr>
                <w:rFonts w:hint="eastAsia" w:eastAsia="宋体"/>
                <w:color w:val="auto"/>
                <w:kern w:val="0"/>
                <w:sz w:val="24"/>
                <w:lang w:eastAsia="zh-CN"/>
              </w:rPr>
            </w:pPr>
            <w:r>
              <w:rPr>
                <w:rFonts w:hint="eastAsia"/>
                <w:color w:val="auto"/>
                <w:kern w:val="0"/>
                <w:sz w:val="24"/>
              </w:rPr>
              <w:t>本次</w:t>
            </w:r>
            <w:r>
              <w:rPr>
                <w:rFonts w:hint="eastAsia"/>
                <w:color w:val="auto"/>
                <w:kern w:val="0"/>
                <w:sz w:val="24"/>
                <w:lang w:eastAsia="zh-CN"/>
              </w:rPr>
              <w:t>扩建</w:t>
            </w:r>
            <w:r>
              <w:rPr>
                <w:rFonts w:hint="eastAsia"/>
                <w:color w:val="auto"/>
                <w:kern w:val="0"/>
                <w:sz w:val="24"/>
              </w:rPr>
              <w:t>项目</w:t>
            </w:r>
            <w:r>
              <w:rPr>
                <w:rFonts w:hint="eastAsia"/>
                <w:color w:val="auto"/>
                <w:kern w:val="0"/>
                <w:sz w:val="24"/>
                <w:lang w:eastAsia="zh-CN"/>
              </w:rPr>
              <w:t>不涉及新增总量，在厂内平衡，无需从</w:t>
            </w:r>
            <w:r>
              <w:rPr>
                <w:rFonts w:hint="eastAsia"/>
                <w:color w:val="auto"/>
                <w:kern w:val="0"/>
                <w:sz w:val="24"/>
              </w:rPr>
              <w:t>淮安市涟水生态环境局从境内企业削减总量中替代平衡。</w:t>
            </w:r>
          </w:p>
          <w:p w14:paraId="211D8A05">
            <w:pPr>
              <w:widowControl/>
              <w:tabs>
                <w:tab w:val="left" w:pos="4922"/>
              </w:tabs>
              <w:adjustRightInd w:val="0"/>
              <w:snapToGrid w:val="0"/>
              <w:spacing w:line="360" w:lineRule="auto"/>
              <w:ind w:firstLine="465"/>
              <w:jc w:val="left"/>
              <w:rPr>
                <w:color w:val="auto"/>
                <w:kern w:val="0"/>
                <w:sz w:val="24"/>
              </w:rPr>
            </w:pPr>
            <w:r>
              <w:rPr>
                <w:color w:val="auto"/>
                <w:kern w:val="0"/>
                <w:sz w:val="24"/>
              </w:rPr>
              <w:t>（3）固废</w:t>
            </w:r>
          </w:p>
          <w:p w14:paraId="2D554D8F">
            <w:pPr>
              <w:widowControl/>
              <w:adjustRightInd w:val="0"/>
              <w:snapToGrid w:val="0"/>
              <w:spacing w:line="360" w:lineRule="auto"/>
              <w:ind w:firstLine="480" w:firstLineChars="200"/>
              <w:jc w:val="left"/>
              <w:rPr>
                <w:color w:val="auto"/>
                <w:kern w:val="0"/>
                <w:sz w:val="24"/>
                <w:szCs w:val="22"/>
              </w:rPr>
            </w:pPr>
            <w:r>
              <w:rPr>
                <w:color w:val="auto"/>
                <w:kern w:val="0"/>
                <w:sz w:val="24"/>
                <w:szCs w:val="20"/>
              </w:rPr>
              <w:t>建设项目</w:t>
            </w:r>
            <w:r>
              <w:rPr>
                <w:color w:val="auto"/>
                <w:kern w:val="0"/>
                <w:sz w:val="24"/>
                <w:szCs w:val="22"/>
              </w:rPr>
              <w:t>固废零排放。</w:t>
            </w:r>
          </w:p>
          <w:p w14:paraId="4C161866">
            <w:pPr>
              <w:widowControl/>
              <w:adjustRightInd w:val="0"/>
              <w:snapToGrid w:val="0"/>
              <w:spacing w:line="360" w:lineRule="auto"/>
              <w:ind w:firstLine="480" w:firstLineChars="200"/>
              <w:jc w:val="left"/>
              <w:rPr>
                <w:color w:val="auto"/>
                <w:kern w:val="0"/>
                <w:sz w:val="24"/>
                <w:szCs w:val="22"/>
              </w:rPr>
            </w:pPr>
          </w:p>
          <w:p w14:paraId="0DB765E1">
            <w:pPr>
              <w:adjustRightInd w:val="0"/>
              <w:snapToGrid w:val="0"/>
              <w:ind w:firstLine="360" w:firstLineChars="200"/>
              <w:jc w:val="left"/>
              <w:rPr>
                <w:rFonts w:hAnsi="宋体"/>
                <w:color w:val="auto"/>
                <w:sz w:val="18"/>
                <w:szCs w:val="18"/>
              </w:rPr>
            </w:pPr>
          </w:p>
        </w:tc>
      </w:tr>
    </w:tbl>
    <w:p w14:paraId="7F79852F">
      <w:pPr>
        <w:adjustRightInd w:val="0"/>
        <w:snapToGrid w:val="0"/>
        <w:rPr>
          <w:b/>
          <w:bCs/>
          <w:color w:val="auto"/>
          <w:kern w:val="0"/>
          <w:szCs w:val="21"/>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2F190295">
      <w:pPr>
        <w:widowControl/>
        <w:jc w:val="center"/>
        <w:outlineLvl w:val="0"/>
        <w:rPr>
          <w:rFonts w:hAnsi="宋体"/>
          <w:b/>
          <w:snapToGrid w:val="0"/>
          <w:color w:val="auto"/>
          <w:sz w:val="30"/>
          <w:szCs w:val="30"/>
        </w:rPr>
      </w:pPr>
      <w:bookmarkStart w:id="33" w:name="_Toc31692"/>
      <w:r>
        <w:rPr>
          <w:rFonts w:hint="eastAsia" w:hAnsi="宋体"/>
          <w:b/>
          <w:snapToGrid w:val="0"/>
          <w:color w:val="auto"/>
          <w:sz w:val="30"/>
          <w:szCs w:val="30"/>
          <w:lang w:eastAsia="zh-CN"/>
        </w:rPr>
        <w:t>四、</w:t>
      </w:r>
      <w:r>
        <w:rPr>
          <w:rFonts w:hAnsi="宋体"/>
          <w:b/>
          <w:snapToGrid w:val="0"/>
          <w:color w:val="auto"/>
          <w:sz w:val="30"/>
          <w:szCs w:val="30"/>
        </w:rPr>
        <w:t>主要环境影响和保护措施</w:t>
      </w:r>
      <w:bookmarkEnd w:id="33"/>
    </w:p>
    <w:tbl>
      <w:tblPr>
        <w:tblStyle w:val="3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8473"/>
      </w:tblGrid>
      <w:tr w14:paraId="46818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7" w:hRule="atLeast"/>
          <w:jc w:val="center"/>
        </w:trPr>
        <w:tc>
          <w:tcPr>
            <w:tcW w:w="508" w:type="dxa"/>
            <w:tcMar>
              <w:left w:w="28" w:type="dxa"/>
              <w:right w:w="28" w:type="dxa"/>
            </w:tcMar>
            <w:vAlign w:val="center"/>
          </w:tcPr>
          <w:p w14:paraId="5A526A6A">
            <w:pPr>
              <w:pStyle w:val="29"/>
              <w:spacing w:before="0" w:beforeAutospacing="0" w:after="0" w:afterAutospacing="0"/>
              <w:jc w:val="center"/>
              <w:outlineLvl w:val="0"/>
              <w:rPr>
                <w:rFonts w:ascii="Times New Roman" w:hAnsi="Times New Roman"/>
                <w:b/>
                <w:color w:val="auto"/>
                <w:kern w:val="2"/>
                <w:sz w:val="21"/>
                <w:szCs w:val="21"/>
              </w:rPr>
            </w:pPr>
            <w:bookmarkStart w:id="34" w:name="_Toc13240"/>
            <w:r>
              <w:rPr>
                <w:rFonts w:ascii="Times New Roman"/>
                <w:b/>
                <w:color w:val="auto"/>
                <w:kern w:val="2"/>
                <w:sz w:val="21"/>
                <w:szCs w:val="21"/>
              </w:rPr>
              <w:t>施工</w:t>
            </w:r>
            <w:bookmarkEnd w:id="34"/>
          </w:p>
          <w:p w14:paraId="33E2ABE0">
            <w:pPr>
              <w:pStyle w:val="29"/>
              <w:adjustRightInd w:val="0"/>
              <w:snapToGrid w:val="0"/>
              <w:spacing w:before="0" w:beforeAutospacing="0" w:after="0" w:afterAutospacing="0"/>
              <w:jc w:val="center"/>
              <w:rPr>
                <w:rFonts w:ascii="Times New Roman" w:hAnsi="Times New Roman"/>
                <w:b/>
                <w:color w:val="auto"/>
                <w:kern w:val="2"/>
                <w:sz w:val="21"/>
                <w:szCs w:val="21"/>
              </w:rPr>
            </w:pPr>
            <w:r>
              <w:rPr>
                <w:rFonts w:ascii="Times New Roman"/>
                <w:b/>
                <w:color w:val="auto"/>
                <w:kern w:val="2"/>
                <w:sz w:val="21"/>
                <w:szCs w:val="21"/>
              </w:rPr>
              <w:t>期环</w:t>
            </w:r>
          </w:p>
          <w:p w14:paraId="6D765E39">
            <w:pPr>
              <w:pStyle w:val="29"/>
              <w:adjustRightInd w:val="0"/>
              <w:snapToGrid w:val="0"/>
              <w:spacing w:before="0" w:beforeAutospacing="0" w:after="0" w:afterAutospacing="0"/>
              <w:jc w:val="center"/>
              <w:rPr>
                <w:rFonts w:ascii="Times New Roman" w:hAnsi="Times New Roman"/>
                <w:b/>
                <w:color w:val="auto"/>
                <w:kern w:val="2"/>
                <w:sz w:val="21"/>
                <w:szCs w:val="21"/>
              </w:rPr>
            </w:pPr>
            <w:r>
              <w:rPr>
                <w:rFonts w:ascii="Times New Roman"/>
                <w:b/>
                <w:color w:val="auto"/>
                <w:kern w:val="2"/>
                <w:sz w:val="21"/>
                <w:szCs w:val="21"/>
              </w:rPr>
              <w:t>境保</w:t>
            </w:r>
          </w:p>
          <w:p w14:paraId="2B67EA46">
            <w:pPr>
              <w:pStyle w:val="29"/>
              <w:adjustRightInd w:val="0"/>
              <w:snapToGrid w:val="0"/>
              <w:spacing w:before="0" w:beforeAutospacing="0" w:after="0" w:afterAutospacing="0"/>
              <w:jc w:val="center"/>
              <w:rPr>
                <w:rFonts w:ascii="Times New Roman" w:hAnsi="Times New Roman"/>
                <w:b/>
                <w:color w:val="auto"/>
                <w:kern w:val="2"/>
                <w:sz w:val="21"/>
                <w:szCs w:val="21"/>
              </w:rPr>
            </w:pPr>
            <w:r>
              <w:rPr>
                <w:rFonts w:ascii="Times New Roman"/>
                <w:b/>
                <w:color w:val="auto"/>
                <w:kern w:val="2"/>
                <w:sz w:val="21"/>
                <w:szCs w:val="21"/>
              </w:rPr>
              <w:t>护措</w:t>
            </w:r>
          </w:p>
          <w:p w14:paraId="18FCC4A9">
            <w:pPr>
              <w:pStyle w:val="29"/>
              <w:adjustRightInd w:val="0"/>
              <w:snapToGrid w:val="0"/>
              <w:spacing w:before="0" w:beforeAutospacing="0" w:after="0" w:afterAutospacing="0"/>
              <w:jc w:val="center"/>
              <w:rPr>
                <w:rFonts w:ascii="Times New Roman" w:hAnsi="Times New Roman"/>
                <w:b/>
                <w:bCs/>
                <w:color w:val="auto"/>
                <w:kern w:val="2"/>
                <w:sz w:val="21"/>
                <w:szCs w:val="21"/>
              </w:rPr>
            </w:pPr>
            <w:r>
              <w:rPr>
                <w:rFonts w:ascii="Times New Roman"/>
                <w:b/>
                <w:color w:val="auto"/>
                <w:kern w:val="2"/>
                <w:sz w:val="21"/>
                <w:szCs w:val="21"/>
              </w:rPr>
              <w:t>施</w:t>
            </w:r>
          </w:p>
        </w:tc>
        <w:tc>
          <w:tcPr>
            <w:tcW w:w="8473" w:type="dxa"/>
            <w:vAlign w:val="center"/>
          </w:tcPr>
          <w:p w14:paraId="28EC9C47">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default" w:ascii="Times New Roman" w:hAnsi="Times New Roman" w:eastAsia="宋体" w:cs="Times New Roman"/>
                <w:b w:val="0"/>
                <w:bCs/>
                <w:color w:val="auto"/>
                <w:kern w:val="0"/>
                <w:sz w:val="24"/>
              </w:rPr>
            </w:pPr>
            <w:r>
              <w:rPr>
                <w:rFonts w:hint="default" w:ascii="Times New Roman" w:hAnsi="Times New Roman" w:eastAsia="宋体" w:cs="Times New Roman"/>
                <w:b w:val="0"/>
                <w:bCs/>
                <w:color w:val="auto"/>
                <w:kern w:val="0"/>
                <w:sz w:val="24"/>
              </w:rPr>
              <w:t>本项目</w:t>
            </w:r>
            <w:r>
              <w:rPr>
                <w:rFonts w:hint="eastAsia" w:ascii="Times New Roman" w:hAnsi="Times New Roman" w:eastAsia="宋体" w:cs="Times New Roman"/>
                <w:b w:val="0"/>
                <w:bCs/>
                <w:color w:val="auto"/>
                <w:kern w:val="0"/>
                <w:sz w:val="24"/>
                <w:lang w:val="en-US" w:eastAsia="zh-CN"/>
              </w:rPr>
              <w:t>位于淮安市</w:t>
            </w:r>
            <w:r>
              <w:rPr>
                <w:rFonts w:hint="default" w:ascii="Times New Roman" w:hAnsi="Times New Roman" w:eastAsia="宋体" w:cs="Times New Roman"/>
                <w:b w:val="0"/>
                <w:bCs/>
                <w:color w:val="auto"/>
                <w:kern w:val="0"/>
                <w:sz w:val="24"/>
                <w:lang w:val="en-US" w:eastAsia="zh-CN"/>
              </w:rPr>
              <w:t>涟水县</w:t>
            </w:r>
            <w:r>
              <w:rPr>
                <w:rFonts w:hint="eastAsia" w:ascii="Times New Roman" w:hAnsi="Times New Roman" w:eastAsia="宋体" w:cs="Times New Roman"/>
                <w:b w:val="0"/>
                <w:bCs/>
                <w:color w:val="auto"/>
                <w:kern w:val="0"/>
                <w:sz w:val="24"/>
                <w:lang w:val="en-US" w:eastAsia="zh-CN"/>
              </w:rPr>
              <w:t>江苏涟水经济开发区涟水路3号</w:t>
            </w:r>
            <w:r>
              <w:rPr>
                <w:rFonts w:hint="default" w:ascii="Times New Roman" w:hAnsi="Times New Roman" w:eastAsia="宋体" w:cs="Times New Roman"/>
                <w:b w:val="0"/>
                <w:bCs/>
                <w:color w:val="auto"/>
                <w:kern w:val="0"/>
                <w:sz w:val="24"/>
                <w:lang w:val="en-US" w:eastAsia="zh-CN"/>
              </w:rPr>
              <w:t>，</w:t>
            </w:r>
            <w:r>
              <w:rPr>
                <w:rFonts w:hint="eastAsia" w:ascii="Times New Roman" w:hAnsi="Times New Roman" w:eastAsia="宋体" w:cs="Times New Roman"/>
                <w:b w:val="0"/>
                <w:bCs/>
                <w:color w:val="auto"/>
                <w:kern w:val="0"/>
                <w:sz w:val="24"/>
                <w:lang w:val="en-US" w:eastAsia="zh-CN"/>
              </w:rPr>
              <w:t>一期现有项目位于整栋厂房的北部生产车间流水线，本次技改项目在一期现有厂房南部预留厂房分别用于鱼皮和调味裙带菜生产使用</w:t>
            </w:r>
            <w:r>
              <w:rPr>
                <w:rFonts w:hint="eastAsia" w:ascii="Times New Roman" w:hAnsi="Times New Roman" w:eastAsia="宋体" w:cs="Times New Roman"/>
                <w:b w:val="0"/>
                <w:bCs/>
                <w:color w:val="auto"/>
                <w:kern w:val="0"/>
                <w:sz w:val="24"/>
                <w:lang w:eastAsia="zh-CN"/>
              </w:rPr>
              <w:t>。</w:t>
            </w:r>
            <w:r>
              <w:rPr>
                <w:rFonts w:hint="eastAsia" w:ascii="Times New Roman" w:hAnsi="Times New Roman" w:eastAsia="宋体" w:cs="Times New Roman"/>
                <w:b w:val="0"/>
                <w:bCs/>
                <w:color w:val="auto"/>
                <w:kern w:val="0"/>
                <w:sz w:val="24"/>
                <w:lang w:val="en-US" w:eastAsia="zh-CN"/>
              </w:rPr>
              <w:t>本次技改项目</w:t>
            </w:r>
            <w:r>
              <w:rPr>
                <w:rFonts w:hint="default" w:ascii="Times New Roman" w:hAnsi="Times New Roman" w:eastAsia="宋体" w:cs="Times New Roman"/>
                <w:b w:val="0"/>
                <w:bCs/>
                <w:color w:val="auto"/>
                <w:kern w:val="0"/>
                <w:sz w:val="24"/>
              </w:rPr>
              <w:t>施工期主要为生产设备的安装与调试，施工期较短，对外界环境影响</w:t>
            </w:r>
            <w:r>
              <w:rPr>
                <w:rFonts w:hint="eastAsia" w:ascii="Times New Roman" w:hAnsi="Times New Roman" w:eastAsia="宋体" w:cs="Times New Roman"/>
                <w:b w:val="0"/>
                <w:bCs/>
                <w:color w:val="auto"/>
                <w:kern w:val="0"/>
                <w:sz w:val="24"/>
                <w:lang w:eastAsia="zh-CN"/>
              </w:rPr>
              <w:t>已在一期现有项目施工期已结束</w:t>
            </w:r>
            <w:r>
              <w:rPr>
                <w:rFonts w:hint="default" w:ascii="Times New Roman" w:hAnsi="Times New Roman" w:eastAsia="宋体" w:cs="Times New Roman"/>
                <w:b w:val="0"/>
                <w:bCs/>
                <w:color w:val="auto"/>
                <w:kern w:val="0"/>
                <w:sz w:val="24"/>
              </w:rPr>
              <w:t>，本次环评不对施工期进行评价。</w:t>
            </w:r>
          </w:p>
          <w:p w14:paraId="019F3302">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rFonts w:hint="eastAsia" w:ascii="Times New Roman" w:hAnsi="Times New Roman" w:eastAsia="宋体" w:cs="Times New Roman"/>
                <w:b w:val="0"/>
                <w:bCs/>
                <w:color w:val="auto"/>
                <w:kern w:val="0"/>
                <w:sz w:val="24"/>
                <w:lang w:val="en-US" w:eastAsia="zh-CN"/>
              </w:rPr>
            </w:pPr>
            <w:r>
              <w:rPr>
                <w:rFonts w:hint="eastAsia" w:ascii="Times New Roman" w:hAnsi="Times New Roman" w:eastAsia="宋体" w:cs="Times New Roman"/>
                <w:b w:val="0"/>
                <w:bCs/>
                <w:color w:val="auto"/>
                <w:kern w:val="0"/>
                <w:sz w:val="24"/>
                <w:lang w:val="en-US" w:eastAsia="zh-CN"/>
              </w:rPr>
              <w:t>本次扩建项目于2025年8月设备已</w:t>
            </w:r>
            <w:r>
              <w:rPr>
                <w:rFonts w:hint="eastAsia" w:cs="Times New Roman"/>
                <w:b w:val="0"/>
                <w:bCs/>
                <w:color w:val="auto"/>
                <w:kern w:val="0"/>
                <w:sz w:val="24"/>
                <w:lang w:val="en-US" w:eastAsia="zh-CN"/>
              </w:rPr>
              <w:t>进场安装</w:t>
            </w:r>
            <w:r>
              <w:rPr>
                <w:rFonts w:hint="eastAsia" w:ascii="Times New Roman" w:hAnsi="Times New Roman" w:eastAsia="宋体" w:cs="Times New Roman"/>
                <w:b w:val="0"/>
                <w:bCs/>
                <w:color w:val="auto"/>
                <w:kern w:val="0"/>
                <w:sz w:val="24"/>
                <w:lang w:val="en-US" w:eastAsia="zh-CN"/>
              </w:rPr>
              <w:t>，属于未批先建</w:t>
            </w:r>
            <w:r>
              <w:rPr>
                <w:rFonts w:hint="eastAsia" w:cs="Times New Roman"/>
                <w:b w:val="0"/>
                <w:bCs/>
                <w:color w:val="auto"/>
                <w:kern w:val="0"/>
                <w:sz w:val="24"/>
                <w:lang w:val="en-US" w:eastAsia="zh-CN"/>
              </w:rPr>
              <w:t>。目前</w:t>
            </w:r>
            <w:r>
              <w:rPr>
                <w:rFonts w:hint="eastAsia" w:ascii="Times New Roman" w:hAnsi="Times New Roman" w:eastAsia="宋体" w:cs="Times New Roman"/>
                <w:b w:val="0"/>
                <w:bCs/>
                <w:color w:val="auto"/>
                <w:kern w:val="0"/>
                <w:sz w:val="24"/>
                <w:lang w:val="en-US" w:eastAsia="zh-CN"/>
              </w:rPr>
              <w:t>企业已</w:t>
            </w:r>
            <w:r>
              <w:rPr>
                <w:rFonts w:hint="eastAsia" w:cs="Times New Roman"/>
                <w:b w:val="0"/>
                <w:bCs/>
                <w:color w:val="auto"/>
                <w:kern w:val="0"/>
                <w:sz w:val="24"/>
                <w:lang w:val="en-US" w:eastAsia="zh-CN"/>
              </w:rPr>
              <w:t>主动</w:t>
            </w:r>
            <w:r>
              <w:rPr>
                <w:rFonts w:hint="eastAsia" w:ascii="Times New Roman" w:hAnsi="Times New Roman" w:eastAsia="宋体" w:cs="Times New Roman"/>
                <w:b w:val="0"/>
                <w:bCs/>
                <w:color w:val="auto"/>
                <w:kern w:val="0"/>
                <w:sz w:val="24"/>
                <w:lang w:val="en-US" w:eastAsia="zh-CN"/>
              </w:rPr>
              <w:t>将设备</w:t>
            </w:r>
            <w:r>
              <w:rPr>
                <w:rFonts w:hint="eastAsia" w:cs="Times New Roman"/>
                <w:b w:val="0"/>
                <w:bCs/>
                <w:color w:val="auto"/>
                <w:kern w:val="0"/>
                <w:sz w:val="24"/>
                <w:lang w:val="en-US" w:eastAsia="zh-CN"/>
              </w:rPr>
              <w:t>拆除</w:t>
            </w:r>
            <w:r>
              <w:rPr>
                <w:rFonts w:hint="eastAsia" w:ascii="Times New Roman" w:hAnsi="Times New Roman" w:eastAsia="宋体" w:cs="Times New Roman"/>
                <w:b w:val="0"/>
                <w:bCs/>
                <w:color w:val="auto"/>
                <w:kern w:val="0"/>
                <w:sz w:val="24"/>
                <w:lang w:val="en-US" w:eastAsia="zh-CN"/>
              </w:rPr>
              <w:t>，企业厂房</w:t>
            </w:r>
            <w:r>
              <w:rPr>
                <w:rFonts w:hint="eastAsia" w:cs="Times New Roman"/>
                <w:b w:val="0"/>
                <w:bCs/>
                <w:color w:val="auto"/>
                <w:kern w:val="0"/>
                <w:sz w:val="24"/>
                <w:lang w:val="en-US" w:eastAsia="zh-CN"/>
              </w:rPr>
              <w:t>现已</w:t>
            </w:r>
            <w:r>
              <w:rPr>
                <w:rFonts w:hint="eastAsia" w:ascii="Times New Roman" w:hAnsi="Times New Roman" w:eastAsia="宋体" w:cs="Times New Roman"/>
                <w:b w:val="0"/>
                <w:bCs/>
                <w:color w:val="auto"/>
                <w:kern w:val="0"/>
                <w:sz w:val="24"/>
                <w:lang w:val="en-US" w:eastAsia="zh-CN"/>
              </w:rPr>
              <w:t>恢复</w:t>
            </w:r>
            <w:r>
              <w:rPr>
                <w:rFonts w:hint="eastAsia" w:cs="Times New Roman"/>
                <w:b w:val="0"/>
                <w:bCs/>
                <w:color w:val="auto"/>
                <w:kern w:val="0"/>
                <w:sz w:val="24"/>
                <w:lang w:val="en-US" w:eastAsia="zh-CN"/>
              </w:rPr>
              <w:t>原</w:t>
            </w:r>
            <w:r>
              <w:rPr>
                <w:rFonts w:hint="eastAsia" w:ascii="Times New Roman" w:hAnsi="Times New Roman" w:eastAsia="宋体" w:cs="Times New Roman"/>
                <w:b w:val="0"/>
                <w:bCs/>
                <w:color w:val="auto"/>
                <w:kern w:val="0"/>
                <w:sz w:val="24"/>
                <w:lang w:val="en-US" w:eastAsia="zh-CN"/>
              </w:rPr>
              <w:t>状</w:t>
            </w:r>
            <w:r>
              <w:rPr>
                <w:rFonts w:hint="eastAsia" w:cs="Times New Roman"/>
                <w:b w:val="0"/>
                <w:bCs/>
                <w:color w:val="auto"/>
                <w:kern w:val="0"/>
                <w:sz w:val="24"/>
                <w:lang w:val="en-US" w:eastAsia="zh-CN"/>
              </w:rPr>
              <w:t>。拆除过程时间较短，已合理安排拆除过程的施工时间，对环境的影响较小。</w:t>
            </w:r>
          </w:p>
          <w:p w14:paraId="06BFEC0F">
            <w:pPr>
              <w:widowControl/>
              <w:adjustRightInd w:val="0"/>
              <w:snapToGrid w:val="0"/>
              <w:spacing w:before="120" w:beforeLines="50" w:line="360" w:lineRule="auto"/>
              <w:ind w:firstLine="723" w:firstLineChars="300"/>
              <w:jc w:val="left"/>
              <w:rPr>
                <w:rFonts w:ascii="Times New Roman" w:hAnsi="Times New Roman" w:eastAsia="宋体" w:cs="Times New Roman"/>
                <w:b/>
                <w:color w:val="auto"/>
                <w:kern w:val="0"/>
                <w:sz w:val="24"/>
              </w:rPr>
            </w:pPr>
          </w:p>
          <w:p w14:paraId="7B4BA4D7">
            <w:pPr>
              <w:widowControl/>
              <w:adjustRightInd w:val="0"/>
              <w:snapToGrid w:val="0"/>
              <w:spacing w:before="120" w:beforeLines="50" w:line="360" w:lineRule="auto"/>
              <w:ind w:firstLine="723" w:firstLineChars="300"/>
              <w:jc w:val="left"/>
              <w:rPr>
                <w:rFonts w:ascii="Times New Roman" w:hAnsi="Times New Roman" w:eastAsia="宋体" w:cs="Times New Roman"/>
                <w:b/>
                <w:color w:val="auto"/>
                <w:kern w:val="0"/>
                <w:sz w:val="24"/>
              </w:rPr>
            </w:pPr>
          </w:p>
          <w:p w14:paraId="0D7E0CBB">
            <w:pPr>
              <w:pStyle w:val="40"/>
              <w:rPr>
                <w:rFonts w:ascii="Times New Roman" w:hAnsi="Times New Roman" w:eastAsia="宋体" w:cs="Times New Roman"/>
                <w:b/>
                <w:color w:val="auto"/>
                <w:kern w:val="0"/>
                <w:sz w:val="24"/>
              </w:rPr>
            </w:pPr>
          </w:p>
          <w:p w14:paraId="482B77D1">
            <w:pPr>
              <w:pStyle w:val="2"/>
              <w:rPr>
                <w:rFonts w:ascii="Times New Roman" w:hAnsi="Times New Roman" w:eastAsia="宋体" w:cs="Times New Roman"/>
                <w:b/>
                <w:color w:val="auto"/>
                <w:kern w:val="0"/>
                <w:sz w:val="24"/>
              </w:rPr>
            </w:pPr>
          </w:p>
          <w:p w14:paraId="31CDE9A7">
            <w:pPr>
              <w:pStyle w:val="40"/>
              <w:rPr>
                <w:rFonts w:ascii="Times New Roman" w:hAnsi="Times New Roman" w:eastAsia="宋体" w:cs="Times New Roman"/>
                <w:b/>
                <w:color w:val="auto"/>
                <w:kern w:val="0"/>
                <w:sz w:val="24"/>
              </w:rPr>
            </w:pPr>
          </w:p>
          <w:p w14:paraId="0B116003">
            <w:pPr>
              <w:pStyle w:val="2"/>
              <w:rPr>
                <w:rFonts w:ascii="Times New Roman" w:hAnsi="Times New Roman" w:eastAsia="宋体" w:cs="Times New Roman"/>
                <w:b/>
                <w:color w:val="auto"/>
                <w:kern w:val="0"/>
                <w:sz w:val="24"/>
              </w:rPr>
            </w:pPr>
          </w:p>
          <w:p w14:paraId="7372DAF0">
            <w:pPr>
              <w:pStyle w:val="40"/>
              <w:rPr>
                <w:rFonts w:ascii="Times New Roman" w:hAnsi="Times New Roman" w:eastAsia="宋体" w:cs="Times New Roman"/>
                <w:b/>
                <w:color w:val="auto"/>
                <w:kern w:val="0"/>
                <w:sz w:val="24"/>
              </w:rPr>
            </w:pPr>
          </w:p>
          <w:p w14:paraId="625D97A9">
            <w:pPr>
              <w:pStyle w:val="2"/>
              <w:rPr>
                <w:rFonts w:ascii="Times New Roman" w:hAnsi="Times New Roman" w:eastAsia="宋体" w:cs="Times New Roman"/>
                <w:b/>
                <w:color w:val="auto"/>
                <w:kern w:val="0"/>
                <w:sz w:val="24"/>
              </w:rPr>
            </w:pPr>
          </w:p>
          <w:p w14:paraId="183E342D">
            <w:pPr>
              <w:pStyle w:val="40"/>
              <w:rPr>
                <w:rFonts w:ascii="Times New Roman" w:hAnsi="Times New Roman" w:eastAsia="宋体" w:cs="Times New Roman"/>
                <w:b/>
                <w:color w:val="auto"/>
                <w:kern w:val="0"/>
                <w:sz w:val="24"/>
              </w:rPr>
            </w:pPr>
          </w:p>
          <w:p w14:paraId="2584B329">
            <w:pPr>
              <w:pStyle w:val="2"/>
              <w:rPr>
                <w:rFonts w:ascii="Times New Roman" w:hAnsi="Times New Roman" w:eastAsia="宋体" w:cs="Times New Roman"/>
                <w:b/>
                <w:color w:val="auto"/>
                <w:kern w:val="0"/>
                <w:sz w:val="24"/>
              </w:rPr>
            </w:pPr>
          </w:p>
          <w:p w14:paraId="343DD9FB">
            <w:pPr>
              <w:pStyle w:val="40"/>
              <w:rPr>
                <w:rFonts w:ascii="Times New Roman" w:hAnsi="Times New Roman" w:eastAsia="宋体" w:cs="Times New Roman"/>
                <w:b/>
                <w:color w:val="auto"/>
                <w:kern w:val="0"/>
                <w:sz w:val="24"/>
              </w:rPr>
            </w:pPr>
          </w:p>
          <w:p w14:paraId="10C6470D">
            <w:pPr>
              <w:pStyle w:val="2"/>
              <w:rPr>
                <w:rFonts w:ascii="Times New Roman" w:hAnsi="Times New Roman" w:eastAsia="宋体" w:cs="Times New Roman"/>
                <w:b/>
                <w:color w:val="auto"/>
                <w:kern w:val="0"/>
                <w:sz w:val="24"/>
              </w:rPr>
            </w:pPr>
          </w:p>
          <w:p w14:paraId="7382DDA4">
            <w:pPr>
              <w:pStyle w:val="40"/>
              <w:rPr>
                <w:rFonts w:ascii="Times New Roman" w:hAnsi="Times New Roman" w:eastAsia="宋体" w:cs="Times New Roman"/>
                <w:b/>
                <w:color w:val="auto"/>
                <w:kern w:val="0"/>
                <w:sz w:val="24"/>
              </w:rPr>
            </w:pPr>
          </w:p>
          <w:p w14:paraId="37E033AA">
            <w:pPr>
              <w:pStyle w:val="2"/>
              <w:rPr>
                <w:rFonts w:ascii="Times New Roman" w:hAnsi="Times New Roman" w:eastAsia="宋体" w:cs="Times New Roman"/>
                <w:b/>
                <w:color w:val="auto"/>
                <w:kern w:val="0"/>
                <w:sz w:val="24"/>
              </w:rPr>
            </w:pPr>
          </w:p>
          <w:p w14:paraId="1B8BF4FE">
            <w:pPr>
              <w:pStyle w:val="40"/>
              <w:rPr>
                <w:rFonts w:ascii="Times New Roman" w:hAnsi="Times New Roman" w:eastAsia="宋体" w:cs="Times New Roman"/>
                <w:b/>
                <w:color w:val="auto"/>
                <w:kern w:val="0"/>
                <w:sz w:val="24"/>
              </w:rPr>
            </w:pPr>
          </w:p>
          <w:p w14:paraId="21B9EC6A">
            <w:pPr>
              <w:pStyle w:val="2"/>
              <w:rPr>
                <w:rFonts w:ascii="Times New Roman" w:hAnsi="Times New Roman" w:eastAsia="宋体" w:cs="Times New Roman"/>
                <w:b/>
                <w:color w:val="auto"/>
                <w:kern w:val="0"/>
                <w:sz w:val="24"/>
              </w:rPr>
            </w:pPr>
          </w:p>
          <w:p w14:paraId="52685A89">
            <w:pPr>
              <w:pStyle w:val="40"/>
              <w:rPr>
                <w:rFonts w:ascii="Times New Roman" w:hAnsi="Times New Roman" w:eastAsia="宋体" w:cs="Times New Roman"/>
                <w:b/>
                <w:color w:val="auto"/>
                <w:kern w:val="0"/>
                <w:sz w:val="24"/>
              </w:rPr>
            </w:pPr>
          </w:p>
          <w:p w14:paraId="51C8EB09">
            <w:pPr>
              <w:pStyle w:val="2"/>
              <w:rPr>
                <w:rFonts w:ascii="Times New Roman" w:hAnsi="Times New Roman" w:eastAsia="宋体" w:cs="Times New Roman"/>
                <w:b/>
                <w:color w:val="auto"/>
                <w:kern w:val="0"/>
                <w:sz w:val="24"/>
              </w:rPr>
            </w:pPr>
          </w:p>
          <w:p w14:paraId="14E74499">
            <w:pPr>
              <w:pStyle w:val="40"/>
              <w:rPr>
                <w:rFonts w:ascii="Times New Roman" w:hAnsi="Times New Roman" w:eastAsia="宋体" w:cs="Times New Roman"/>
                <w:b/>
                <w:color w:val="auto"/>
                <w:kern w:val="0"/>
                <w:sz w:val="24"/>
              </w:rPr>
            </w:pPr>
          </w:p>
          <w:p w14:paraId="3743D66F">
            <w:pPr>
              <w:pStyle w:val="2"/>
              <w:rPr>
                <w:rFonts w:ascii="Times New Roman" w:hAnsi="Times New Roman" w:eastAsia="宋体" w:cs="Times New Roman"/>
                <w:b/>
                <w:color w:val="auto"/>
                <w:kern w:val="0"/>
                <w:sz w:val="24"/>
              </w:rPr>
            </w:pPr>
          </w:p>
          <w:p w14:paraId="1E34B367">
            <w:pPr>
              <w:pStyle w:val="40"/>
              <w:rPr>
                <w:rFonts w:ascii="Times New Roman" w:hAnsi="Times New Roman" w:eastAsia="宋体" w:cs="Times New Roman"/>
                <w:b/>
                <w:color w:val="auto"/>
                <w:kern w:val="0"/>
                <w:sz w:val="24"/>
              </w:rPr>
            </w:pPr>
          </w:p>
          <w:p w14:paraId="50E2A727">
            <w:pPr>
              <w:pStyle w:val="2"/>
              <w:rPr>
                <w:rFonts w:ascii="Times New Roman" w:hAnsi="Times New Roman" w:eastAsia="宋体" w:cs="Times New Roman"/>
                <w:b/>
                <w:color w:val="auto"/>
                <w:kern w:val="0"/>
                <w:sz w:val="24"/>
              </w:rPr>
            </w:pPr>
          </w:p>
          <w:p w14:paraId="2A4A5DAF">
            <w:pPr>
              <w:pStyle w:val="40"/>
              <w:rPr>
                <w:rFonts w:ascii="Times New Roman" w:hAnsi="Times New Roman" w:eastAsia="宋体" w:cs="Times New Roman"/>
                <w:b/>
                <w:color w:val="auto"/>
                <w:kern w:val="0"/>
                <w:sz w:val="24"/>
              </w:rPr>
            </w:pPr>
          </w:p>
          <w:p w14:paraId="2C12A36A">
            <w:pPr>
              <w:autoSpaceDE w:val="0"/>
              <w:autoSpaceDN w:val="0"/>
              <w:adjustRightInd w:val="0"/>
              <w:snapToGrid w:val="0"/>
              <w:spacing w:line="360" w:lineRule="auto"/>
              <w:ind w:firstLine="482" w:firstLineChars="200"/>
              <w:rPr>
                <w:b/>
                <w:color w:val="auto"/>
                <w:sz w:val="24"/>
              </w:rPr>
            </w:pPr>
          </w:p>
        </w:tc>
      </w:tr>
    </w:tbl>
    <w:p w14:paraId="2921F16F">
      <w:pPr>
        <w:adjustRightInd w:val="0"/>
        <w:snapToGrid w:val="0"/>
        <w:jc w:val="center"/>
        <w:rPr>
          <w:rFonts w:hAnsi="宋体"/>
          <w:b/>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r>
        <w:rPr>
          <w:rFonts w:hAnsi="宋体"/>
          <w:b/>
          <w:bCs/>
          <w:color w:val="auto"/>
          <w:sz w:val="24"/>
        </w:rPr>
        <w:br w:type="page"/>
      </w:r>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5"/>
        <w:gridCol w:w="8744"/>
      </w:tblGrid>
      <w:tr w14:paraId="25554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14" w:hRule="atLeast"/>
          <w:jc w:val="center"/>
        </w:trPr>
        <w:tc>
          <w:tcPr>
            <w:tcW w:w="131" w:type="pct"/>
            <w:tcMar>
              <w:left w:w="28" w:type="dxa"/>
              <w:right w:w="28" w:type="dxa"/>
            </w:tcMar>
            <w:vAlign w:val="center"/>
          </w:tcPr>
          <w:p w14:paraId="35EA1CF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br w:type="page"/>
            </w:r>
            <w:r>
              <w:rPr>
                <w:rFonts w:hint="default" w:ascii="Times New Roman" w:hAnsi="Times New Roman" w:cs="Times New Roman"/>
                <w:b/>
                <w:bCs/>
                <w:color w:val="auto"/>
                <w:sz w:val="24"/>
              </w:rPr>
              <w:t>运营</w:t>
            </w:r>
          </w:p>
          <w:p w14:paraId="79F87A6B">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期环</w:t>
            </w:r>
          </w:p>
          <w:p w14:paraId="55081DA5">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境影</w:t>
            </w:r>
          </w:p>
          <w:p w14:paraId="0950563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响和</w:t>
            </w:r>
          </w:p>
          <w:p w14:paraId="10A72F16">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保护</w:t>
            </w:r>
          </w:p>
          <w:p w14:paraId="2C308313">
            <w:pPr>
              <w:pStyle w:val="29"/>
              <w:adjustRightInd w:val="0"/>
              <w:snapToGrid w:val="0"/>
              <w:spacing w:before="0" w:beforeAutospacing="0" w:after="0" w:afterAutospacing="0"/>
              <w:jc w:val="center"/>
              <w:rPr>
                <w:rFonts w:hint="default" w:ascii="Times New Roman" w:hAnsi="Times New Roman" w:cs="Times New Roman"/>
                <w:b/>
                <w:color w:val="auto"/>
                <w:kern w:val="2"/>
                <w:sz w:val="21"/>
                <w:szCs w:val="21"/>
              </w:rPr>
            </w:pPr>
            <w:r>
              <w:rPr>
                <w:rFonts w:hint="default" w:ascii="Times New Roman" w:hAnsi="Times New Roman" w:cs="Times New Roman"/>
                <w:b/>
                <w:bCs/>
                <w:color w:val="auto"/>
              </w:rPr>
              <w:t>措施</w:t>
            </w:r>
          </w:p>
        </w:tc>
        <w:tc>
          <w:tcPr>
            <w:tcW w:w="4868" w:type="pct"/>
            <w:vAlign w:val="center"/>
          </w:tcPr>
          <w:p w14:paraId="1CAD308A">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1.废气</w:t>
            </w:r>
          </w:p>
          <w:p w14:paraId="03591207">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1.1废气产生环节及源强分析</w:t>
            </w:r>
          </w:p>
          <w:p w14:paraId="2D511590">
            <w:pPr>
              <w:spacing w:line="360" w:lineRule="auto"/>
              <w:ind w:firstLine="480" w:firstLineChars="200"/>
              <w:rPr>
                <w:rFonts w:hint="eastAsia"/>
                <w:color w:val="auto"/>
                <w:sz w:val="24"/>
                <w:lang w:val="en-US" w:eastAsia="zh-CN"/>
              </w:rPr>
            </w:pPr>
            <w:r>
              <w:rPr>
                <w:color w:val="auto"/>
                <w:sz w:val="24"/>
              </w:rPr>
              <w:t>污水处理站恶臭气体</w:t>
            </w:r>
            <w:r>
              <w:rPr>
                <w:rFonts w:hint="eastAsia"/>
                <w:color w:val="auto"/>
                <w:sz w:val="24"/>
                <w:lang w:eastAsia="zh-CN"/>
              </w:rPr>
              <w:t>：本次扩建项目污水站依托现有项目，现有项目已批已验项目对污水站</w:t>
            </w:r>
            <w:r>
              <w:rPr>
                <w:color w:val="auto"/>
                <w:sz w:val="24"/>
              </w:rPr>
              <w:t>氨和硫化氢</w:t>
            </w:r>
            <w:r>
              <w:rPr>
                <w:rFonts w:hint="eastAsia"/>
                <w:color w:val="auto"/>
                <w:sz w:val="24"/>
                <w:lang w:eastAsia="zh-CN"/>
              </w:rPr>
              <w:t>排放量按照</w:t>
            </w:r>
            <w:r>
              <w:rPr>
                <w:color w:val="auto"/>
                <w:sz w:val="24"/>
              </w:rPr>
              <w:t>处理规模</w:t>
            </w:r>
            <w:r>
              <w:rPr>
                <w:rFonts w:hint="eastAsia"/>
                <w:color w:val="auto"/>
                <w:sz w:val="24"/>
                <w:lang w:eastAsia="zh-CN"/>
              </w:rPr>
              <w:t>满负荷</w:t>
            </w:r>
            <w:r>
              <w:rPr>
                <w:rFonts w:hint="eastAsia"/>
                <w:color w:val="auto"/>
                <w:sz w:val="24"/>
                <w:lang w:val="en-US" w:eastAsia="zh-CN"/>
              </w:rPr>
              <w:t>1600m</w:t>
            </w:r>
            <w:r>
              <w:rPr>
                <w:rFonts w:hint="eastAsia"/>
                <w:color w:val="auto"/>
                <w:sz w:val="24"/>
                <w:vertAlign w:val="superscript"/>
                <w:lang w:val="en-US" w:eastAsia="zh-CN"/>
              </w:rPr>
              <w:t>3</w:t>
            </w:r>
            <w:r>
              <w:rPr>
                <w:rFonts w:hint="eastAsia"/>
                <w:color w:val="auto"/>
                <w:sz w:val="24"/>
                <w:lang w:val="en-US" w:eastAsia="zh-CN"/>
              </w:rPr>
              <w:t>/d</w:t>
            </w:r>
            <w:r>
              <w:rPr>
                <w:rFonts w:hint="eastAsia"/>
                <w:color w:val="auto"/>
                <w:sz w:val="24"/>
                <w:lang w:eastAsia="zh-CN"/>
              </w:rPr>
              <w:t>计算，因此本次依托现有项目污水站不用对</w:t>
            </w:r>
            <w:r>
              <w:rPr>
                <w:color w:val="auto"/>
                <w:sz w:val="24"/>
              </w:rPr>
              <w:t>臭气</w:t>
            </w:r>
            <w:r>
              <w:rPr>
                <w:rFonts w:hint="eastAsia"/>
                <w:color w:val="auto"/>
                <w:sz w:val="24"/>
                <w:lang w:eastAsia="zh-CN"/>
              </w:rPr>
              <w:t>进行重新核算。本次扩建在生产工序环节不产生废气。本章节不做详细分析。</w:t>
            </w:r>
          </w:p>
          <w:p w14:paraId="510EE2E5">
            <w:pPr>
              <w:widowControl/>
              <w:adjustRightInd w:val="0"/>
              <w:snapToGrid w:val="0"/>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2.废水</w:t>
            </w:r>
          </w:p>
          <w:p w14:paraId="25F07141">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2.1废水产生环节及源强分析</w:t>
            </w:r>
          </w:p>
          <w:p w14:paraId="624D6BA4">
            <w:pPr>
              <w:spacing w:line="360" w:lineRule="auto"/>
              <w:ind w:firstLine="482" w:firstLineChars="200"/>
              <w:rPr>
                <w:b/>
                <w:color w:val="auto"/>
                <w:sz w:val="24"/>
              </w:rPr>
            </w:pPr>
            <w:r>
              <w:rPr>
                <w:rFonts w:hint="eastAsia"/>
                <w:b/>
                <w:color w:val="auto"/>
                <w:sz w:val="24"/>
                <w:lang w:eastAsia="zh-CN"/>
              </w:rPr>
              <w:t>1.</w:t>
            </w:r>
            <w:r>
              <w:rPr>
                <w:b/>
                <w:color w:val="auto"/>
                <w:sz w:val="24"/>
              </w:rPr>
              <w:t>废水污染物排放源及源强核算</w:t>
            </w:r>
          </w:p>
          <w:p w14:paraId="42113C0D">
            <w:pPr>
              <w:spacing w:line="360" w:lineRule="auto"/>
              <w:ind w:firstLine="480" w:firstLineChars="200"/>
              <w:rPr>
                <w:color w:val="auto"/>
                <w:sz w:val="24"/>
              </w:rPr>
            </w:pPr>
            <w:r>
              <w:rPr>
                <w:color w:val="auto"/>
                <w:sz w:val="24"/>
              </w:rPr>
              <w:t>本项目主要产生的废水为生活污水</w:t>
            </w:r>
            <w:r>
              <w:rPr>
                <w:rFonts w:hint="eastAsia"/>
                <w:color w:val="auto"/>
                <w:sz w:val="24"/>
              </w:rPr>
              <w:t>和食堂废水、</w:t>
            </w:r>
            <w:r>
              <w:rPr>
                <w:color w:val="auto"/>
                <w:sz w:val="24"/>
              </w:rPr>
              <w:t>生产废水</w:t>
            </w:r>
            <w:r>
              <w:rPr>
                <w:rFonts w:hint="eastAsia"/>
                <w:color w:val="auto"/>
                <w:sz w:val="24"/>
                <w:lang w:eastAsia="zh-CN"/>
              </w:rPr>
              <w:t>（生产时清洗废水、消毒废水、解冻废水、泡发废水、漂烫废水、冷却废水、</w:t>
            </w:r>
            <w:r>
              <w:rPr>
                <w:color w:val="auto"/>
                <w:sz w:val="24"/>
              </w:rPr>
              <w:t>设备清洗</w:t>
            </w:r>
            <w:r>
              <w:rPr>
                <w:rFonts w:hint="eastAsia"/>
                <w:color w:val="auto"/>
                <w:sz w:val="24"/>
                <w:lang w:eastAsia="zh-CN"/>
              </w:rPr>
              <w:t>废水、地面清洁废水）</w:t>
            </w:r>
            <w:r>
              <w:rPr>
                <w:rFonts w:hint="eastAsia"/>
                <w:color w:val="auto"/>
                <w:sz w:val="24"/>
              </w:rPr>
              <w:t>及蒸汽冷凝水</w:t>
            </w:r>
            <w:r>
              <w:rPr>
                <w:color w:val="auto"/>
                <w:sz w:val="24"/>
              </w:rPr>
              <w:t>。</w:t>
            </w:r>
            <w:r>
              <w:rPr>
                <w:rFonts w:hint="eastAsia"/>
                <w:color w:val="auto"/>
                <w:sz w:val="24"/>
              </w:rPr>
              <w:t>蒸汽冷凝水回用于</w:t>
            </w:r>
            <w:r>
              <w:rPr>
                <w:rFonts w:hint="default" w:ascii="Times New Roman" w:hAnsi="Times New Roman" w:cs="Times New Roman"/>
                <w:color w:val="auto"/>
                <w:sz w:val="24"/>
                <w:szCs w:val="24"/>
              </w:rPr>
              <w:t>生产</w:t>
            </w:r>
            <w:r>
              <w:rPr>
                <w:rFonts w:hint="eastAsia" w:ascii="Times New Roman" w:hAnsi="Times New Roman" w:cs="Times New Roman"/>
                <w:color w:val="auto"/>
                <w:sz w:val="24"/>
                <w:szCs w:val="24"/>
                <w:lang w:eastAsia="zh-CN"/>
              </w:rPr>
              <w:t>中</w:t>
            </w:r>
            <w:r>
              <w:rPr>
                <w:rFonts w:hint="eastAsia" w:cs="Times New Roman"/>
                <w:color w:val="auto"/>
                <w:sz w:val="24"/>
                <w:szCs w:val="24"/>
                <w:lang w:eastAsia="zh-CN"/>
              </w:rPr>
              <w:t>漂烫工序</w:t>
            </w:r>
            <w:r>
              <w:rPr>
                <w:rFonts w:hint="default" w:ascii="Times New Roman" w:hAnsi="Times New Roman" w:cs="Times New Roman"/>
                <w:color w:val="auto"/>
                <w:sz w:val="24"/>
                <w:szCs w:val="24"/>
              </w:rPr>
              <w:t>蒸煮设备加热</w:t>
            </w:r>
            <w:r>
              <w:rPr>
                <w:rFonts w:hint="eastAsia" w:cs="Times New Roman"/>
                <w:color w:val="auto"/>
                <w:sz w:val="24"/>
                <w:szCs w:val="24"/>
                <w:lang w:eastAsia="zh-CN"/>
              </w:rPr>
              <w:t>（该环节不与食品接触，仅将收集的冷凝水与新鲜水混合后进入夹层管道给设备加热）</w:t>
            </w:r>
            <w:r>
              <w:rPr>
                <w:rFonts w:hint="eastAsia"/>
                <w:color w:val="auto"/>
                <w:sz w:val="24"/>
              </w:rPr>
              <w:t>，冲洗废水包括</w:t>
            </w:r>
            <w:r>
              <w:rPr>
                <w:color w:val="auto"/>
                <w:sz w:val="24"/>
              </w:rPr>
              <w:t>设备清洗废水、生产车间地面清洁废水</w:t>
            </w:r>
            <w:r>
              <w:rPr>
                <w:rFonts w:hint="eastAsia"/>
                <w:color w:val="auto"/>
                <w:sz w:val="24"/>
              </w:rPr>
              <w:t>。</w:t>
            </w:r>
          </w:p>
          <w:p w14:paraId="1422AA88">
            <w:pPr>
              <w:adjustRightInd w:val="0"/>
              <w:snapToGrid w:val="0"/>
              <w:spacing w:line="360" w:lineRule="auto"/>
              <w:ind w:firstLine="480" w:firstLineChars="200"/>
              <w:rPr>
                <w:color w:val="auto"/>
                <w:sz w:val="24"/>
              </w:rPr>
            </w:pPr>
            <w:r>
              <w:rPr>
                <w:color w:val="auto"/>
                <w:sz w:val="24"/>
              </w:rPr>
              <w:t>（1）生活污水和食堂废水</w:t>
            </w:r>
          </w:p>
          <w:p w14:paraId="3FA291FF">
            <w:pPr>
              <w:spacing w:line="360" w:lineRule="auto"/>
              <w:ind w:firstLine="480" w:firstLineChars="200"/>
              <w:rPr>
                <w:color w:val="auto"/>
                <w:sz w:val="24"/>
              </w:rPr>
            </w:pPr>
            <w:r>
              <w:rPr>
                <w:rFonts w:hint="eastAsia"/>
                <w:color w:val="auto"/>
                <w:sz w:val="24"/>
              </w:rPr>
              <w:t>生活污水经化粪池处理后，食堂废水经隔油池处理后</w:t>
            </w:r>
            <w:r>
              <w:rPr>
                <w:color w:val="auto"/>
                <w:sz w:val="24"/>
              </w:rPr>
              <w:t>排入厂区污水站，</w:t>
            </w:r>
            <w:r>
              <w:rPr>
                <w:rFonts w:hint="eastAsia"/>
                <w:color w:val="auto"/>
                <w:sz w:val="24"/>
              </w:rPr>
              <w:t>经厂内污水处理站</w:t>
            </w:r>
            <w:r>
              <w:rPr>
                <w:color w:val="auto"/>
                <w:sz w:val="24"/>
              </w:rPr>
              <w:t>处理达标后接管至涟水经济开发区西区污水处理厂集中处置，尾水排放至公兴河。</w:t>
            </w:r>
          </w:p>
          <w:p w14:paraId="2DD4A9EA">
            <w:pPr>
              <w:jc w:val="center"/>
              <w:rPr>
                <w:b/>
                <w:color w:val="auto"/>
                <w:sz w:val="24"/>
              </w:rPr>
            </w:pPr>
            <w:r>
              <w:rPr>
                <w:b/>
                <w:color w:val="auto"/>
                <w:sz w:val="24"/>
              </w:rPr>
              <w:t xml:space="preserve">表4-6 </w:t>
            </w:r>
            <w:r>
              <w:rPr>
                <w:rFonts w:hint="eastAsia"/>
                <w:b/>
                <w:color w:val="auto"/>
                <w:sz w:val="24"/>
              </w:rPr>
              <w:t>生活污水和食堂废水</w:t>
            </w:r>
            <w:r>
              <w:rPr>
                <w:b/>
                <w:color w:val="auto"/>
                <w:sz w:val="24"/>
              </w:rPr>
              <w:t>污染源源强产生情况一览表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899"/>
              <w:gridCol w:w="1055"/>
              <w:gridCol w:w="1354"/>
              <w:gridCol w:w="1216"/>
              <w:gridCol w:w="1204"/>
              <w:gridCol w:w="1550"/>
            </w:tblGrid>
            <w:tr w14:paraId="1DE7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728" w:type="pct"/>
                  <w:tcBorders>
                    <w:top w:val="single" w:color="auto" w:sz="12" w:space="0"/>
                    <w:left w:val="nil"/>
                  </w:tcBorders>
                  <w:shd w:val="clear" w:color="auto" w:fill="auto"/>
                  <w:vAlign w:val="center"/>
                </w:tcPr>
                <w:p w14:paraId="5E1E43A6">
                  <w:pPr>
                    <w:jc w:val="center"/>
                    <w:rPr>
                      <w:b/>
                      <w:color w:val="auto"/>
                      <w:szCs w:val="21"/>
                    </w:rPr>
                  </w:pPr>
                  <w:r>
                    <w:rPr>
                      <w:b/>
                      <w:color w:val="auto"/>
                      <w:szCs w:val="21"/>
                    </w:rPr>
                    <w:t>工序</w:t>
                  </w:r>
                </w:p>
              </w:tc>
              <w:tc>
                <w:tcPr>
                  <w:tcW w:w="527" w:type="pct"/>
                  <w:tcBorders>
                    <w:top w:val="single" w:color="auto" w:sz="12" w:space="0"/>
                  </w:tcBorders>
                  <w:shd w:val="clear" w:color="auto" w:fill="auto"/>
                  <w:vAlign w:val="center"/>
                </w:tcPr>
                <w:p w14:paraId="6F9C3379">
                  <w:pPr>
                    <w:jc w:val="center"/>
                    <w:rPr>
                      <w:b/>
                      <w:color w:val="auto"/>
                      <w:szCs w:val="21"/>
                    </w:rPr>
                  </w:pPr>
                  <w:r>
                    <w:rPr>
                      <w:b/>
                      <w:color w:val="auto"/>
                      <w:szCs w:val="21"/>
                    </w:rPr>
                    <w:t>污染源</w:t>
                  </w:r>
                </w:p>
              </w:tc>
              <w:tc>
                <w:tcPr>
                  <w:tcW w:w="619" w:type="pct"/>
                  <w:tcBorders>
                    <w:top w:val="single" w:color="auto" w:sz="12" w:space="0"/>
                  </w:tcBorders>
                  <w:shd w:val="clear" w:color="auto" w:fill="auto"/>
                  <w:vAlign w:val="center"/>
                </w:tcPr>
                <w:p w14:paraId="676B56AC">
                  <w:pPr>
                    <w:jc w:val="center"/>
                    <w:rPr>
                      <w:b/>
                      <w:color w:val="auto"/>
                      <w:szCs w:val="21"/>
                    </w:rPr>
                  </w:pPr>
                  <w:r>
                    <w:rPr>
                      <w:b/>
                      <w:color w:val="auto"/>
                      <w:szCs w:val="21"/>
                    </w:rPr>
                    <w:t>废水产生量</w:t>
                  </w:r>
                  <w:r>
                    <w:rPr>
                      <w:b/>
                      <w:bCs/>
                      <w:color w:val="auto"/>
                      <w:szCs w:val="21"/>
                    </w:rPr>
                    <w:t>（t/a）</w:t>
                  </w:r>
                </w:p>
              </w:tc>
              <w:tc>
                <w:tcPr>
                  <w:tcW w:w="794" w:type="pct"/>
                  <w:tcBorders>
                    <w:top w:val="single" w:color="auto" w:sz="12" w:space="0"/>
                  </w:tcBorders>
                  <w:shd w:val="clear" w:color="auto" w:fill="auto"/>
                  <w:vAlign w:val="center"/>
                </w:tcPr>
                <w:p w14:paraId="3A70219F">
                  <w:pPr>
                    <w:jc w:val="center"/>
                    <w:rPr>
                      <w:b/>
                      <w:color w:val="auto"/>
                      <w:szCs w:val="21"/>
                    </w:rPr>
                  </w:pPr>
                  <w:r>
                    <w:rPr>
                      <w:b/>
                      <w:color w:val="auto"/>
                      <w:szCs w:val="21"/>
                    </w:rPr>
                    <w:t>污染物名称</w:t>
                  </w:r>
                </w:p>
              </w:tc>
              <w:tc>
                <w:tcPr>
                  <w:tcW w:w="713" w:type="pct"/>
                  <w:tcBorders>
                    <w:top w:val="single" w:color="auto" w:sz="12" w:space="0"/>
                  </w:tcBorders>
                  <w:shd w:val="clear" w:color="auto" w:fill="auto"/>
                  <w:vAlign w:val="center"/>
                </w:tcPr>
                <w:p w14:paraId="4580C414">
                  <w:pPr>
                    <w:jc w:val="center"/>
                    <w:rPr>
                      <w:b/>
                      <w:color w:val="auto"/>
                      <w:szCs w:val="21"/>
                    </w:rPr>
                  </w:pPr>
                  <w:r>
                    <w:rPr>
                      <w:b/>
                      <w:color w:val="auto"/>
                      <w:szCs w:val="21"/>
                    </w:rPr>
                    <w:t>浓度</w:t>
                  </w:r>
                </w:p>
                <w:p w14:paraId="5D520D4F">
                  <w:pPr>
                    <w:jc w:val="center"/>
                    <w:rPr>
                      <w:b/>
                      <w:color w:val="auto"/>
                      <w:szCs w:val="21"/>
                    </w:rPr>
                  </w:pPr>
                  <w:r>
                    <w:rPr>
                      <w:rFonts w:hint="eastAsia"/>
                      <w:b/>
                      <w:bCs/>
                      <w:color w:val="auto"/>
                      <w:szCs w:val="21"/>
                      <w:lang w:eastAsia="zh-CN"/>
                    </w:rPr>
                    <w:t>(</w:t>
                  </w:r>
                  <w:r>
                    <w:rPr>
                      <w:b/>
                      <w:bCs/>
                      <w:color w:val="auto"/>
                      <w:szCs w:val="21"/>
                    </w:rPr>
                    <w:t>mg/L</w:t>
                  </w:r>
                  <w:r>
                    <w:rPr>
                      <w:rFonts w:hint="eastAsia"/>
                      <w:b/>
                      <w:bCs/>
                      <w:color w:val="auto"/>
                      <w:szCs w:val="21"/>
                      <w:lang w:eastAsia="zh-CN"/>
                    </w:rPr>
                    <w:t>)</w:t>
                  </w:r>
                </w:p>
              </w:tc>
              <w:tc>
                <w:tcPr>
                  <w:tcW w:w="706" w:type="pct"/>
                  <w:tcBorders>
                    <w:top w:val="single" w:color="auto" w:sz="12" w:space="0"/>
                  </w:tcBorders>
                  <w:shd w:val="clear" w:color="auto" w:fill="auto"/>
                  <w:vAlign w:val="center"/>
                </w:tcPr>
                <w:p w14:paraId="102F95FC">
                  <w:pPr>
                    <w:jc w:val="center"/>
                    <w:rPr>
                      <w:b/>
                      <w:color w:val="auto"/>
                      <w:szCs w:val="21"/>
                    </w:rPr>
                  </w:pPr>
                  <w:r>
                    <w:rPr>
                      <w:b/>
                      <w:color w:val="auto"/>
                      <w:szCs w:val="21"/>
                    </w:rPr>
                    <w:t>产生量（</w:t>
                  </w:r>
                  <w:r>
                    <w:rPr>
                      <w:b/>
                      <w:bCs/>
                      <w:color w:val="auto"/>
                      <w:szCs w:val="21"/>
                    </w:rPr>
                    <w:t>t/a</w:t>
                  </w:r>
                  <w:r>
                    <w:rPr>
                      <w:b/>
                      <w:color w:val="auto"/>
                      <w:szCs w:val="21"/>
                    </w:rPr>
                    <w:t>）</w:t>
                  </w:r>
                </w:p>
              </w:tc>
              <w:tc>
                <w:tcPr>
                  <w:tcW w:w="909" w:type="pct"/>
                  <w:tcBorders>
                    <w:top w:val="single" w:color="auto" w:sz="12" w:space="0"/>
                    <w:right w:val="nil"/>
                  </w:tcBorders>
                  <w:vAlign w:val="center"/>
                </w:tcPr>
                <w:p w14:paraId="68492807">
                  <w:pPr>
                    <w:jc w:val="center"/>
                    <w:rPr>
                      <w:b/>
                      <w:color w:val="auto"/>
                      <w:szCs w:val="21"/>
                    </w:rPr>
                  </w:pPr>
                  <w:r>
                    <w:rPr>
                      <w:b/>
                      <w:color w:val="auto"/>
                      <w:szCs w:val="21"/>
                    </w:rPr>
                    <w:t>去向</w:t>
                  </w:r>
                </w:p>
              </w:tc>
            </w:tr>
            <w:tr w14:paraId="530D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28" w:type="pct"/>
                  <w:vMerge w:val="restart"/>
                  <w:tcBorders>
                    <w:top w:val="single" w:color="auto" w:sz="12" w:space="0"/>
                    <w:left w:val="nil"/>
                  </w:tcBorders>
                  <w:shd w:val="clear" w:color="auto" w:fill="auto"/>
                  <w:vAlign w:val="center"/>
                </w:tcPr>
                <w:p w14:paraId="0DFFDCE7">
                  <w:pPr>
                    <w:jc w:val="center"/>
                    <w:rPr>
                      <w:color w:val="auto"/>
                      <w:szCs w:val="21"/>
                    </w:rPr>
                  </w:pPr>
                  <w:r>
                    <w:rPr>
                      <w:color w:val="auto"/>
                      <w:szCs w:val="21"/>
                    </w:rPr>
                    <w:t>职工生活</w:t>
                  </w:r>
                </w:p>
              </w:tc>
              <w:tc>
                <w:tcPr>
                  <w:tcW w:w="527" w:type="pct"/>
                  <w:vMerge w:val="restart"/>
                  <w:tcBorders>
                    <w:top w:val="single" w:color="auto" w:sz="12" w:space="0"/>
                  </w:tcBorders>
                  <w:shd w:val="clear" w:color="auto" w:fill="auto"/>
                  <w:vAlign w:val="center"/>
                </w:tcPr>
                <w:p w14:paraId="2BE59B13">
                  <w:pPr>
                    <w:jc w:val="center"/>
                    <w:rPr>
                      <w:color w:val="auto"/>
                      <w:szCs w:val="21"/>
                    </w:rPr>
                  </w:pPr>
                  <w:r>
                    <w:rPr>
                      <w:color w:val="auto"/>
                      <w:szCs w:val="21"/>
                    </w:rPr>
                    <w:t>职工</w:t>
                  </w:r>
                  <w:r>
                    <w:rPr>
                      <w:rFonts w:hint="eastAsia"/>
                      <w:color w:val="auto"/>
                      <w:szCs w:val="21"/>
                      <w:lang w:eastAsia="zh-CN"/>
                    </w:rPr>
                    <w:t>生活污水</w:t>
                  </w:r>
                </w:p>
              </w:tc>
              <w:tc>
                <w:tcPr>
                  <w:tcW w:w="619" w:type="pct"/>
                  <w:vMerge w:val="restart"/>
                  <w:tcBorders>
                    <w:top w:val="single" w:color="auto" w:sz="12" w:space="0"/>
                  </w:tcBorders>
                  <w:shd w:val="clear" w:color="auto" w:fill="auto"/>
                  <w:vAlign w:val="center"/>
                </w:tcPr>
                <w:p w14:paraId="52F2192E">
                  <w:pPr>
                    <w:jc w:val="center"/>
                    <w:rPr>
                      <w:rFonts w:hint="default" w:eastAsia="宋体"/>
                      <w:color w:val="auto"/>
                      <w:szCs w:val="21"/>
                      <w:lang w:val="en-US" w:eastAsia="zh-CN"/>
                    </w:rPr>
                  </w:pPr>
                  <w:r>
                    <w:rPr>
                      <w:rFonts w:hint="eastAsia"/>
                      <w:color w:val="auto"/>
                      <w:szCs w:val="21"/>
                      <w:lang w:val="en-US" w:eastAsia="zh-CN"/>
                    </w:rPr>
                    <w:t>288</w:t>
                  </w:r>
                </w:p>
              </w:tc>
              <w:tc>
                <w:tcPr>
                  <w:tcW w:w="794" w:type="pct"/>
                  <w:tcBorders>
                    <w:top w:val="single" w:color="auto" w:sz="12" w:space="0"/>
                  </w:tcBorders>
                  <w:shd w:val="clear" w:color="auto" w:fill="auto"/>
                  <w:vAlign w:val="center"/>
                </w:tcPr>
                <w:p w14:paraId="202C3B1A">
                  <w:pPr>
                    <w:jc w:val="center"/>
                    <w:rPr>
                      <w:color w:val="auto"/>
                      <w:szCs w:val="21"/>
                    </w:rPr>
                  </w:pPr>
                  <w:r>
                    <w:rPr>
                      <w:color w:val="auto"/>
                      <w:szCs w:val="21"/>
                    </w:rPr>
                    <w:t>COD</w:t>
                  </w:r>
                </w:p>
              </w:tc>
              <w:tc>
                <w:tcPr>
                  <w:tcW w:w="713" w:type="pct"/>
                  <w:tcBorders>
                    <w:top w:val="single" w:color="auto" w:sz="12" w:space="0"/>
                  </w:tcBorders>
                  <w:shd w:val="clear" w:color="auto" w:fill="auto"/>
                  <w:vAlign w:val="center"/>
                </w:tcPr>
                <w:p w14:paraId="01450CEF">
                  <w:pPr>
                    <w:jc w:val="center"/>
                    <w:rPr>
                      <w:color w:val="auto"/>
                      <w:szCs w:val="21"/>
                    </w:rPr>
                  </w:pPr>
                  <w:r>
                    <w:rPr>
                      <w:color w:val="auto"/>
                      <w:szCs w:val="21"/>
                    </w:rPr>
                    <w:t>400</w:t>
                  </w:r>
                </w:p>
              </w:tc>
              <w:tc>
                <w:tcPr>
                  <w:tcW w:w="706" w:type="pct"/>
                  <w:tcBorders>
                    <w:top w:val="single" w:color="auto" w:sz="12" w:space="0"/>
                  </w:tcBorders>
                  <w:shd w:val="clear" w:color="auto" w:fill="auto"/>
                  <w:vAlign w:val="center"/>
                </w:tcPr>
                <w:p w14:paraId="5BF9FE7B">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0.1152</w:t>
                  </w:r>
                </w:p>
              </w:tc>
              <w:tc>
                <w:tcPr>
                  <w:tcW w:w="909" w:type="pct"/>
                  <w:vMerge w:val="restart"/>
                  <w:tcBorders>
                    <w:top w:val="single" w:color="auto" w:sz="12" w:space="0"/>
                    <w:right w:val="nil"/>
                  </w:tcBorders>
                  <w:vAlign w:val="center"/>
                </w:tcPr>
                <w:p w14:paraId="7B6A5164">
                  <w:pPr>
                    <w:jc w:val="center"/>
                    <w:rPr>
                      <w:color w:val="auto"/>
                      <w:szCs w:val="21"/>
                    </w:rPr>
                  </w:pPr>
                  <w:r>
                    <w:rPr>
                      <w:rFonts w:hint="eastAsia"/>
                      <w:color w:val="auto"/>
                      <w:szCs w:val="21"/>
                    </w:rPr>
                    <w:t>经化粪池处理后</w:t>
                  </w:r>
                  <w:r>
                    <w:rPr>
                      <w:color w:val="auto"/>
                      <w:szCs w:val="21"/>
                    </w:rPr>
                    <w:t>排入厂区污水处理站处置</w:t>
                  </w:r>
                </w:p>
              </w:tc>
            </w:tr>
            <w:tr w14:paraId="6BD1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tcBorders>
                  <w:shd w:val="clear" w:color="auto" w:fill="auto"/>
                  <w:vAlign w:val="center"/>
                </w:tcPr>
                <w:p w14:paraId="2C466AEF">
                  <w:pPr>
                    <w:jc w:val="center"/>
                    <w:rPr>
                      <w:color w:val="auto"/>
                      <w:szCs w:val="21"/>
                    </w:rPr>
                  </w:pPr>
                </w:p>
              </w:tc>
              <w:tc>
                <w:tcPr>
                  <w:tcW w:w="527" w:type="pct"/>
                  <w:vMerge w:val="continue"/>
                  <w:shd w:val="clear" w:color="auto" w:fill="auto"/>
                  <w:vAlign w:val="center"/>
                </w:tcPr>
                <w:p w14:paraId="60677E3C">
                  <w:pPr>
                    <w:jc w:val="center"/>
                    <w:rPr>
                      <w:color w:val="auto"/>
                      <w:szCs w:val="21"/>
                    </w:rPr>
                  </w:pPr>
                </w:p>
              </w:tc>
              <w:tc>
                <w:tcPr>
                  <w:tcW w:w="619" w:type="pct"/>
                  <w:vMerge w:val="continue"/>
                  <w:shd w:val="clear" w:color="auto" w:fill="auto"/>
                  <w:vAlign w:val="center"/>
                </w:tcPr>
                <w:p w14:paraId="66DBA906">
                  <w:pPr>
                    <w:jc w:val="center"/>
                    <w:rPr>
                      <w:color w:val="auto"/>
                      <w:szCs w:val="21"/>
                    </w:rPr>
                  </w:pPr>
                </w:p>
              </w:tc>
              <w:tc>
                <w:tcPr>
                  <w:tcW w:w="794" w:type="pct"/>
                  <w:shd w:val="clear" w:color="auto" w:fill="auto"/>
                  <w:vAlign w:val="center"/>
                </w:tcPr>
                <w:p w14:paraId="3BE2EA8B">
                  <w:pPr>
                    <w:jc w:val="center"/>
                    <w:rPr>
                      <w:color w:val="auto"/>
                      <w:szCs w:val="21"/>
                    </w:rPr>
                  </w:pPr>
                  <w:r>
                    <w:rPr>
                      <w:rFonts w:hint="eastAsia"/>
                      <w:color w:val="auto"/>
                      <w:szCs w:val="21"/>
                    </w:rPr>
                    <w:t>S</w:t>
                  </w:r>
                  <w:r>
                    <w:rPr>
                      <w:color w:val="auto"/>
                      <w:szCs w:val="21"/>
                    </w:rPr>
                    <w:t>S</w:t>
                  </w:r>
                </w:p>
              </w:tc>
              <w:tc>
                <w:tcPr>
                  <w:tcW w:w="713" w:type="pct"/>
                  <w:shd w:val="clear" w:color="auto" w:fill="auto"/>
                  <w:vAlign w:val="center"/>
                </w:tcPr>
                <w:p w14:paraId="493E21BC">
                  <w:pPr>
                    <w:jc w:val="center"/>
                    <w:rPr>
                      <w:color w:val="auto"/>
                      <w:szCs w:val="21"/>
                    </w:rPr>
                  </w:pPr>
                  <w:r>
                    <w:rPr>
                      <w:rFonts w:hint="eastAsia"/>
                      <w:color w:val="auto"/>
                      <w:szCs w:val="21"/>
                    </w:rPr>
                    <w:t>40</w:t>
                  </w:r>
                  <w:r>
                    <w:rPr>
                      <w:color w:val="auto"/>
                      <w:szCs w:val="21"/>
                    </w:rPr>
                    <w:t>0</w:t>
                  </w:r>
                </w:p>
              </w:tc>
              <w:tc>
                <w:tcPr>
                  <w:tcW w:w="706" w:type="pct"/>
                  <w:shd w:val="clear" w:color="auto" w:fill="auto"/>
                  <w:vAlign w:val="center"/>
                </w:tcPr>
                <w:p w14:paraId="5AF60AD7">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0.1152</w:t>
                  </w:r>
                </w:p>
              </w:tc>
              <w:tc>
                <w:tcPr>
                  <w:tcW w:w="909" w:type="pct"/>
                  <w:vMerge w:val="continue"/>
                  <w:tcBorders>
                    <w:right w:val="nil"/>
                  </w:tcBorders>
                  <w:vAlign w:val="center"/>
                </w:tcPr>
                <w:p w14:paraId="6716C7EA">
                  <w:pPr>
                    <w:jc w:val="center"/>
                    <w:rPr>
                      <w:color w:val="auto"/>
                      <w:szCs w:val="21"/>
                    </w:rPr>
                  </w:pPr>
                </w:p>
              </w:tc>
            </w:tr>
            <w:tr w14:paraId="60D7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tcBorders>
                  <w:shd w:val="clear" w:color="auto" w:fill="auto"/>
                  <w:vAlign w:val="center"/>
                </w:tcPr>
                <w:p w14:paraId="34534A16">
                  <w:pPr>
                    <w:jc w:val="center"/>
                    <w:rPr>
                      <w:color w:val="auto"/>
                      <w:szCs w:val="21"/>
                    </w:rPr>
                  </w:pPr>
                </w:p>
              </w:tc>
              <w:tc>
                <w:tcPr>
                  <w:tcW w:w="527" w:type="pct"/>
                  <w:vMerge w:val="continue"/>
                  <w:shd w:val="clear" w:color="auto" w:fill="auto"/>
                  <w:vAlign w:val="center"/>
                </w:tcPr>
                <w:p w14:paraId="34986D6A">
                  <w:pPr>
                    <w:jc w:val="center"/>
                    <w:rPr>
                      <w:color w:val="auto"/>
                      <w:szCs w:val="21"/>
                    </w:rPr>
                  </w:pPr>
                </w:p>
              </w:tc>
              <w:tc>
                <w:tcPr>
                  <w:tcW w:w="619" w:type="pct"/>
                  <w:vMerge w:val="continue"/>
                  <w:shd w:val="clear" w:color="auto" w:fill="auto"/>
                  <w:vAlign w:val="center"/>
                </w:tcPr>
                <w:p w14:paraId="762E7351">
                  <w:pPr>
                    <w:jc w:val="center"/>
                    <w:rPr>
                      <w:color w:val="auto"/>
                      <w:szCs w:val="21"/>
                    </w:rPr>
                  </w:pPr>
                </w:p>
              </w:tc>
              <w:tc>
                <w:tcPr>
                  <w:tcW w:w="794" w:type="pct"/>
                  <w:shd w:val="clear" w:color="auto" w:fill="auto"/>
                  <w:vAlign w:val="center"/>
                </w:tcPr>
                <w:p w14:paraId="0200F66F">
                  <w:pPr>
                    <w:jc w:val="center"/>
                    <w:rPr>
                      <w:color w:val="auto"/>
                      <w:szCs w:val="21"/>
                    </w:rPr>
                  </w:pPr>
                  <w:r>
                    <w:rPr>
                      <w:color w:val="auto"/>
                      <w:szCs w:val="21"/>
                    </w:rPr>
                    <w:t>氨氮</w:t>
                  </w:r>
                </w:p>
              </w:tc>
              <w:tc>
                <w:tcPr>
                  <w:tcW w:w="713" w:type="pct"/>
                  <w:shd w:val="clear" w:color="auto" w:fill="auto"/>
                  <w:vAlign w:val="center"/>
                </w:tcPr>
                <w:p w14:paraId="480144A8">
                  <w:pPr>
                    <w:jc w:val="center"/>
                    <w:rPr>
                      <w:color w:val="auto"/>
                      <w:szCs w:val="21"/>
                    </w:rPr>
                  </w:pPr>
                  <w:r>
                    <w:rPr>
                      <w:color w:val="auto"/>
                      <w:szCs w:val="21"/>
                    </w:rPr>
                    <w:t>35</w:t>
                  </w:r>
                </w:p>
              </w:tc>
              <w:tc>
                <w:tcPr>
                  <w:tcW w:w="706" w:type="pct"/>
                  <w:shd w:val="clear" w:color="auto" w:fill="auto"/>
                  <w:vAlign w:val="center"/>
                </w:tcPr>
                <w:p w14:paraId="0CD4E07F">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0.0101</w:t>
                  </w:r>
                </w:p>
              </w:tc>
              <w:tc>
                <w:tcPr>
                  <w:tcW w:w="909" w:type="pct"/>
                  <w:vMerge w:val="continue"/>
                  <w:tcBorders>
                    <w:right w:val="nil"/>
                  </w:tcBorders>
                  <w:vAlign w:val="center"/>
                </w:tcPr>
                <w:p w14:paraId="44ACCD43">
                  <w:pPr>
                    <w:jc w:val="center"/>
                    <w:rPr>
                      <w:color w:val="auto"/>
                      <w:szCs w:val="21"/>
                    </w:rPr>
                  </w:pPr>
                </w:p>
              </w:tc>
            </w:tr>
            <w:tr w14:paraId="52AE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tcBorders>
                  <w:shd w:val="clear" w:color="auto" w:fill="auto"/>
                  <w:vAlign w:val="center"/>
                </w:tcPr>
                <w:p w14:paraId="14D1FE07">
                  <w:pPr>
                    <w:jc w:val="center"/>
                    <w:rPr>
                      <w:color w:val="auto"/>
                      <w:szCs w:val="21"/>
                    </w:rPr>
                  </w:pPr>
                </w:p>
              </w:tc>
              <w:tc>
                <w:tcPr>
                  <w:tcW w:w="527" w:type="pct"/>
                  <w:vMerge w:val="continue"/>
                  <w:shd w:val="clear" w:color="auto" w:fill="auto"/>
                  <w:vAlign w:val="center"/>
                </w:tcPr>
                <w:p w14:paraId="794B25EF">
                  <w:pPr>
                    <w:jc w:val="center"/>
                    <w:rPr>
                      <w:color w:val="auto"/>
                      <w:szCs w:val="21"/>
                    </w:rPr>
                  </w:pPr>
                </w:p>
              </w:tc>
              <w:tc>
                <w:tcPr>
                  <w:tcW w:w="619" w:type="pct"/>
                  <w:vMerge w:val="continue"/>
                  <w:shd w:val="clear" w:color="auto" w:fill="auto"/>
                  <w:vAlign w:val="center"/>
                </w:tcPr>
                <w:p w14:paraId="668AF5A2">
                  <w:pPr>
                    <w:jc w:val="center"/>
                    <w:rPr>
                      <w:color w:val="auto"/>
                      <w:szCs w:val="21"/>
                    </w:rPr>
                  </w:pPr>
                </w:p>
              </w:tc>
              <w:tc>
                <w:tcPr>
                  <w:tcW w:w="794" w:type="pct"/>
                  <w:shd w:val="clear" w:color="auto" w:fill="auto"/>
                  <w:vAlign w:val="center"/>
                </w:tcPr>
                <w:p w14:paraId="2271F0D1">
                  <w:pPr>
                    <w:jc w:val="center"/>
                    <w:rPr>
                      <w:color w:val="auto"/>
                      <w:szCs w:val="21"/>
                    </w:rPr>
                  </w:pPr>
                  <w:r>
                    <w:rPr>
                      <w:color w:val="auto"/>
                      <w:szCs w:val="21"/>
                    </w:rPr>
                    <w:t>总氮</w:t>
                  </w:r>
                </w:p>
              </w:tc>
              <w:tc>
                <w:tcPr>
                  <w:tcW w:w="713" w:type="pct"/>
                  <w:shd w:val="clear" w:color="auto" w:fill="auto"/>
                  <w:vAlign w:val="center"/>
                </w:tcPr>
                <w:p w14:paraId="40C8D6DA">
                  <w:pPr>
                    <w:jc w:val="center"/>
                    <w:rPr>
                      <w:color w:val="auto"/>
                      <w:szCs w:val="21"/>
                    </w:rPr>
                  </w:pPr>
                  <w:r>
                    <w:rPr>
                      <w:color w:val="auto"/>
                      <w:szCs w:val="21"/>
                    </w:rPr>
                    <w:t>40</w:t>
                  </w:r>
                </w:p>
              </w:tc>
              <w:tc>
                <w:tcPr>
                  <w:tcW w:w="706" w:type="pct"/>
                  <w:shd w:val="clear" w:color="auto" w:fill="auto"/>
                  <w:vAlign w:val="center"/>
                </w:tcPr>
                <w:p w14:paraId="4C0BD2A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0.0115</w:t>
                  </w:r>
                </w:p>
              </w:tc>
              <w:tc>
                <w:tcPr>
                  <w:tcW w:w="909" w:type="pct"/>
                  <w:vMerge w:val="continue"/>
                  <w:tcBorders>
                    <w:right w:val="nil"/>
                  </w:tcBorders>
                  <w:vAlign w:val="center"/>
                </w:tcPr>
                <w:p w14:paraId="3FCDFCEB">
                  <w:pPr>
                    <w:jc w:val="center"/>
                    <w:rPr>
                      <w:color w:val="auto"/>
                      <w:szCs w:val="21"/>
                    </w:rPr>
                  </w:pPr>
                </w:p>
              </w:tc>
            </w:tr>
            <w:tr w14:paraId="4F73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tcBorders>
                  <w:shd w:val="clear" w:color="auto" w:fill="auto"/>
                  <w:vAlign w:val="center"/>
                </w:tcPr>
                <w:p w14:paraId="2B3C3015">
                  <w:pPr>
                    <w:jc w:val="center"/>
                    <w:rPr>
                      <w:color w:val="auto"/>
                      <w:szCs w:val="21"/>
                    </w:rPr>
                  </w:pPr>
                </w:p>
              </w:tc>
              <w:tc>
                <w:tcPr>
                  <w:tcW w:w="527" w:type="pct"/>
                  <w:vMerge w:val="continue"/>
                  <w:shd w:val="clear" w:color="auto" w:fill="auto"/>
                  <w:vAlign w:val="center"/>
                </w:tcPr>
                <w:p w14:paraId="583E058B">
                  <w:pPr>
                    <w:jc w:val="center"/>
                    <w:rPr>
                      <w:color w:val="auto"/>
                      <w:szCs w:val="21"/>
                    </w:rPr>
                  </w:pPr>
                </w:p>
              </w:tc>
              <w:tc>
                <w:tcPr>
                  <w:tcW w:w="619" w:type="pct"/>
                  <w:vMerge w:val="continue"/>
                  <w:shd w:val="clear" w:color="auto" w:fill="auto"/>
                  <w:vAlign w:val="center"/>
                </w:tcPr>
                <w:p w14:paraId="68CEC506">
                  <w:pPr>
                    <w:jc w:val="center"/>
                    <w:rPr>
                      <w:color w:val="auto"/>
                      <w:szCs w:val="21"/>
                    </w:rPr>
                  </w:pPr>
                </w:p>
              </w:tc>
              <w:tc>
                <w:tcPr>
                  <w:tcW w:w="794" w:type="pct"/>
                  <w:shd w:val="clear" w:color="auto" w:fill="auto"/>
                  <w:vAlign w:val="center"/>
                </w:tcPr>
                <w:p w14:paraId="73361B08">
                  <w:pPr>
                    <w:jc w:val="center"/>
                    <w:rPr>
                      <w:color w:val="auto"/>
                      <w:szCs w:val="21"/>
                    </w:rPr>
                  </w:pPr>
                  <w:r>
                    <w:rPr>
                      <w:color w:val="auto"/>
                      <w:szCs w:val="21"/>
                    </w:rPr>
                    <w:t>总磷</w:t>
                  </w:r>
                </w:p>
              </w:tc>
              <w:tc>
                <w:tcPr>
                  <w:tcW w:w="713" w:type="pct"/>
                  <w:shd w:val="clear" w:color="auto" w:fill="auto"/>
                  <w:vAlign w:val="center"/>
                </w:tcPr>
                <w:p w14:paraId="05B5A898">
                  <w:pPr>
                    <w:jc w:val="center"/>
                    <w:rPr>
                      <w:color w:val="auto"/>
                      <w:szCs w:val="21"/>
                    </w:rPr>
                  </w:pPr>
                  <w:r>
                    <w:rPr>
                      <w:color w:val="auto"/>
                      <w:szCs w:val="21"/>
                    </w:rPr>
                    <w:t>5</w:t>
                  </w:r>
                </w:p>
              </w:tc>
              <w:tc>
                <w:tcPr>
                  <w:tcW w:w="706" w:type="pct"/>
                  <w:shd w:val="clear" w:color="auto" w:fill="auto"/>
                  <w:vAlign w:val="center"/>
                </w:tcPr>
                <w:p w14:paraId="0C22A56C">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909" w:type="pct"/>
                  <w:vMerge w:val="continue"/>
                  <w:tcBorders>
                    <w:right w:val="nil"/>
                  </w:tcBorders>
                  <w:vAlign w:val="center"/>
                </w:tcPr>
                <w:p w14:paraId="3393DD73">
                  <w:pPr>
                    <w:jc w:val="center"/>
                    <w:rPr>
                      <w:color w:val="auto"/>
                      <w:szCs w:val="21"/>
                    </w:rPr>
                  </w:pPr>
                </w:p>
              </w:tc>
            </w:tr>
            <w:tr w14:paraId="3750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restart"/>
                  <w:tcBorders>
                    <w:left w:val="nil"/>
                  </w:tcBorders>
                  <w:shd w:val="clear" w:color="auto" w:fill="auto"/>
                  <w:vAlign w:val="center"/>
                </w:tcPr>
                <w:p w14:paraId="4F591C17">
                  <w:pPr>
                    <w:jc w:val="center"/>
                    <w:rPr>
                      <w:color w:val="auto"/>
                      <w:szCs w:val="21"/>
                    </w:rPr>
                  </w:pPr>
                  <w:r>
                    <w:rPr>
                      <w:color w:val="auto"/>
                      <w:szCs w:val="21"/>
                    </w:rPr>
                    <w:t>食堂</w:t>
                  </w:r>
                </w:p>
              </w:tc>
              <w:tc>
                <w:tcPr>
                  <w:tcW w:w="527" w:type="pct"/>
                  <w:vMerge w:val="restart"/>
                  <w:shd w:val="clear" w:color="auto" w:fill="auto"/>
                  <w:vAlign w:val="center"/>
                </w:tcPr>
                <w:p w14:paraId="245EBCDC">
                  <w:pPr>
                    <w:jc w:val="center"/>
                    <w:rPr>
                      <w:color w:val="auto"/>
                      <w:szCs w:val="21"/>
                    </w:rPr>
                  </w:pPr>
                  <w:r>
                    <w:rPr>
                      <w:color w:val="auto"/>
                      <w:szCs w:val="21"/>
                    </w:rPr>
                    <w:t>食堂废水</w:t>
                  </w:r>
                </w:p>
              </w:tc>
              <w:tc>
                <w:tcPr>
                  <w:tcW w:w="619" w:type="pct"/>
                  <w:vMerge w:val="restart"/>
                  <w:shd w:val="clear" w:color="auto" w:fill="auto"/>
                  <w:vAlign w:val="center"/>
                </w:tcPr>
                <w:p w14:paraId="20DDBC2A">
                  <w:pPr>
                    <w:jc w:val="center"/>
                    <w:rPr>
                      <w:rFonts w:hint="default" w:eastAsia="宋体"/>
                      <w:color w:val="auto"/>
                      <w:szCs w:val="21"/>
                      <w:lang w:val="en-US" w:eastAsia="zh-CN"/>
                    </w:rPr>
                  </w:pPr>
                  <w:r>
                    <w:rPr>
                      <w:rFonts w:hint="eastAsia"/>
                      <w:color w:val="auto"/>
                      <w:szCs w:val="21"/>
                      <w:lang w:val="en-US" w:eastAsia="zh-CN"/>
                    </w:rPr>
                    <w:t>192</w:t>
                  </w:r>
                </w:p>
              </w:tc>
              <w:tc>
                <w:tcPr>
                  <w:tcW w:w="794" w:type="pct"/>
                  <w:shd w:val="clear" w:color="auto" w:fill="auto"/>
                  <w:vAlign w:val="center"/>
                </w:tcPr>
                <w:p w14:paraId="3A2FEC0B">
                  <w:pPr>
                    <w:jc w:val="center"/>
                    <w:rPr>
                      <w:color w:val="auto"/>
                      <w:szCs w:val="21"/>
                    </w:rPr>
                  </w:pPr>
                  <w:r>
                    <w:rPr>
                      <w:color w:val="auto"/>
                      <w:szCs w:val="21"/>
                    </w:rPr>
                    <w:t>COD</w:t>
                  </w:r>
                </w:p>
              </w:tc>
              <w:tc>
                <w:tcPr>
                  <w:tcW w:w="713" w:type="pct"/>
                  <w:shd w:val="clear" w:color="auto" w:fill="auto"/>
                  <w:vAlign w:val="center"/>
                </w:tcPr>
                <w:p w14:paraId="23C3FD55">
                  <w:pPr>
                    <w:jc w:val="center"/>
                    <w:rPr>
                      <w:color w:val="auto"/>
                      <w:szCs w:val="21"/>
                    </w:rPr>
                  </w:pPr>
                  <w:r>
                    <w:rPr>
                      <w:color w:val="auto"/>
                      <w:szCs w:val="21"/>
                    </w:rPr>
                    <w:t>400</w:t>
                  </w:r>
                </w:p>
              </w:tc>
              <w:tc>
                <w:tcPr>
                  <w:tcW w:w="706" w:type="pct"/>
                  <w:shd w:val="clear" w:color="auto" w:fill="auto"/>
                  <w:vAlign w:val="center"/>
                </w:tcPr>
                <w:p w14:paraId="1F936CA7">
                  <w:pPr>
                    <w:keepNext w:val="0"/>
                    <w:keepLines w:val="0"/>
                    <w:widowControl/>
                    <w:suppressLineNumbers w:val="0"/>
                    <w:jc w:val="center"/>
                    <w:textAlignment w:val="center"/>
                    <w:rPr>
                      <w:rFonts w:hint="default" w:eastAsia="宋体"/>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0.0768</w:t>
                  </w:r>
                </w:p>
              </w:tc>
              <w:tc>
                <w:tcPr>
                  <w:tcW w:w="909" w:type="pct"/>
                  <w:vMerge w:val="restart"/>
                  <w:tcBorders>
                    <w:right w:val="nil"/>
                  </w:tcBorders>
                  <w:vAlign w:val="center"/>
                </w:tcPr>
                <w:p w14:paraId="2B5A49D4">
                  <w:pPr>
                    <w:jc w:val="center"/>
                    <w:rPr>
                      <w:color w:val="auto"/>
                      <w:szCs w:val="21"/>
                    </w:rPr>
                  </w:pPr>
                  <w:r>
                    <w:rPr>
                      <w:rFonts w:hint="eastAsia"/>
                      <w:color w:val="auto"/>
                      <w:szCs w:val="21"/>
                    </w:rPr>
                    <w:t>经隔油池处理后</w:t>
                  </w:r>
                  <w:r>
                    <w:rPr>
                      <w:color w:val="auto"/>
                      <w:szCs w:val="21"/>
                    </w:rPr>
                    <w:t>排入厂区污水处理站处置</w:t>
                  </w:r>
                </w:p>
              </w:tc>
            </w:tr>
            <w:tr w14:paraId="154B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tcBorders>
                  <w:shd w:val="clear" w:color="auto" w:fill="auto"/>
                  <w:vAlign w:val="center"/>
                </w:tcPr>
                <w:p w14:paraId="7D26AFB0">
                  <w:pPr>
                    <w:jc w:val="center"/>
                    <w:rPr>
                      <w:color w:val="auto"/>
                      <w:szCs w:val="21"/>
                    </w:rPr>
                  </w:pPr>
                </w:p>
              </w:tc>
              <w:tc>
                <w:tcPr>
                  <w:tcW w:w="527" w:type="pct"/>
                  <w:vMerge w:val="continue"/>
                  <w:shd w:val="clear" w:color="auto" w:fill="auto"/>
                  <w:vAlign w:val="center"/>
                </w:tcPr>
                <w:p w14:paraId="26005E04">
                  <w:pPr>
                    <w:jc w:val="center"/>
                    <w:rPr>
                      <w:color w:val="auto"/>
                      <w:szCs w:val="21"/>
                    </w:rPr>
                  </w:pPr>
                </w:p>
              </w:tc>
              <w:tc>
                <w:tcPr>
                  <w:tcW w:w="619" w:type="pct"/>
                  <w:vMerge w:val="continue"/>
                  <w:shd w:val="clear" w:color="auto" w:fill="auto"/>
                  <w:vAlign w:val="center"/>
                </w:tcPr>
                <w:p w14:paraId="44DE0B01">
                  <w:pPr>
                    <w:jc w:val="center"/>
                    <w:rPr>
                      <w:color w:val="auto"/>
                      <w:szCs w:val="21"/>
                    </w:rPr>
                  </w:pPr>
                </w:p>
              </w:tc>
              <w:tc>
                <w:tcPr>
                  <w:tcW w:w="794" w:type="pct"/>
                  <w:shd w:val="clear" w:color="auto" w:fill="auto"/>
                  <w:vAlign w:val="center"/>
                </w:tcPr>
                <w:p w14:paraId="36DA9EB6">
                  <w:pPr>
                    <w:jc w:val="center"/>
                    <w:rPr>
                      <w:color w:val="auto"/>
                      <w:szCs w:val="21"/>
                    </w:rPr>
                  </w:pPr>
                  <w:r>
                    <w:rPr>
                      <w:rFonts w:hint="eastAsia"/>
                      <w:color w:val="auto"/>
                      <w:szCs w:val="21"/>
                    </w:rPr>
                    <w:t>S</w:t>
                  </w:r>
                  <w:r>
                    <w:rPr>
                      <w:color w:val="auto"/>
                      <w:szCs w:val="21"/>
                    </w:rPr>
                    <w:t>S</w:t>
                  </w:r>
                </w:p>
              </w:tc>
              <w:tc>
                <w:tcPr>
                  <w:tcW w:w="713" w:type="pct"/>
                  <w:shd w:val="clear" w:color="auto" w:fill="auto"/>
                  <w:vAlign w:val="center"/>
                </w:tcPr>
                <w:p w14:paraId="519062B6">
                  <w:pPr>
                    <w:jc w:val="center"/>
                    <w:rPr>
                      <w:color w:val="auto"/>
                      <w:szCs w:val="21"/>
                    </w:rPr>
                  </w:pPr>
                  <w:r>
                    <w:rPr>
                      <w:rFonts w:hint="eastAsia"/>
                      <w:color w:val="auto"/>
                      <w:szCs w:val="21"/>
                    </w:rPr>
                    <w:t>4</w:t>
                  </w:r>
                  <w:r>
                    <w:rPr>
                      <w:color w:val="auto"/>
                      <w:szCs w:val="21"/>
                    </w:rPr>
                    <w:t>00</w:t>
                  </w:r>
                </w:p>
              </w:tc>
              <w:tc>
                <w:tcPr>
                  <w:tcW w:w="706" w:type="pct"/>
                  <w:shd w:val="clear" w:color="auto" w:fill="auto"/>
                  <w:vAlign w:val="center"/>
                </w:tcPr>
                <w:p w14:paraId="37124146">
                  <w:pPr>
                    <w:keepNext w:val="0"/>
                    <w:keepLines w:val="0"/>
                    <w:widowControl/>
                    <w:suppressLineNumbers w:val="0"/>
                    <w:jc w:val="center"/>
                    <w:textAlignment w:val="center"/>
                    <w:rPr>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0.0768</w:t>
                  </w:r>
                </w:p>
              </w:tc>
              <w:tc>
                <w:tcPr>
                  <w:tcW w:w="909" w:type="pct"/>
                  <w:vMerge w:val="continue"/>
                  <w:tcBorders>
                    <w:right w:val="nil"/>
                  </w:tcBorders>
                  <w:vAlign w:val="center"/>
                </w:tcPr>
                <w:p w14:paraId="5B9E2DA0">
                  <w:pPr>
                    <w:jc w:val="center"/>
                    <w:rPr>
                      <w:color w:val="auto"/>
                      <w:szCs w:val="21"/>
                    </w:rPr>
                  </w:pPr>
                </w:p>
              </w:tc>
            </w:tr>
            <w:tr w14:paraId="4F13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tcBorders>
                  <w:shd w:val="clear" w:color="auto" w:fill="auto"/>
                  <w:vAlign w:val="center"/>
                </w:tcPr>
                <w:p w14:paraId="6361DA20">
                  <w:pPr>
                    <w:jc w:val="center"/>
                    <w:rPr>
                      <w:color w:val="auto"/>
                      <w:szCs w:val="21"/>
                    </w:rPr>
                  </w:pPr>
                </w:p>
              </w:tc>
              <w:tc>
                <w:tcPr>
                  <w:tcW w:w="527" w:type="pct"/>
                  <w:vMerge w:val="continue"/>
                  <w:shd w:val="clear" w:color="auto" w:fill="auto"/>
                  <w:vAlign w:val="center"/>
                </w:tcPr>
                <w:p w14:paraId="6FB7EF02">
                  <w:pPr>
                    <w:jc w:val="center"/>
                    <w:rPr>
                      <w:color w:val="auto"/>
                      <w:szCs w:val="21"/>
                    </w:rPr>
                  </w:pPr>
                </w:p>
              </w:tc>
              <w:tc>
                <w:tcPr>
                  <w:tcW w:w="619" w:type="pct"/>
                  <w:vMerge w:val="continue"/>
                  <w:shd w:val="clear" w:color="auto" w:fill="auto"/>
                  <w:vAlign w:val="center"/>
                </w:tcPr>
                <w:p w14:paraId="50C6737C">
                  <w:pPr>
                    <w:jc w:val="center"/>
                    <w:rPr>
                      <w:color w:val="auto"/>
                      <w:szCs w:val="21"/>
                    </w:rPr>
                  </w:pPr>
                </w:p>
              </w:tc>
              <w:tc>
                <w:tcPr>
                  <w:tcW w:w="794" w:type="pct"/>
                  <w:shd w:val="clear" w:color="auto" w:fill="auto"/>
                  <w:vAlign w:val="center"/>
                </w:tcPr>
                <w:p w14:paraId="12C4E2FF">
                  <w:pPr>
                    <w:jc w:val="center"/>
                    <w:rPr>
                      <w:color w:val="auto"/>
                      <w:szCs w:val="21"/>
                    </w:rPr>
                  </w:pPr>
                  <w:r>
                    <w:rPr>
                      <w:color w:val="auto"/>
                      <w:szCs w:val="21"/>
                    </w:rPr>
                    <w:t>氨氮</w:t>
                  </w:r>
                </w:p>
              </w:tc>
              <w:tc>
                <w:tcPr>
                  <w:tcW w:w="713" w:type="pct"/>
                  <w:shd w:val="clear" w:color="auto" w:fill="auto"/>
                  <w:vAlign w:val="center"/>
                </w:tcPr>
                <w:p w14:paraId="22C95D45">
                  <w:pPr>
                    <w:jc w:val="center"/>
                    <w:rPr>
                      <w:color w:val="auto"/>
                      <w:szCs w:val="21"/>
                    </w:rPr>
                  </w:pPr>
                  <w:r>
                    <w:rPr>
                      <w:color w:val="auto"/>
                      <w:szCs w:val="21"/>
                    </w:rPr>
                    <w:t>35</w:t>
                  </w:r>
                </w:p>
              </w:tc>
              <w:tc>
                <w:tcPr>
                  <w:tcW w:w="706" w:type="pct"/>
                  <w:shd w:val="clear" w:color="auto" w:fill="auto"/>
                  <w:vAlign w:val="center"/>
                </w:tcPr>
                <w:p w14:paraId="62CCAC8B">
                  <w:pPr>
                    <w:keepNext w:val="0"/>
                    <w:keepLines w:val="0"/>
                    <w:widowControl/>
                    <w:suppressLineNumbers w:val="0"/>
                    <w:jc w:val="center"/>
                    <w:textAlignment w:val="center"/>
                    <w:rPr>
                      <w:rFonts w:hint="default" w:eastAsia="宋体"/>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0.0067</w:t>
                  </w:r>
                </w:p>
              </w:tc>
              <w:tc>
                <w:tcPr>
                  <w:tcW w:w="909" w:type="pct"/>
                  <w:vMerge w:val="continue"/>
                  <w:tcBorders>
                    <w:right w:val="nil"/>
                  </w:tcBorders>
                  <w:vAlign w:val="center"/>
                </w:tcPr>
                <w:p w14:paraId="6D33DCBA">
                  <w:pPr>
                    <w:jc w:val="center"/>
                    <w:rPr>
                      <w:color w:val="auto"/>
                      <w:szCs w:val="21"/>
                    </w:rPr>
                  </w:pPr>
                </w:p>
              </w:tc>
            </w:tr>
            <w:tr w14:paraId="2428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tcBorders>
                  <w:shd w:val="clear" w:color="auto" w:fill="auto"/>
                  <w:vAlign w:val="center"/>
                </w:tcPr>
                <w:p w14:paraId="47435B74">
                  <w:pPr>
                    <w:jc w:val="center"/>
                    <w:rPr>
                      <w:color w:val="auto"/>
                      <w:szCs w:val="21"/>
                    </w:rPr>
                  </w:pPr>
                </w:p>
              </w:tc>
              <w:tc>
                <w:tcPr>
                  <w:tcW w:w="527" w:type="pct"/>
                  <w:vMerge w:val="continue"/>
                  <w:shd w:val="clear" w:color="auto" w:fill="auto"/>
                  <w:vAlign w:val="center"/>
                </w:tcPr>
                <w:p w14:paraId="46ACDD11">
                  <w:pPr>
                    <w:jc w:val="center"/>
                    <w:rPr>
                      <w:color w:val="auto"/>
                      <w:szCs w:val="21"/>
                    </w:rPr>
                  </w:pPr>
                </w:p>
              </w:tc>
              <w:tc>
                <w:tcPr>
                  <w:tcW w:w="619" w:type="pct"/>
                  <w:vMerge w:val="continue"/>
                  <w:shd w:val="clear" w:color="auto" w:fill="auto"/>
                  <w:vAlign w:val="center"/>
                </w:tcPr>
                <w:p w14:paraId="34A9B6BC">
                  <w:pPr>
                    <w:jc w:val="center"/>
                    <w:rPr>
                      <w:color w:val="auto"/>
                      <w:szCs w:val="21"/>
                    </w:rPr>
                  </w:pPr>
                </w:p>
              </w:tc>
              <w:tc>
                <w:tcPr>
                  <w:tcW w:w="794" w:type="pct"/>
                  <w:shd w:val="clear" w:color="auto" w:fill="auto"/>
                  <w:vAlign w:val="center"/>
                </w:tcPr>
                <w:p w14:paraId="7E429D2B">
                  <w:pPr>
                    <w:jc w:val="center"/>
                    <w:rPr>
                      <w:color w:val="auto"/>
                      <w:szCs w:val="21"/>
                    </w:rPr>
                  </w:pPr>
                  <w:r>
                    <w:rPr>
                      <w:color w:val="auto"/>
                      <w:szCs w:val="21"/>
                    </w:rPr>
                    <w:t>总氮</w:t>
                  </w:r>
                </w:p>
              </w:tc>
              <w:tc>
                <w:tcPr>
                  <w:tcW w:w="713" w:type="pct"/>
                  <w:shd w:val="clear" w:color="auto" w:fill="auto"/>
                  <w:vAlign w:val="center"/>
                </w:tcPr>
                <w:p w14:paraId="0B0413C6">
                  <w:pPr>
                    <w:jc w:val="center"/>
                    <w:rPr>
                      <w:color w:val="auto"/>
                      <w:szCs w:val="21"/>
                    </w:rPr>
                  </w:pPr>
                  <w:r>
                    <w:rPr>
                      <w:color w:val="auto"/>
                      <w:szCs w:val="21"/>
                    </w:rPr>
                    <w:t>40</w:t>
                  </w:r>
                </w:p>
              </w:tc>
              <w:tc>
                <w:tcPr>
                  <w:tcW w:w="706" w:type="pct"/>
                  <w:shd w:val="clear" w:color="auto" w:fill="auto"/>
                  <w:vAlign w:val="center"/>
                </w:tcPr>
                <w:p w14:paraId="6277EAA9">
                  <w:pPr>
                    <w:keepNext w:val="0"/>
                    <w:keepLines w:val="0"/>
                    <w:widowControl/>
                    <w:suppressLineNumbers w:val="0"/>
                    <w:jc w:val="center"/>
                    <w:textAlignment w:val="center"/>
                    <w:rPr>
                      <w:rFonts w:hint="default" w:eastAsia="宋体"/>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0.0077</w:t>
                  </w:r>
                </w:p>
              </w:tc>
              <w:tc>
                <w:tcPr>
                  <w:tcW w:w="909" w:type="pct"/>
                  <w:vMerge w:val="continue"/>
                  <w:tcBorders>
                    <w:right w:val="nil"/>
                  </w:tcBorders>
                  <w:vAlign w:val="center"/>
                </w:tcPr>
                <w:p w14:paraId="3DF5CABD">
                  <w:pPr>
                    <w:jc w:val="center"/>
                    <w:rPr>
                      <w:color w:val="auto"/>
                      <w:szCs w:val="21"/>
                    </w:rPr>
                  </w:pPr>
                </w:p>
              </w:tc>
            </w:tr>
            <w:tr w14:paraId="2855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tcBorders>
                  <w:shd w:val="clear" w:color="auto" w:fill="auto"/>
                  <w:vAlign w:val="center"/>
                </w:tcPr>
                <w:p w14:paraId="0667DDC9">
                  <w:pPr>
                    <w:jc w:val="center"/>
                    <w:rPr>
                      <w:color w:val="auto"/>
                      <w:szCs w:val="21"/>
                    </w:rPr>
                  </w:pPr>
                </w:p>
              </w:tc>
              <w:tc>
                <w:tcPr>
                  <w:tcW w:w="527" w:type="pct"/>
                  <w:vMerge w:val="continue"/>
                  <w:shd w:val="clear" w:color="auto" w:fill="auto"/>
                  <w:vAlign w:val="center"/>
                </w:tcPr>
                <w:p w14:paraId="5B7A50E0">
                  <w:pPr>
                    <w:jc w:val="center"/>
                    <w:rPr>
                      <w:color w:val="auto"/>
                      <w:szCs w:val="21"/>
                    </w:rPr>
                  </w:pPr>
                </w:p>
              </w:tc>
              <w:tc>
                <w:tcPr>
                  <w:tcW w:w="619" w:type="pct"/>
                  <w:vMerge w:val="continue"/>
                  <w:shd w:val="clear" w:color="auto" w:fill="auto"/>
                  <w:vAlign w:val="center"/>
                </w:tcPr>
                <w:p w14:paraId="320D8E9B">
                  <w:pPr>
                    <w:jc w:val="center"/>
                    <w:rPr>
                      <w:color w:val="auto"/>
                      <w:szCs w:val="21"/>
                    </w:rPr>
                  </w:pPr>
                </w:p>
              </w:tc>
              <w:tc>
                <w:tcPr>
                  <w:tcW w:w="794" w:type="pct"/>
                  <w:shd w:val="clear" w:color="auto" w:fill="auto"/>
                  <w:vAlign w:val="center"/>
                </w:tcPr>
                <w:p w14:paraId="434CDAC2">
                  <w:pPr>
                    <w:jc w:val="center"/>
                    <w:rPr>
                      <w:color w:val="auto"/>
                      <w:szCs w:val="21"/>
                    </w:rPr>
                  </w:pPr>
                  <w:r>
                    <w:rPr>
                      <w:color w:val="auto"/>
                      <w:szCs w:val="21"/>
                    </w:rPr>
                    <w:t>总磷</w:t>
                  </w:r>
                </w:p>
              </w:tc>
              <w:tc>
                <w:tcPr>
                  <w:tcW w:w="713" w:type="pct"/>
                  <w:shd w:val="clear" w:color="auto" w:fill="auto"/>
                  <w:vAlign w:val="center"/>
                </w:tcPr>
                <w:p w14:paraId="318F9D07">
                  <w:pPr>
                    <w:jc w:val="center"/>
                    <w:rPr>
                      <w:color w:val="auto"/>
                      <w:szCs w:val="21"/>
                    </w:rPr>
                  </w:pPr>
                  <w:r>
                    <w:rPr>
                      <w:color w:val="auto"/>
                      <w:szCs w:val="21"/>
                    </w:rPr>
                    <w:t>5</w:t>
                  </w:r>
                </w:p>
              </w:tc>
              <w:tc>
                <w:tcPr>
                  <w:tcW w:w="706" w:type="pct"/>
                  <w:shd w:val="clear" w:color="auto" w:fill="auto"/>
                  <w:vAlign w:val="center"/>
                </w:tcPr>
                <w:p w14:paraId="7214B3B5">
                  <w:pPr>
                    <w:keepNext w:val="0"/>
                    <w:keepLines w:val="0"/>
                    <w:widowControl/>
                    <w:suppressLineNumbers w:val="0"/>
                    <w:jc w:val="center"/>
                    <w:textAlignment w:val="center"/>
                    <w:rPr>
                      <w:rFonts w:hint="default" w:eastAsia="宋体"/>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0.0010</w:t>
                  </w:r>
                </w:p>
              </w:tc>
              <w:tc>
                <w:tcPr>
                  <w:tcW w:w="909" w:type="pct"/>
                  <w:vMerge w:val="continue"/>
                  <w:tcBorders>
                    <w:right w:val="nil"/>
                  </w:tcBorders>
                  <w:vAlign w:val="center"/>
                </w:tcPr>
                <w:p w14:paraId="34BB3A5B">
                  <w:pPr>
                    <w:jc w:val="center"/>
                    <w:rPr>
                      <w:color w:val="auto"/>
                      <w:szCs w:val="21"/>
                    </w:rPr>
                  </w:pPr>
                </w:p>
              </w:tc>
            </w:tr>
            <w:tr w14:paraId="0CC81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tcBorders>
                  <w:shd w:val="clear" w:color="auto" w:fill="auto"/>
                  <w:vAlign w:val="center"/>
                </w:tcPr>
                <w:p w14:paraId="410A1FDB">
                  <w:pPr>
                    <w:jc w:val="center"/>
                    <w:rPr>
                      <w:color w:val="auto"/>
                      <w:szCs w:val="21"/>
                    </w:rPr>
                  </w:pPr>
                </w:p>
              </w:tc>
              <w:tc>
                <w:tcPr>
                  <w:tcW w:w="527" w:type="pct"/>
                  <w:vMerge w:val="continue"/>
                  <w:shd w:val="clear" w:color="auto" w:fill="auto"/>
                  <w:vAlign w:val="center"/>
                </w:tcPr>
                <w:p w14:paraId="38532080">
                  <w:pPr>
                    <w:jc w:val="center"/>
                    <w:rPr>
                      <w:color w:val="auto"/>
                      <w:szCs w:val="21"/>
                    </w:rPr>
                  </w:pPr>
                </w:p>
              </w:tc>
              <w:tc>
                <w:tcPr>
                  <w:tcW w:w="619" w:type="pct"/>
                  <w:vMerge w:val="continue"/>
                  <w:shd w:val="clear" w:color="auto" w:fill="auto"/>
                  <w:vAlign w:val="center"/>
                </w:tcPr>
                <w:p w14:paraId="7CEDB959">
                  <w:pPr>
                    <w:jc w:val="center"/>
                    <w:rPr>
                      <w:color w:val="auto"/>
                      <w:szCs w:val="21"/>
                    </w:rPr>
                  </w:pPr>
                </w:p>
              </w:tc>
              <w:tc>
                <w:tcPr>
                  <w:tcW w:w="794" w:type="pct"/>
                  <w:shd w:val="clear" w:color="auto" w:fill="auto"/>
                  <w:vAlign w:val="center"/>
                </w:tcPr>
                <w:p w14:paraId="1FC27CC6">
                  <w:pPr>
                    <w:jc w:val="center"/>
                    <w:rPr>
                      <w:color w:val="auto"/>
                      <w:szCs w:val="21"/>
                    </w:rPr>
                  </w:pPr>
                  <w:r>
                    <w:rPr>
                      <w:color w:val="auto"/>
                      <w:szCs w:val="21"/>
                    </w:rPr>
                    <w:t>动植物油</w:t>
                  </w:r>
                </w:p>
              </w:tc>
              <w:tc>
                <w:tcPr>
                  <w:tcW w:w="713" w:type="pct"/>
                  <w:shd w:val="clear" w:color="auto" w:fill="auto"/>
                  <w:vAlign w:val="center"/>
                </w:tcPr>
                <w:p w14:paraId="5050D921">
                  <w:pPr>
                    <w:jc w:val="center"/>
                    <w:rPr>
                      <w:color w:val="auto"/>
                      <w:szCs w:val="21"/>
                    </w:rPr>
                  </w:pPr>
                  <w:r>
                    <w:rPr>
                      <w:color w:val="auto"/>
                      <w:szCs w:val="21"/>
                    </w:rPr>
                    <w:t>200</w:t>
                  </w:r>
                </w:p>
              </w:tc>
              <w:tc>
                <w:tcPr>
                  <w:tcW w:w="706" w:type="pct"/>
                  <w:shd w:val="clear" w:color="auto" w:fill="auto"/>
                  <w:vAlign w:val="center"/>
                </w:tcPr>
                <w:p w14:paraId="0D576B9D">
                  <w:pPr>
                    <w:keepNext w:val="0"/>
                    <w:keepLines w:val="0"/>
                    <w:widowControl/>
                    <w:suppressLineNumbers w:val="0"/>
                    <w:jc w:val="center"/>
                    <w:textAlignment w:val="center"/>
                    <w:rPr>
                      <w:rFonts w:hint="default" w:eastAsia="宋体"/>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0.0384</w:t>
                  </w:r>
                </w:p>
              </w:tc>
              <w:tc>
                <w:tcPr>
                  <w:tcW w:w="909" w:type="pct"/>
                  <w:vMerge w:val="continue"/>
                  <w:tcBorders>
                    <w:right w:val="nil"/>
                  </w:tcBorders>
                  <w:vAlign w:val="center"/>
                </w:tcPr>
                <w:p w14:paraId="6421215C">
                  <w:pPr>
                    <w:jc w:val="center"/>
                    <w:rPr>
                      <w:color w:val="auto"/>
                      <w:szCs w:val="21"/>
                    </w:rPr>
                  </w:pPr>
                </w:p>
              </w:tc>
            </w:tr>
            <w:tr w14:paraId="33E1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tcBorders>
                    <w:left w:val="nil"/>
                    <w:bottom w:val="single" w:color="auto" w:sz="12" w:space="0"/>
                  </w:tcBorders>
                  <w:shd w:val="clear" w:color="auto" w:fill="auto"/>
                  <w:vAlign w:val="center"/>
                </w:tcPr>
                <w:p w14:paraId="52D1BDE4">
                  <w:pPr>
                    <w:jc w:val="center"/>
                    <w:rPr>
                      <w:color w:val="auto"/>
                      <w:szCs w:val="21"/>
                    </w:rPr>
                  </w:pPr>
                </w:p>
              </w:tc>
              <w:tc>
                <w:tcPr>
                  <w:tcW w:w="527" w:type="pct"/>
                  <w:vMerge w:val="continue"/>
                  <w:tcBorders>
                    <w:bottom w:val="single" w:color="auto" w:sz="12" w:space="0"/>
                  </w:tcBorders>
                  <w:shd w:val="clear" w:color="auto" w:fill="auto"/>
                  <w:vAlign w:val="center"/>
                </w:tcPr>
                <w:p w14:paraId="3CD3CA0B">
                  <w:pPr>
                    <w:jc w:val="center"/>
                    <w:rPr>
                      <w:color w:val="auto"/>
                      <w:szCs w:val="21"/>
                    </w:rPr>
                  </w:pPr>
                </w:p>
              </w:tc>
              <w:tc>
                <w:tcPr>
                  <w:tcW w:w="619" w:type="pct"/>
                  <w:vMerge w:val="continue"/>
                  <w:tcBorders>
                    <w:bottom w:val="single" w:color="auto" w:sz="12" w:space="0"/>
                  </w:tcBorders>
                  <w:shd w:val="clear" w:color="auto" w:fill="auto"/>
                  <w:vAlign w:val="center"/>
                </w:tcPr>
                <w:p w14:paraId="2ED3A9B6">
                  <w:pPr>
                    <w:jc w:val="center"/>
                    <w:rPr>
                      <w:color w:val="auto"/>
                      <w:szCs w:val="21"/>
                    </w:rPr>
                  </w:pPr>
                </w:p>
              </w:tc>
              <w:tc>
                <w:tcPr>
                  <w:tcW w:w="794" w:type="pct"/>
                  <w:tcBorders>
                    <w:bottom w:val="single" w:color="auto" w:sz="12" w:space="0"/>
                  </w:tcBorders>
                  <w:shd w:val="clear" w:color="auto" w:fill="auto"/>
                  <w:vAlign w:val="center"/>
                </w:tcPr>
                <w:p w14:paraId="10CC9B2B">
                  <w:pPr>
                    <w:jc w:val="center"/>
                    <w:rPr>
                      <w:color w:val="auto"/>
                      <w:szCs w:val="21"/>
                    </w:rPr>
                  </w:pPr>
                  <w:r>
                    <w:rPr>
                      <w:rFonts w:hint="eastAsia"/>
                      <w:color w:val="auto"/>
                      <w:szCs w:val="21"/>
                    </w:rPr>
                    <w:t>L</w:t>
                  </w:r>
                  <w:r>
                    <w:rPr>
                      <w:color w:val="auto"/>
                      <w:szCs w:val="21"/>
                    </w:rPr>
                    <w:t>AS</w:t>
                  </w:r>
                </w:p>
              </w:tc>
              <w:tc>
                <w:tcPr>
                  <w:tcW w:w="713" w:type="pct"/>
                  <w:tcBorders>
                    <w:bottom w:val="single" w:color="auto" w:sz="12" w:space="0"/>
                  </w:tcBorders>
                  <w:shd w:val="clear" w:color="auto" w:fill="auto"/>
                  <w:vAlign w:val="center"/>
                </w:tcPr>
                <w:p w14:paraId="4B5AD70B">
                  <w:pPr>
                    <w:jc w:val="center"/>
                    <w:rPr>
                      <w:color w:val="auto"/>
                      <w:szCs w:val="21"/>
                    </w:rPr>
                  </w:pPr>
                  <w:r>
                    <w:rPr>
                      <w:rFonts w:hint="eastAsia"/>
                      <w:color w:val="auto"/>
                      <w:szCs w:val="21"/>
                    </w:rPr>
                    <w:t>2</w:t>
                  </w:r>
                  <w:r>
                    <w:rPr>
                      <w:color w:val="auto"/>
                      <w:szCs w:val="21"/>
                    </w:rPr>
                    <w:t>00</w:t>
                  </w:r>
                </w:p>
              </w:tc>
              <w:tc>
                <w:tcPr>
                  <w:tcW w:w="706" w:type="pct"/>
                  <w:tcBorders>
                    <w:bottom w:val="single" w:color="auto" w:sz="12" w:space="0"/>
                  </w:tcBorders>
                  <w:shd w:val="clear" w:color="auto" w:fill="auto"/>
                  <w:vAlign w:val="center"/>
                </w:tcPr>
                <w:p w14:paraId="1F775636">
                  <w:pPr>
                    <w:keepNext w:val="0"/>
                    <w:keepLines w:val="0"/>
                    <w:widowControl/>
                    <w:suppressLineNumbers w:val="0"/>
                    <w:jc w:val="center"/>
                    <w:textAlignment w:val="center"/>
                    <w:rPr>
                      <w:rFonts w:hint="default" w:eastAsia="宋体"/>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0.0384</w:t>
                  </w:r>
                </w:p>
              </w:tc>
              <w:tc>
                <w:tcPr>
                  <w:tcW w:w="909" w:type="pct"/>
                  <w:vMerge w:val="continue"/>
                  <w:tcBorders>
                    <w:bottom w:val="single" w:color="auto" w:sz="12" w:space="0"/>
                    <w:right w:val="nil"/>
                  </w:tcBorders>
                  <w:vAlign w:val="center"/>
                </w:tcPr>
                <w:p w14:paraId="1C3A1787">
                  <w:pPr>
                    <w:jc w:val="center"/>
                    <w:rPr>
                      <w:color w:val="auto"/>
                      <w:szCs w:val="21"/>
                    </w:rPr>
                  </w:pPr>
                </w:p>
              </w:tc>
            </w:tr>
          </w:tbl>
          <w:p w14:paraId="3E81BEB4">
            <w:pPr>
              <w:spacing w:line="360" w:lineRule="auto"/>
              <w:ind w:firstLine="480" w:firstLineChars="200"/>
              <w:rPr>
                <w:color w:val="auto"/>
                <w:sz w:val="24"/>
              </w:rPr>
            </w:pPr>
            <w:r>
              <w:rPr>
                <w:color w:val="auto"/>
                <w:sz w:val="24"/>
              </w:rPr>
              <w:t>（2）生产废水</w:t>
            </w:r>
          </w:p>
          <w:p w14:paraId="14026384">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A.工序废水：</w:t>
            </w:r>
            <w:r>
              <w:rPr>
                <w:color w:val="auto"/>
                <w:sz w:val="24"/>
              </w:rPr>
              <w:t>本项目</w:t>
            </w:r>
            <w:r>
              <w:rPr>
                <w:rFonts w:hint="eastAsia"/>
                <w:color w:val="auto"/>
                <w:sz w:val="24"/>
                <w:lang w:eastAsia="zh-CN"/>
              </w:rPr>
              <w:t>调味鱼皮、调味裙带菜</w:t>
            </w:r>
            <w:r>
              <w:rPr>
                <w:rFonts w:hint="eastAsia"/>
                <w:color w:val="auto"/>
                <w:sz w:val="24"/>
                <w:lang w:val="en-US" w:eastAsia="zh-CN"/>
              </w:rPr>
              <w:t>等工序产生</w:t>
            </w:r>
            <w:r>
              <w:rPr>
                <w:color w:val="auto"/>
                <w:sz w:val="24"/>
              </w:rPr>
              <w:t>的废水经污水处理站处置达标后接管至涟水经济开发区西区污水处理厂集中处置，尾水排放至公兴河。</w:t>
            </w:r>
            <w:r>
              <w:rPr>
                <w:color w:val="auto"/>
                <w:kern w:val="0"/>
                <w:sz w:val="24"/>
              </w:rPr>
              <w:t>类比同类项目《重庆市渝味漂香食品有限公司渝味漂香预制菜及休闲食品加工项目》竣工环境保护验收报告（202</w:t>
            </w:r>
            <w:r>
              <w:rPr>
                <w:rFonts w:hint="eastAsia"/>
                <w:color w:val="auto"/>
                <w:kern w:val="0"/>
                <w:sz w:val="24"/>
                <w:lang w:val="en-US" w:eastAsia="zh-CN"/>
              </w:rPr>
              <w:t>3</w:t>
            </w:r>
            <w:r>
              <w:rPr>
                <w:color w:val="auto"/>
                <w:kern w:val="0"/>
                <w:sz w:val="24"/>
              </w:rPr>
              <w:t>年</w:t>
            </w:r>
            <w:r>
              <w:rPr>
                <w:rFonts w:hint="eastAsia"/>
                <w:color w:val="auto"/>
                <w:kern w:val="0"/>
                <w:sz w:val="24"/>
              </w:rPr>
              <w:t>10</w:t>
            </w:r>
            <w:r>
              <w:rPr>
                <w:color w:val="auto"/>
                <w:kern w:val="0"/>
                <w:sz w:val="24"/>
              </w:rPr>
              <w:t>月），重庆市渝味</w:t>
            </w:r>
            <w:r>
              <w:rPr>
                <w:rFonts w:hint="eastAsia"/>
                <w:color w:val="auto"/>
                <w:kern w:val="0"/>
                <w:sz w:val="24"/>
                <w:lang w:eastAsia="zh-CN"/>
              </w:rPr>
              <w:t>飘香</w:t>
            </w:r>
            <w:r>
              <w:rPr>
                <w:color w:val="auto"/>
                <w:kern w:val="0"/>
                <w:sz w:val="24"/>
              </w:rPr>
              <w:t>食品有限公司用水主要包括</w:t>
            </w:r>
            <w:r>
              <w:rPr>
                <w:rFonts w:hint="eastAsia"/>
                <w:color w:val="auto"/>
                <w:sz w:val="24"/>
                <w:szCs w:val="32"/>
              </w:rPr>
              <w:t>解冻废水、</w:t>
            </w:r>
            <w:r>
              <w:rPr>
                <w:rFonts w:hint="eastAsia"/>
                <w:color w:val="auto"/>
                <w:sz w:val="24"/>
                <w:szCs w:val="32"/>
                <w:lang w:eastAsia="zh-CN"/>
              </w:rPr>
              <w:t>清洗废水、</w:t>
            </w:r>
            <w:r>
              <w:rPr>
                <w:rFonts w:hint="eastAsia"/>
                <w:color w:val="auto"/>
                <w:sz w:val="24"/>
                <w:szCs w:val="32"/>
              </w:rPr>
              <w:t>设备清洗废水、地面清洗废水</w:t>
            </w:r>
            <w:r>
              <w:rPr>
                <w:rFonts w:hint="eastAsia"/>
                <w:color w:val="auto"/>
                <w:sz w:val="24"/>
                <w:szCs w:val="32"/>
                <w:lang w:eastAsia="zh-CN"/>
              </w:rPr>
              <w:t>、</w:t>
            </w:r>
            <w:r>
              <w:rPr>
                <w:rFonts w:hint="eastAsia"/>
                <w:bCs/>
                <w:color w:val="auto"/>
                <w:sz w:val="24"/>
                <w:lang w:val="en-US" w:eastAsia="zh-CN"/>
              </w:rPr>
              <w:t>纯水制备废水</w:t>
            </w:r>
            <w:r>
              <w:rPr>
                <w:rFonts w:hint="eastAsia"/>
                <w:color w:val="auto"/>
                <w:sz w:val="24"/>
                <w:szCs w:val="32"/>
              </w:rPr>
              <w:t>等</w:t>
            </w:r>
            <w:r>
              <w:rPr>
                <w:color w:val="auto"/>
                <w:kern w:val="0"/>
                <w:sz w:val="24"/>
              </w:rPr>
              <w:t>，生产工艺主要为原辅料</w:t>
            </w:r>
            <w:r>
              <w:rPr>
                <w:rFonts w:hint="eastAsia"/>
                <w:color w:val="auto"/>
                <w:kern w:val="0"/>
                <w:sz w:val="24"/>
              </w:rPr>
              <w:t>解冻、</w:t>
            </w:r>
            <w:r>
              <w:rPr>
                <w:color w:val="auto"/>
                <w:kern w:val="0"/>
                <w:sz w:val="24"/>
              </w:rPr>
              <w:t>清洗</w:t>
            </w:r>
            <w:r>
              <w:rPr>
                <w:rFonts w:hint="eastAsia"/>
                <w:color w:val="auto"/>
                <w:kern w:val="0"/>
                <w:sz w:val="24"/>
              </w:rPr>
              <w:t>、</w:t>
            </w:r>
            <w:r>
              <w:rPr>
                <w:color w:val="auto"/>
                <w:kern w:val="0"/>
                <w:sz w:val="24"/>
              </w:rPr>
              <w:t>速冻</w:t>
            </w:r>
            <w:r>
              <w:rPr>
                <w:rFonts w:hint="eastAsia"/>
                <w:color w:val="auto"/>
                <w:kern w:val="0"/>
                <w:sz w:val="24"/>
              </w:rPr>
              <w:t>等</w:t>
            </w:r>
            <w:r>
              <w:rPr>
                <w:color w:val="auto"/>
                <w:kern w:val="0"/>
                <w:sz w:val="24"/>
              </w:rPr>
              <w:t>，本项目原辅料使用及生产工艺与重庆市渝味漂香食品有限公司基本相似，具有可类比性，</w:t>
            </w:r>
            <w:r>
              <w:rPr>
                <w:rFonts w:hint="eastAsia"/>
                <w:color w:val="auto"/>
                <w:kern w:val="0"/>
                <w:sz w:val="24"/>
              </w:rPr>
              <w:t>根据验收报告，平均</w:t>
            </w:r>
            <w:r>
              <w:rPr>
                <w:color w:val="auto"/>
                <w:kern w:val="0"/>
                <w:sz w:val="24"/>
              </w:rPr>
              <w:t>水质指标为：</w:t>
            </w:r>
            <w:r>
              <w:rPr>
                <w:rFonts w:hint="eastAsia"/>
                <w:color w:val="auto"/>
                <w:kern w:val="0"/>
                <w:sz w:val="24"/>
              </w:rPr>
              <w:t>pH：6.5~6.8、</w:t>
            </w:r>
            <w:r>
              <w:rPr>
                <w:color w:val="auto"/>
                <w:kern w:val="0"/>
                <w:sz w:val="24"/>
              </w:rPr>
              <w:t>COD：</w:t>
            </w:r>
            <w:r>
              <w:rPr>
                <w:rFonts w:hint="eastAsia"/>
                <w:color w:val="auto"/>
                <w:kern w:val="0"/>
                <w:sz w:val="24"/>
              </w:rPr>
              <w:t>8</w:t>
            </w:r>
            <w:r>
              <w:rPr>
                <w:rFonts w:hint="eastAsia"/>
                <w:color w:val="auto"/>
                <w:kern w:val="0"/>
                <w:sz w:val="24"/>
                <w:lang w:val="en-US" w:eastAsia="zh-CN"/>
              </w:rPr>
              <w:t>6</w:t>
            </w:r>
            <w:r>
              <w:rPr>
                <w:rFonts w:hint="eastAsia"/>
                <w:color w:val="auto"/>
                <w:kern w:val="0"/>
                <w:sz w:val="24"/>
              </w:rPr>
              <w:t>8</w:t>
            </w:r>
            <w:r>
              <w:rPr>
                <w:color w:val="auto"/>
                <w:sz w:val="24"/>
              </w:rPr>
              <w:t>mg/L、</w:t>
            </w:r>
            <w:r>
              <w:rPr>
                <w:rFonts w:hint="eastAsia"/>
                <w:color w:val="auto"/>
                <w:sz w:val="24"/>
              </w:rPr>
              <w:t>BOD</w:t>
            </w:r>
            <w:r>
              <w:rPr>
                <w:rFonts w:hint="eastAsia"/>
                <w:color w:val="auto"/>
                <w:sz w:val="24"/>
                <w:vertAlign w:val="subscript"/>
              </w:rPr>
              <w:t>5</w:t>
            </w:r>
            <w:r>
              <w:rPr>
                <w:rFonts w:hint="eastAsia"/>
                <w:color w:val="auto"/>
                <w:sz w:val="24"/>
                <w:vertAlign w:val="subscript"/>
                <w:lang w:eastAsia="zh-CN"/>
              </w:rPr>
              <w:t>:</w:t>
            </w:r>
            <w:r>
              <w:rPr>
                <w:rFonts w:hint="eastAsia"/>
                <w:color w:val="auto"/>
                <w:kern w:val="0"/>
                <w:sz w:val="24"/>
              </w:rPr>
              <w:t>391</w:t>
            </w:r>
            <w:r>
              <w:rPr>
                <w:color w:val="auto"/>
                <w:sz w:val="24"/>
              </w:rPr>
              <w:t>mg/L、SS</w:t>
            </w:r>
            <w:r>
              <w:rPr>
                <w:color w:val="auto"/>
                <w:kern w:val="0"/>
                <w:sz w:val="24"/>
              </w:rPr>
              <w:t>：</w:t>
            </w:r>
            <w:r>
              <w:rPr>
                <w:rFonts w:hint="eastAsia"/>
                <w:color w:val="auto"/>
                <w:kern w:val="0"/>
                <w:sz w:val="24"/>
              </w:rPr>
              <w:t>164</w:t>
            </w:r>
            <w:r>
              <w:rPr>
                <w:color w:val="auto"/>
                <w:sz w:val="24"/>
              </w:rPr>
              <w:t>mg/L、氨氮：</w:t>
            </w:r>
            <w:r>
              <w:rPr>
                <w:rFonts w:hint="eastAsia"/>
                <w:color w:val="auto"/>
                <w:sz w:val="24"/>
                <w:lang w:val="en-US" w:eastAsia="zh-CN"/>
              </w:rPr>
              <w:t>55.2</w:t>
            </w:r>
            <w:r>
              <w:rPr>
                <w:color w:val="auto"/>
                <w:sz w:val="24"/>
              </w:rPr>
              <w:t>mg/L、总磷：</w:t>
            </w:r>
            <w:r>
              <w:rPr>
                <w:rFonts w:hint="eastAsia"/>
                <w:color w:val="auto"/>
                <w:sz w:val="24"/>
                <w:lang w:val="en-US" w:eastAsia="zh-CN"/>
              </w:rPr>
              <w:t>14.3</w:t>
            </w:r>
            <w:r>
              <w:rPr>
                <w:color w:val="auto"/>
                <w:sz w:val="24"/>
              </w:rPr>
              <w:t>mg/L、总氮：</w:t>
            </w:r>
            <w:r>
              <w:rPr>
                <w:rFonts w:hint="eastAsia"/>
                <w:color w:val="auto"/>
                <w:lang w:val="en-US" w:eastAsia="zh-CN"/>
              </w:rPr>
              <w:t>108.4</w:t>
            </w:r>
            <w:r>
              <w:rPr>
                <w:color w:val="auto"/>
                <w:sz w:val="24"/>
              </w:rPr>
              <w:t>mg/L</w:t>
            </w:r>
            <w:r>
              <w:rPr>
                <w:rFonts w:hint="eastAsia"/>
                <w:color w:val="auto"/>
                <w:sz w:val="24"/>
              </w:rPr>
              <w:t>、</w:t>
            </w:r>
            <w:r>
              <w:rPr>
                <w:color w:val="auto"/>
                <w:sz w:val="24"/>
              </w:rPr>
              <w:t>动植物油：</w:t>
            </w:r>
            <w:r>
              <w:rPr>
                <w:rFonts w:hint="eastAsia"/>
                <w:color w:val="auto"/>
                <w:sz w:val="24"/>
                <w:lang w:val="en-US" w:eastAsia="zh-CN"/>
              </w:rPr>
              <w:t>5</w:t>
            </w:r>
            <w:r>
              <w:rPr>
                <w:rFonts w:hint="eastAsia"/>
                <w:color w:val="auto"/>
                <w:sz w:val="24"/>
              </w:rPr>
              <w:t>.79</w:t>
            </w:r>
            <w:r>
              <w:rPr>
                <w:color w:val="auto"/>
                <w:sz w:val="24"/>
              </w:rPr>
              <w:t>mg/L</w:t>
            </w:r>
            <w:r>
              <w:rPr>
                <w:rFonts w:hint="eastAsia"/>
                <w:color w:val="auto"/>
                <w:sz w:val="24"/>
                <w:lang w:eastAsia="zh-CN"/>
              </w:rPr>
              <w:t>、全盐量</w:t>
            </w:r>
            <w:r>
              <w:rPr>
                <w:rFonts w:hint="eastAsia"/>
                <w:color w:val="auto"/>
                <w:sz w:val="24"/>
                <w:lang w:val="en-US" w:eastAsia="zh-CN"/>
              </w:rPr>
              <w:t>40</w:t>
            </w:r>
            <w:r>
              <w:rPr>
                <w:color w:val="auto"/>
                <w:sz w:val="24"/>
              </w:rPr>
              <w:t>mg/L。</w:t>
            </w:r>
          </w:p>
          <w:p w14:paraId="7BFE6F4F">
            <w:pPr>
              <w:widowControl/>
              <w:adjustRightInd w:val="0"/>
              <w:snapToGrid w:val="0"/>
              <w:jc w:val="center"/>
              <w:rPr>
                <w:b/>
                <w:snapToGrid w:val="0"/>
                <w:color w:val="auto"/>
                <w:kern w:val="0"/>
                <w:sz w:val="24"/>
              </w:rPr>
            </w:pPr>
            <w:r>
              <w:rPr>
                <w:b/>
                <w:snapToGrid w:val="0"/>
                <w:color w:val="auto"/>
                <w:kern w:val="0"/>
                <w:sz w:val="24"/>
              </w:rPr>
              <w:t>表4</w:t>
            </w:r>
            <w:r>
              <w:rPr>
                <w:rFonts w:hint="eastAsia"/>
                <w:b/>
                <w:snapToGrid w:val="0"/>
                <w:color w:val="auto"/>
                <w:kern w:val="0"/>
                <w:sz w:val="24"/>
                <w:lang w:val="en-US" w:eastAsia="zh-CN"/>
              </w:rPr>
              <w:t>-7</w:t>
            </w:r>
            <w:r>
              <w:rPr>
                <w:b/>
                <w:snapToGrid w:val="0"/>
                <w:color w:val="auto"/>
                <w:kern w:val="0"/>
                <w:sz w:val="24"/>
              </w:rPr>
              <w:t xml:space="preserve">  建设项目废水污染源源强核算结果及相关参数一览表</w:t>
            </w:r>
          </w:p>
          <w:tbl>
            <w:tblPr>
              <w:tblStyle w:val="3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47"/>
              <w:gridCol w:w="774"/>
              <w:gridCol w:w="660"/>
              <w:gridCol w:w="408"/>
              <w:gridCol w:w="769"/>
              <w:gridCol w:w="749"/>
              <w:gridCol w:w="708"/>
              <w:gridCol w:w="721"/>
              <w:gridCol w:w="636"/>
              <w:gridCol w:w="634"/>
              <w:gridCol w:w="831"/>
              <w:gridCol w:w="648"/>
              <w:gridCol w:w="538"/>
            </w:tblGrid>
            <w:tr w14:paraId="4A426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restart"/>
                  <w:shd w:val="clear" w:color="auto" w:fill="auto"/>
                  <w:vAlign w:val="center"/>
                </w:tcPr>
                <w:p w14:paraId="730E8BA6">
                  <w:pPr>
                    <w:widowControl/>
                    <w:jc w:val="center"/>
                    <w:rPr>
                      <w:b/>
                      <w:bCs/>
                      <w:color w:val="auto"/>
                      <w:kern w:val="0"/>
                      <w:sz w:val="18"/>
                      <w:szCs w:val="18"/>
                    </w:rPr>
                  </w:pPr>
                  <w:bookmarkStart w:id="35" w:name="_Hlk105488201"/>
                  <w:bookmarkStart w:id="36" w:name="_Hlk105400034"/>
                  <w:r>
                    <w:rPr>
                      <w:b/>
                      <w:bCs/>
                      <w:color w:val="auto"/>
                      <w:kern w:val="0"/>
                      <w:sz w:val="18"/>
                      <w:szCs w:val="18"/>
                    </w:rPr>
                    <w:t>工序/生产线</w:t>
                  </w:r>
                </w:p>
              </w:tc>
              <w:tc>
                <w:tcPr>
                  <w:tcW w:w="454" w:type="pct"/>
                  <w:vMerge w:val="restart"/>
                  <w:shd w:val="clear" w:color="auto" w:fill="auto"/>
                  <w:vAlign w:val="center"/>
                </w:tcPr>
                <w:p w14:paraId="5F17CF59">
                  <w:pPr>
                    <w:widowControl/>
                    <w:jc w:val="center"/>
                    <w:rPr>
                      <w:b/>
                      <w:bCs/>
                      <w:color w:val="auto"/>
                      <w:kern w:val="0"/>
                      <w:sz w:val="18"/>
                      <w:szCs w:val="18"/>
                    </w:rPr>
                  </w:pPr>
                  <w:r>
                    <w:rPr>
                      <w:b/>
                      <w:bCs/>
                      <w:color w:val="auto"/>
                      <w:kern w:val="0"/>
                      <w:sz w:val="18"/>
                      <w:szCs w:val="18"/>
                    </w:rPr>
                    <w:t>污染源</w:t>
                  </w:r>
                </w:p>
              </w:tc>
              <w:tc>
                <w:tcPr>
                  <w:tcW w:w="387" w:type="pct"/>
                  <w:vMerge w:val="restart"/>
                  <w:shd w:val="clear" w:color="auto" w:fill="auto"/>
                  <w:vAlign w:val="center"/>
                </w:tcPr>
                <w:p w14:paraId="5328572B">
                  <w:pPr>
                    <w:widowControl/>
                    <w:jc w:val="center"/>
                    <w:rPr>
                      <w:b/>
                      <w:bCs/>
                      <w:color w:val="auto"/>
                      <w:kern w:val="0"/>
                      <w:sz w:val="18"/>
                      <w:szCs w:val="18"/>
                    </w:rPr>
                  </w:pPr>
                  <w:r>
                    <w:rPr>
                      <w:b/>
                      <w:bCs/>
                      <w:color w:val="auto"/>
                      <w:kern w:val="0"/>
                      <w:sz w:val="18"/>
                      <w:szCs w:val="18"/>
                    </w:rPr>
                    <w:t>污染物</w:t>
                  </w:r>
                </w:p>
              </w:tc>
              <w:tc>
                <w:tcPr>
                  <w:tcW w:w="1544" w:type="pct"/>
                  <w:gridSpan w:val="4"/>
                  <w:shd w:val="clear" w:color="auto" w:fill="auto"/>
                  <w:vAlign w:val="center"/>
                </w:tcPr>
                <w:p w14:paraId="3CA4BF61">
                  <w:pPr>
                    <w:widowControl/>
                    <w:jc w:val="center"/>
                    <w:rPr>
                      <w:b/>
                      <w:bCs/>
                      <w:color w:val="auto"/>
                      <w:kern w:val="0"/>
                      <w:sz w:val="18"/>
                      <w:szCs w:val="18"/>
                    </w:rPr>
                  </w:pPr>
                  <w:r>
                    <w:rPr>
                      <w:b/>
                      <w:bCs/>
                      <w:color w:val="auto"/>
                      <w:kern w:val="0"/>
                      <w:sz w:val="18"/>
                      <w:szCs w:val="18"/>
                    </w:rPr>
                    <w:t>污染物产生</w:t>
                  </w:r>
                </w:p>
              </w:tc>
              <w:tc>
                <w:tcPr>
                  <w:tcW w:w="796" w:type="pct"/>
                  <w:gridSpan w:val="2"/>
                  <w:shd w:val="clear" w:color="auto" w:fill="auto"/>
                  <w:vAlign w:val="center"/>
                </w:tcPr>
                <w:p w14:paraId="76362E09">
                  <w:pPr>
                    <w:widowControl/>
                    <w:jc w:val="center"/>
                    <w:rPr>
                      <w:b/>
                      <w:bCs/>
                      <w:color w:val="auto"/>
                      <w:kern w:val="0"/>
                      <w:sz w:val="18"/>
                      <w:szCs w:val="18"/>
                    </w:rPr>
                  </w:pPr>
                  <w:r>
                    <w:rPr>
                      <w:b/>
                      <w:bCs/>
                      <w:color w:val="auto"/>
                      <w:kern w:val="0"/>
                      <w:sz w:val="18"/>
                      <w:szCs w:val="18"/>
                    </w:rPr>
                    <w:t>治理措施</w:t>
                  </w:r>
                </w:p>
              </w:tc>
              <w:tc>
                <w:tcPr>
                  <w:tcW w:w="1239" w:type="pct"/>
                  <w:gridSpan w:val="3"/>
                  <w:shd w:val="clear" w:color="auto" w:fill="auto"/>
                  <w:vAlign w:val="center"/>
                </w:tcPr>
                <w:p w14:paraId="1E5AF2F6">
                  <w:pPr>
                    <w:widowControl/>
                    <w:jc w:val="center"/>
                    <w:rPr>
                      <w:b/>
                      <w:bCs/>
                      <w:color w:val="auto"/>
                      <w:kern w:val="0"/>
                      <w:sz w:val="18"/>
                      <w:szCs w:val="18"/>
                    </w:rPr>
                  </w:pPr>
                  <w:r>
                    <w:rPr>
                      <w:b/>
                      <w:bCs/>
                      <w:color w:val="auto"/>
                      <w:kern w:val="0"/>
                      <w:sz w:val="18"/>
                      <w:szCs w:val="18"/>
                    </w:rPr>
                    <w:t>污染物排放</w:t>
                  </w:r>
                </w:p>
              </w:tc>
              <w:tc>
                <w:tcPr>
                  <w:tcW w:w="315" w:type="pct"/>
                  <w:vMerge w:val="restart"/>
                  <w:shd w:val="clear" w:color="auto" w:fill="auto"/>
                  <w:vAlign w:val="center"/>
                </w:tcPr>
                <w:p w14:paraId="2F96BF70">
                  <w:pPr>
                    <w:widowControl/>
                    <w:jc w:val="center"/>
                    <w:rPr>
                      <w:b/>
                      <w:bCs/>
                      <w:color w:val="auto"/>
                      <w:kern w:val="0"/>
                      <w:sz w:val="18"/>
                      <w:szCs w:val="18"/>
                    </w:rPr>
                  </w:pPr>
                  <w:r>
                    <w:rPr>
                      <w:b/>
                      <w:bCs/>
                      <w:color w:val="auto"/>
                      <w:kern w:val="0"/>
                      <w:sz w:val="18"/>
                      <w:szCs w:val="18"/>
                    </w:rPr>
                    <w:t>年排放时间（h）</w:t>
                  </w:r>
                </w:p>
              </w:tc>
            </w:tr>
            <w:tr w14:paraId="328B3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vAlign w:val="center"/>
                </w:tcPr>
                <w:p w14:paraId="32909713">
                  <w:pPr>
                    <w:widowControl/>
                    <w:jc w:val="center"/>
                    <w:rPr>
                      <w:b/>
                      <w:bCs/>
                      <w:color w:val="auto"/>
                      <w:kern w:val="0"/>
                      <w:sz w:val="18"/>
                      <w:szCs w:val="18"/>
                    </w:rPr>
                  </w:pPr>
                </w:p>
              </w:tc>
              <w:tc>
                <w:tcPr>
                  <w:tcW w:w="454" w:type="pct"/>
                  <w:vMerge w:val="continue"/>
                  <w:vAlign w:val="center"/>
                </w:tcPr>
                <w:p w14:paraId="0B3EAE4A">
                  <w:pPr>
                    <w:widowControl/>
                    <w:jc w:val="center"/>
                    <w:rPr>
                      <w:b/>
                      <w:bCs/>
                      <w:color w:val="auto"/>
                      <w:kern w:val="0"/>
                      <w:sz w:val="18"/>
                      <w:szCs w:val="18"/>
                    </w:rPr>
                  </w:pPr>
                </w:p>
              </w:tc>
              <w:tc>
                <w:tcPr>
                  <w:tcW w:w="387" w:type="pct"/>
                  <w:vMerge w:val="continue"/>
                  <w:vAlign w:val="center"/>
                </w:tcPr>
                <w:p w14:paraId="207A10DB">
                  <w:pPr>
                    <w:widowControl/>
                    <w:jc w:val="center"/>
                    <w:rPr>
                      <w:b/>
                      <w:bCs/>
                      <w:color w:val="auto"/>
                      <w:kern w:val="0"/>
                      <w:sz w:val="18"/>
                      <w:szCs w:val="18"/>
                    </w:rPr>
                  </w:pPr>
                </w:p>
              </w:tc>
              <w:tc>
                <w:tcPr>
                  <w:tcW w:w="239" w:type="pct"/>
                  <w:shd w:val="clear" w:color="auto" w:fill="auto"/>
                  <w:vAlign w:val="center"/>
                </w:tcPr>
                <w:p w14:paraId="3F94ABEA">
                  <w:pPr>
                    <w:widowControl/>
                    <w:jc w:val="center"/>
                    <w:rPr>
                      <w:b/>
                      <w:bCs/>
                      <w:color w:val="auto"/>
                      <w:kern w:val="0"/>
                      <w:sz w:val="18"/>
                      <w:szCs w:val="18"/>
                    </w:rPr>
                  </w:pPr>
                  <w:r>
                    <w:rPr>
                      <w:b/>
                      <w:bCs/>
                      <w:color w:val="auto"/>
                      <w:kern w:val="0"/>
                      <w:sz w:val="18"/>
                      <w:szCs w:val="18"/>
                    </w:rPr>
                    <w:t>核算方法</w:t>
                  </w:r>
                </w:p>
              </w:tc>
              <w:tc>
                <w:tcPr>
                  <w:tcW w:w="451" w:type="pct"/>
                  <w:shd w:val="clear" w:color="auto" w:fill="auto"/>
                  <w:vAlign w:val="center"/>
                </w:tcPr>
                <w:p w14:paraId="4FA9C65C">
                  <w:pPr>
                    <w:widowControl/>
                    <w:jc w:val="center"/>
                    <w:rPr>
                      <w:b/>
                      <w:bCs/>
                      <w:color w:val="auto"/>
                      <w:kern w:val="0"/>
                      <w:sz w:val="18"/>
                      <w:szCs w:val="18"/>
                    </w:rPr>
                  </w:pPr>
                  <w:r>
                    <w:rPr>
                      <w:b/>
                      <w:bCs/>
                      <w:color w:val="auto"/>
                      <w:kern w:val="0"/>
                      <w:sz w:val="18"/>
                      <w:szCs w:val="18"/>
                    </w:rPr>
                    <w:t>产生量（m</w:t>
                  </w:r>
                  <w:r>
                    <w:rPr>
                      <w:b/>
                      <w:bCs/>
                      <w:color w:val="auto"/>
                      <w:kern w:val="0"/>
                      <w:sz w:val="18"/>
                      <w:szCs w:val="18"/>
                      <w:vertAlign w:val="superscript"/>
                    </w:rPr>
                    <w:t>3</w:t>
                  </w:r>
                  <w:r>
                    <w:rPr>
                      <w:b/>
                      <w:bCs/>
                      <w:color w:val="auto"/>
                      <w:kern w:val="0"/>
                      <w:sz w:val="18"/>
                      <w:szCs w:val="18"/>
                    </w:rPr>
                    <w:t>/a）</w:t>
                  </w:r>
                </w:p>
              </w:tc>
              <w:tc>
                <w:tcPr>
                  <w:tcW w:w="439" w:type="pct"/>
                  <w:shd w:val="clear" w:color="auto" w:fill="auto"/>
                  <w:vAlign w:val="center"/>
                </w:tcPr>
                <w:p w14:paraId="42FF8B03">
                  <w:pPr>
                    <w:widowControl/>
                    <w:jc w:val="center"/>
                    <w:rPr>
                      <w:b/>
                      <w:bCs/>
                      <w:color w:val="auto"/>
                      <w:kern w:val="0"/>
                      <w:sz w:val="18"/>
                      <w:szCs w:val="18"/>
                    </w:rPr>
                  </w:pPr>
                  <w:r>
                    <w:rPr>
                      <w:b/>
                      <w:bCs/>
                      <w:color w:val="auto"/>
                      <w:kern w:val="0"/>
                      <w:sz w:val="18"/>
                      <w:szCs w:val="18"/>
                    </w:rPr>
                    <w:t>产生浓度（mg/L）</w:t>
                  </w:r>
                </w:p>
              </w:tc>
              <w:tc>
                <w:tcPr>
                  <w:tcW w:w="414" w:type="pct"/>
                  <w:shd w:val="clear" w:color="auto" w:fill="auto"/>
                  <w:vAlign w:val="center"/>
                </w:tcPr>
                <w:p w14:paraId="3139B3C0">
                  <w:pPr>
                    <w:widowControl/>
                    <w:jc w:val="center"/>
                    <w:rPr>
                      <w:b/>
                      <w:bCs/>
                      <w:color w:val="auto"/>
                      <w:kern w:val="0"/>
                      <w:sz w:val="18"/>
                      <w:szCs w:val="18"/>
                    </w:rPr>
                  </w:pPr>
                  <w:r>
                    <w:rPr>
                      <w:b/>
                      <w:bCs/>
                      <w:color w:val="auto"/>
                      <w:kern w:val="0"/>
                      <w:sz w:val="18"/>
                      <w:szCs w:val="18"/>
                    </w:rPr>
                    <w:t>产生量（t/a）</w:t>
                  </w:r>
                </w:p>
              </w:tc>
              <w:tc>
                <w:tcPr>
                  <w:tcW w:w="423" w:type="pct"/>
                  <w:shd w:val="clear" w:color="auto" w:fill="auto"/>
                  <w:vAlign w:val="center"/>
                </w:tcPr>
                <w:p w14:paraId="654AFBF0">
                  <w:pPr>
                    <w:widowControl/>
                    <w:jc w:val="center"/>
                    <w:rPr>
                      <w:b/>
                      <w:bCs/>
                      <w:color w:val="auto"/>
                      <w:kern w:val="0"/>
                      <w:sz w:val="18"/>
                      <w:szCs w:val="18"/>
                    </w:rPr>
                  </w:pPr>
                  <w:r>
                    <w:rPr>
                      <w:b/>
                      <w:bCs/>
                      <w:color w:val="auto"/>
                      <w:kern w:val="0"/>
                      <w:sz w:val="18"/>
                      <w:szCs w:val="18"/>
                    </w:rPr>
                    <w:t>工艺</w:t>
                  </w:r>
                </w:p>
              </w:tc>
              <w:tc>
                <w:tcPr>
                  <w:tcW w:w="373" w:type="pct"/>
                  <w:shd w:val="clear" w:color="auto" w:fill="auto"/>
                  <w:vAlign w:val="center"/>
                </w:tcPr>
                <w:p w14:paraId="07D358EB">
                  <w:pPr>
                    <w:widowControl/>
                    <w:jc w:val="center"/>
                    <w:rPr>
                      <w:b/>
                      <w:bCs/>
                      <w:color w:val="auto"/>
                      <w:kern w:val="0"/>
                      <w:sz w:val="18"/>
                      <w:szCs w:val="18"/>
                    </w:rPr>
                  </w:pPr>
                  <w:r>
                    <w:rPr>
                      <w:b/>
                      <w:bCs/>
                      <w:color w:val="auto"/>
                      <w:kern w:val="0"/>
                      <w:sz w:val="18"/>
                      <w:szCs w:val="18"/>
                    </w:rPr>
                    <w:t>效率</w:t>
                  </w:r>
                </w:p>
              </w:tc>
              <w:tc>
                <w:tcPr>
                  <w:tcW w:w="372" w:type="pct"/>
                  <w:shd w:val="clear" w:color="auto" w:fill="auto"/>
                  <w:vAlign w:val="center"/>
                </w:tcPr>
                <w:p w14:paraId="5AFE8B11">
                  <w:pPr>
                    <w:widowControl/>
                    <w:jc w:val="center"/>
                    <w:rPr>
                      <w:b/>
                      <w:bCs/>
                      <w:color w:val="auto"/>
                      <w:kern w:val="0"/>
                      <w:sz w:val="18"/>
                      <w:szCs w:val="18"/>
                    </w:rPr>
                  </w:pPr>
                  <w:r>
                    <w:rPr>
                      <w:b/>
                      <w:bCs/>
                      <w:color w:val="auto"/>
                      <w:kern w:val="0"/>
                      <w:sz w:val="18"/>
                      <w:szCs w:val="18"/>
                    </w:rPr>
                    <w:t>排放量（m</w:t>
                  </w:r>
                  <w:r>
                    <w:rPr>
                      <w:b/>
                      <w:bCs/>
                      <w:color w:val="auto"/>
                      <w:kern w:val="0"/>
                      <w:sz w:val="18"/>
                      <w:szCs w:val="18"/>
                      <w:vertAlign w:val="superscript"/>
                    </w:rPr>
                    <w:t>3</w:t>
                  </w:r>
                  <w:r>
                    <w:rPr>
                      <w:b/>
                      <w:bCs/>
                      <w:color w:val="auto"/>
                      <w:kern w:val="0"/>
                      <w:sz w:val="18"/>
                      <w:szCs w:val="18"/>
                    </w:rPr>
                    <w:t>/a）</w:t>
                  </w:r>
                </w:p>
              </w:tc>
              <w:tc>
                <w:tcPr>
                  <w:tcW w:w="487" w:type="pct"/>
                  <w:shd w:val="clear" w:color="auto" w:fill="auto"/>
                  <w:vAlign w:val="center"/>
                </w:tcPr>
                <w:p w14:paraId="6E32EF2F">
                  <w:pPr>
                    <w:widowControl/>
                    <w:jc w:val="center"/>
                    <w:rPr>
                      <w:b/>
                      <w:bCs/>
                      <w:color w:val="auto"/>
                      <w:kern w:val="0"/>
                      <w:sz w:val="18"/>
                      <w:szCs w:val="18"/>
                    </w:rPr>
                  </w:pPr>
                  <w:r>
                    <w:rPr>
                      <w:b/>
                      <w:bCs/>
                      <w:color w:val="auto"/>
                      <w:kern w:val="0"/>
                      <w:sz w:val="18"/>
                      <w:szCs w:val="18"/>
                    </w:rPr>
                    <w:t>排放浓度（mg/L）</w:t>
                  </w:r>
                </w:p>
              </w:tc>
              <w:tc>
                <w:tcPr>
                  <w:tcW w:w="379" w:type="pct"/>
                  <w:shd w:val="clear" w:color="auto" w:fill="auto"/>
                  <w:vAlign w:val="center"/>
                </w:tcPr>
                <w:p w14:paraId="299DB01E">
                  <w:pPr>
                    <w:widowControl/>
                    <w:jc w:val="center"/>
                    <w:rPr>
                      <w:b/>
                      <w:bCs/>
                      <w:color w:val="auto"/>
                      <w:kern w:val="0"/>
                      <w:sz w:val="18"/>
                      <w:szCs w:val="18"/>
                    </w:rPr>
                  </w:pPr>
                  <w:r>
                    <w:rPr>
                      <w:b/>
                      <w:bCs/>
                      <w:color w:val="auto"/>
                      <w:kern w:val="0"/>
                      <w:sz w:val="18"/>
                      <w:szCs w:val="18"/>
                    </w:rPr>
                    <w:t>排放量（t/a）</w:t>
                  </w:r>
                </w:p>
              </w:tc>
              <w:tc>
                <w:tcPr>
                  <w:tcW w:w="315" w:type="pct"/>
                  <w:vMerge w:val="continue"/>
                  <w:vAlign w:val="center"/>
                </w:tcPr>
                <w:p w14:paraId="45BC9C45">
                  <w:pPr>
                    <w:widowControl/>
                    <w:jc w:val="center"/>
                    <w:rPr>
                      <w:b/>
                      <w:bCs/>
                      <w:color w:val="auto"/>
                      <w:kern w:val="0"/>
                      <w:sz w:val="18"/>
                      <w:szCs w:val="18"/>
                    </w:rPr>
                  </w:pPr>
                </w:p>
              </w:tc>
            </w:tr>
            <w:tr w14:paraId="102F4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restart"/>
                  <w:shd w:val="clear" w:color="auto" w:fill="auto"/>
                  <w:vAlign w:val="center"/>
                </w:tcPr>
                <w:p w14:paraId="2A67866F">
                  <w:pPr>
                    <w:widowControl/>
                    <w:jc w:val="center"/>
                    <w:rPr>
                      <w:color w:val="auto"/>
                      <w:kern w:val="0"/>
                      <w:sz w:val="18"/>
                      <w:szCs w:val="18"/>
                    </w:rPr>
                  </w:pPr>
                  <w:r>
                    <w:rPr>
                      <w:rFonts w:hint="eastAsia"/>
                      <w:color w:val="auto"/>
                      <w:kern w:val="0"/>
                      <w:sz w:val="18"/>
                      <w:szCs w:val="18"/>
                      <w:lang w:eastAsia="zh-CN"/>
                    </w:rPr>
                    <w:t>鱼皮、裙带菜生产线</w:t>
                  </w:r>
                </w:p>
              </w:tc>
              <w:tc>
                <w:tcPr>
                  <w:tcW w:w="454" w:type="pct"/>
                  <w:vMerge w:val="restart"/>
                  <w:shd w:val="clear" w:color="auto" w:fill="auto"/>
                  <w:vAlign w:val="center"/>
                </w:tcPr>
                <w:p w14:paraId="06CFCA0D">
                  <w:pPr>
                    <w:widowControl/>
                    <w:jc w:val="center"/>
                    <w:rPr>
                      <w:rFonts w:hint="default" w:eastAsia="宋体"/>
                      <w:color w:val="auto"/>
                      <w:kern w:val="0"/>
                      <w:sz w:val="18"/>
                      <w:szCs w:val="18"/>
                      <w:lang w:val="en-US" w:eastAsia="zh-CN"/>
                    </w:rPr>
                  </w:pPr>
                  <w:r>
                    <w:rPr>
                      <w:rFonts w:hint="eastAsia"/>
                      <w:color w:val="auto"/>
                      <w:szCs w:val="21"/>
                      <w:lang w:eastAsia="zh-CN"/>
                    </w:rPr>
                    <w:t>解冻、泡发、</w:t>
                  </w:r>
                  <w:r>
                    <w:rPr>
                      <w:color w:val="auto"/>
                      <w:szCs w:val="21"/>
                    </w:rPr>
                    <w:t>清洗</w:t>
                  </w:r>
                  <w:r>
                    <w:rPr>
                      <w:rFonts w:hint="eastAsia"/>
                      <w:color w:val="auto"/>
                      <w:szCs w:val="21"/>
                      <w:lang w:eastAsia="zh-CN"/>
                    </w:rPr>
                    <w:t>、消毒</w:t>
                  </w:r>
                  <w:r>
                    <w:rPr>
                      <w:color w:val="auto"/>
                      <w:szCs w:val="21"/>
                    </w:rPr>
                    <w:t>、</w:t>
                  </w:r>
                  <w:r>
                    <w:rPr>
                      <w:rFonts w:hint="eastAsia"/>
                      <w:color w:val="auto"/>
                      <w:szCs w:val="21"/>
                      <w:lang w:eastAsia="zh-CN"/>
                    </w:rPr>
                    <w:t>漂烫、冷却</w:t>
                  </w:r>
                  <w:r>
                    <w:rPr>
                      <w:color w:val="auto"/>
                      <w:szCs w:val="21"/>
                    </w:rPr>
                    <w:t>、脱水废水</w:t>
                  </w:r>
                  <w:r>
                    <w:rPr>
                      <w:rFonts w:hint="eastAsia"/>
                      <w:color w:val="auto"/>
                      <w:kern w:val="0"/>
                      <w:sz w:val="18"/>
                      <w:szCs w:val="18"/>
                    </w:rPr>
                    <w:t>、</w:t>
                  </w:r>
                </w:p>
              </w:tc>
              <w:tc>
                <w:tcPr>
                  <w:tcW w:w="387" w:type="pct"/>
                  <w:shd w:val="clear" w:color="auto" w:fill="auto"/>
                  <w:vAlign w:val="center"/>
                </w:tcPr>
                <w:p w14:paraId="60F06280">
                  <w:pPr>
                    <w:widowControl/>
                    <w:jc w:val="center"/>
                    <w:rPr>
                      <w:rFonts w:hint="eastAsia"/>
                      <w:color w:val="auto"/>
                      <w:kern w:val="0"/>
                      <w:sz w:val="18"/>
                      <w:szCs w:val="18"/>
                    </w:rPr>
                  </w:pPr>
                  <w:r>
                    <w:rPr>
                      <w:rFonts w:hint="eastAsia"/>
                      <w:color w:val="auto"/>
                      <w:kern w:val="0"/>
                      <w:sz w:val="18"/>
                      <w:szCs w:val="18"/>
                    </w:rPr>
                    <w:t>pH</w:t>
                  </w:r>
                </w:p>
              </w:tc>
              <w:tc>
                <w:tcPr>
                  <w:tcW w:w="239" w:type="pct"/>
                  <w:vMerge w:val="restart"/>
                  <w:shd w:val="clear" w:color="auto" w:fill="auto"/>
                  <w:vAlign w:val="center"/>
                </w:tcPr>
                <w:p w14:paraId="2234EE55">
                  <w:pPr>
                    <w:widowControl/>
                    <w:jc w:val="center"/>
                    <w:rPr>
                      <w:rFonts w:ascii="Times New Roman" w:hAnsi="Times New Roman" w:eastAsia="宋体" w:cs="Times New Roman"/>
                      <w:color w:val="auto"/>
                      <w:kern w:val="0"/>
                      <w:sz w:val="18"/>
                      <w:szCs w:val="18"/>
                      <w:lang w:val="en-US" w:eastAsia="zh-CN" w:bidi="ar-SA"/>
                    </w:rPr>
                  </w:pPr>
                  <w:r>
                    <w:rPr>
                      <w:color w:val="auto"/>
                      <w:kern w:val="0"/>
                      <w:sz w:val="18"/>
                      <w:szCs w:val="18"/>
                    </w:rPr>
                    <w:t>类比分析法</w:t>
                  </w:r>
                </w:p>
              </w:tc>
              <w:tc>
                <w:tcPr>
                  <w:tcW w:w="451" w:type="pct"/>
                  <w:vMerge w:val="restart"/>
                  <w:shd w:val="clear" w:color="auto" w:fill="auto"/>
                  <w:vAlign w:val="center"/>
                </w:tcPr>
                <w:p w14:paraId="4978E08B">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42000</w:t>
                  </w:r>
                </w:p>
              </w:tc>
              <w:tc>
                <w:tcPr>
                  <w:tcW w:w="853" w:type="pct"/>
                  <w:gridSpan w:val="2"/>
                  <w:shd w:val="clear" w:color="auto" w:fill="auto"/>
                  <w:vAlign w:val="center"/>
                </w:tcPr>
                <w:p w14:paraId="36EE3E5D">
                  <w:pPr>
                    <w:widowControl/>
                    <w:jc w:val="center"/>
                    <w:textAlignment w:val="center"/>
                    <w:rPr>
                      <w:rFonts w:hint="eastAsia"/>
                      <w:color w:val="auto"/>
                      <w:kern w:val="0"/>
                      <w:sz w:val="18"/>
                      <w:szCs w:val="18"/>
                      <w:lang w:val="en-US" w:eastAsia="zh-CN" w:bidi="ar"/>
                    </w:rPr>
                  </w:pPr>
                  <w:r>
                    <w:rPr>
                      <w:rFonts w:hint="eastAsia"/>
                      <w:color w:val="auto"/>
                      <w:kern w:val="0"/>
                      <w:sz w:val="18"/>
                      <w:szCs w:val="18"/>
                      <w:lang w:val="en-US" w:eastAsia="zh-CN" w:bidi="ar"/>
                    </w:rPr>
                    <w:t>6.5~6.8</w:t>
                  </w:r>
                </w:p>
              </w:tc>
              <w:tc>
                <w:tcPr>
                  <w:tcW w:w="423" w:type="pct"/>
                  <w:vMerge w:val="restart"/>
                  <w:shd w:val="clear" w:color="auto" w:fill="auto"/>
                  <w:vAlign w:val="center"/>
                </w:tcPr>
                <w:p w14:paraId="74297599">
                  <w:pPr>
                    <w:widowControl/>
                    <w:jc w:val="center"/>
                    <w:rPr>
                      <w:color w:val="auto"/>
                      <w:kern w:val="0"/>
                      <w:sz w:val="18"/>
                      <w:szCs w:val="18"/>
                    </w:rPr>
                  </w:pPr>
                  <w:r>
                    <w:rPr>
                      <w:color w:val="auto"/>
                      <w:szCs w:val="21"/>
                    </w:rPr>
                    <w:t>格栅+折流式沉淀池+调节池+混凝气浮池+水解酸化池+接触氧化池+二沉池</w:t>
                  </w:r>
                </w:p>
              </w:tc>
              <w:tc>
                <w:tcPr>
                  <w:tcW w:w="373" w:type="pct"/>
                  <w:shd w:val="clear" w:color="auto" w:fill="auto"/>
                  <w:vAlign w:val="center"/>
                </w:tcPr>
                <w:p w14:paraId="6C4E7BAA">
                  <w:pPr>
                    <w:widowControl/>
                    <w:jc w:val="center"/>
                    <w:textAlignment w:val="center"/>
                    <w:rPr>
                      <w:rFonts w:hint="eastAsia" w:eastAsia="宋体"/>
                      <w:color w:val="auto"/>
                      <w:kern w:val="0"/>
                      <w:sz w:val="18"/>
                      <w:szCs w:val="18"/>
                      <w:lang w:val="en-US" w:eastAsia="zh-CN" w:bidi="ar"/>
                    </w:rPr>
                  </w:pPr>
                  <w:r>
                    <w:rPr>
                      <w:rFonts w:hint="eastAsia"/>
                      <w:color w:val="auto"/>
                      <w:kern w:val="0"/>
                      <w:sz w:val="18"/>
                      <w:szCs w:val="18"/>
                      <w:lang w:val="en-US" w:eastAsia="zh-CN" w:bidi="ar"/>
                    </w:rPr>
                    <w:t>/</w:t>
                  </w:r>
                </w:p>
              </w:tc>
              <w:tc>
                <w:tcPr>
                  <w:tcW w:w="372" w:type="pct"/>
                  <w:vMerge w:val="restart"/>
                  <w:shd w:val="clear" w:color="auto" w:fill="auto"/>
                  <w:vAlign w:val="center"/>
                </w:tcPr>
                <w:p w14:paraId="52F9053D">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42000</w:t>
                  </w:r>
                </w:p>
              </w:tc>
              <w:tc>
                <w:tcPr>
                  <w:tcW w:w="487" w:type="pct"/>
                  <w:shd w:val="clear" w:color="auto" w:fill="auto"/>
                  <w:vAlign w:val="center"/>
                </w:tcPr>
                <w:p w14:paraId="7F2039D2">
                  <w:pPr>
                    <w:widowControl/>
                    <w:jc w:val="center"/>
                    <w:textAlignment w:val="center"/>
                    <w:rPr>
                      <w:rStyle w:val="138"/>
                      <w:color w:val="auto"/>
                      <w:lang w:bidi="ar"/>
                    </w:rPr>
                  </w:pPr>
                  <w:r>
                    <w:rPr>
                      <w:rFonts w:hint="eastAsia" w:ascii="Times New Roman" w:hAnsi="Times New Roman" w:cs="Times New Roman"/>
                      <w:color w:val="auto"/>
                      <w:kern w:val="0"/>
                      <w:sz w:val="18"/>
                      <w:szCs w:val="18"/>
                      <w:lang w:val="en-US" w:eastAsia="zh-CN" w:bidi="ar"/>
                    </w:rPr>
                    <w:t>6~8.5</w:t>
                  </w:r>
                </w:p>
              </w:tc>
              <w:tc>
                <w:tcPr>
                  <w:tcW w:w="379" w:type="pct"/>
                  <w:shd w:val="clear" w:color="auto" w:fill="auto"/>
                  <w:vAlign w:val="center"/>
                </w:tcPr>
                <w:p w14:paraId="19EEE68A">
                  <w:pPr>
                    <w:widowControl/>
                    <w:jc w:val="center"/>
                    <w:textAlignment w:val="center"/>
                    <w:rPr>
                      <w:rStyle w:val="138"/>
                      <w:rFonts w:hint="eastAsia" w:eastAsia="宋体"/>
                      <w:color w:val="auto"/>
                      <w:lang w:val="en-US" w:eastAsia="zh-CN" w:bidi="ar"/>
                    </w:rPr>
                  </w:pPr>
                  <w:r>
                    <w:rPr>
                      <w:rStyle w:val="138"/>
                      <w:rFonts w:hint="eastAsia"/>
                      <w:color w:val="auto"/>
                      <w:lang w:val="en-US" w:eastAsia="zh-CN" w:bidi="ar"/>
                    </w:rPr>
                    <w:t>/</w:t>
                  </w:r>
                </w:p>
              </w:tc>
              <w:tc>
                <w:tcPr>
                  <w:tcW w:w="315" w:type="pct"/>
                  <w:vMerge w:val="restart"/>
                  <w:shd w:val="clear" w:color="auto" w:fill="auto"/>
                  <w:vAlign w:val="center"/>
                </w:tcPr>
                <w:p w14:paraId="19961539">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2400</w:t>
                  </w:r>
                </w:p>
              </w:tc>
            </w:tr>
            <w:tr w14:paraId="519B5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79B2AE9D">
                  <w:pPr>
                    <w:widowControl/>
                    <w:jc w:val="center"/>
                    <w:rPr>
                      <w:color w:val="auto"/>
                      <w:kern w:val="0"/>
                      <w:sz w:val="18"/>
                      <w:szCs w:val="18"/>
                    </w:rPr>
                  </w:pPr>
                </w:p>
              </w:tc>
              <w:tc>
                <w:tcPr>
                  <w:tcW w:w="454" w:type="pct"/>
                  <w:vMerge w:val="continue"/>
                  <w:shd w:val="clear" w:color="auto" w:fill="auto"/>
                  <w:vAlign w:val="center"/>
                </w:tcPr>
                <w:p w14:paraId="02A3CF35">
                  <w:pPr>
                    <w:widowControl/>
                    <w:jc w:val="center"/>
                    <w:rPr>
                      <w:color w:val="auto"/>
                      <w:kern w:val="0"/>
                      <w:sz w:val="18"/>
                      <w:szCs w:val="18"/>
                    </w:rPr>
                  </w:pPr>
                </w:p>
              </w:tc>
              <w:tc>
                <w:tcPr>
                  <w:tcW w:w="387" w:type="pct"/>
                  <w:shd w:val="clear" w:color="auto" w:fill="auto"/>
                  <w:vAlign w:val="center"/>
                </w:tcPr>
                <w:p w14:paraId="689E8A09">
                  <w:pPr>
                    <w:widowControl/>
                    <w:jc w:val="center"/>
                    <w:rPr>
                      <w:color w:val="auto"/>
                      <w:kern w:val="0"/>
                      <w:sz w:val="18"/>
                      <w:szCs w:val="18"/>
                    </w:rPr>
                  </w:pPr>
                  <w:r>
                    <w:rPr>
                      <w:color w:val="auto"/>
                      <w:kern w:val="0"/>
                      <w:sz w:val="18"/>
                      <w:szCs w:val="18"/>
                    </w:rPr>
                    <w:t>COD</w:t>
                  </w:r>
                </w:p>
              </w:tc>
              <w:tc>
                <w:tcPr>
                  <w:tcW w:w="239" w:type="pct"/>
                  <w:vMerge w:val="continue"/>
                  <w:shd w:val="clear" w:color="auto" w:fill="auto"/>
                  <w:vAlign w:val="center"/>
                </w:tcPr>
                <w:p w14:paraId="71B83B27">
                  <w:pPr>
                    <w:widowControl/>
                    <w:jc w:val="center"/>
                    <w:rPr>
                      <w:color w:val="auto"/>
                      <w:kern w:val="0"/>
                      <w:sz w:val="18"/>
                      <w:szCs w:val="18"/>
                    </w:rPr>
                  </w:pPr>
                </w:p>
              </w:tc>
              <w:tc>
                <w:tcPr>
                  <w:tcW w:w="451" w:type="pct"/>
                  <w:vMerge w:val="continue"/>
                  <w:shd w:val="clear" w:color="auto" w:fill="auto"/>
                  <w:vAlign w:val="center"/>
                </w:tcPr>
                <w:p w14:paraId="62DADBE9">
                  <w:pPr>
                    <w:widowControl/>
                    <w:jc w:val="center"/>
                    <w:rPr>
                      <w:color w:val="auto"/>
                      <w:kern w:val="0"/>
                      <w:sz w:val="18"/>
                      <w:szCs w:val="18"/>
                    </w:rPr>
                  </w:pPr>
                </w:p>
              </w:tc>
              <w:tc>
                <w:tcPr>
                  <w:tcW w:w="439" w:type="pct"/>
                  <w:shd w:val="clear" w:color="auto" w:fill="auto"/>
                  <w:vAlign w:val="center"/>
                </w:tcPr>
                <w:p w14:paraId="613CAD03">
                  <w:pPr>
                    <w:widowControl/>
                    <w:jc w:val="center"/>
                    <w:textAlignment w:val="center"/>
                    <w:rPr>
                      <w:rFonts w:hint="default"/>
                      <w:color w:val="auto"/>
                      <w:kern w:val="0"/>
                      <w:sz w:val="18"/>
                      <w:szCs w:val="18"/>
                      <w:lang w:val="en-US" w:eastAsia="zh-CN" w:bidi="ar"/>
                    </w:rPr>
                  </w:pPr>
                  <w:r>
                    <w:rPr>
                      <w:rFonts w:hint="eastAsia" w:cs="Times New Roman"/>
                      <w:i w:val="0"/>
                      <w:iCs w:val="0"/>
                      <w:color w:val="auto"/>
                      <w:kern w:val="0"/>
                      <w:sz w:val="18"/>
                      <w:szCs w:val="18"/>
                      <w:u w:val="none"/>
                      <w:lang w:val="en-US" w:eastAsia="zh-CN" w:bidi="ar"/>
                    </w:rPr>
                    <w:t>868</w:t>
                  </w:r>
                </w:p>
              </w:tc>
              <w:tc>
                <w:tcPr>
                  <w:tcW w:w="414" w:type="pct"/>
                  <w:shd w:val="clear" w:color="auto" w:fill="auto"/>
                  <w:vAlign w:val="center"/>
                </w:tcPr>
                <w:p w14:paraId="233B301C">
                  <w:pPr>
                    <w:keepNext w:val="0"/>
                    <w:keepLines w:val="0"/>
                    <w:widowControl/>
                    <w:suppressLineNumbers w:val="0"/>
                    <w:jc w:val="center"/>
                    <w:textAlignment w:val="center"/>
                    <w:rPr>
                      <w:rFonts w:hint="default"/>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36.456</w:t>
                  </w:r>
                </w:p>
              </w:tc>
              <w:tc>
                <w:tcPr>
                  <w:tcW w:w="423" w:type="pct"/>
                  <w:vMerge w:val="continue"/>
                  <w:shd w:val="clear" w:color="auto" w:fill="auto"/>
                  <w:vAlign w:val="center"/>
                </w:tcPr>
                <w:p w14:paraId="24939E0E">
                  <w:pPr>
                    <w:widowControl/>
                    <w:jc w:val="center"/>
                    <w:rPr>
                      <w:color w:val="auto"/>
                      <w:kern w:val="0"/>
                      <w:sz w:val="18"/>
                      <w:szCs w:val="18"/>
                    </w:rPr>
                  </w:pPr>
                </w:p>
              </w:tc>
              <w:tc>
                <w:tcPr>
                  <w:tcW w:w="373" w:type="pct"/>
                  <w:shd w:val="clear" w:color="auto" w:fill="auto"/>
                  <w:vAlign w:val="center"/>
                </w:tcPr>
                <w:p w14:paraId="313BDF3A">
                  <w:pPr>
                    <w:keepNext w:val="0"/>
                    <w:keepLines w:val="0"/>
                    <w:widowControl/>
                    <w:suppressLineNumbers w:val="0"/>
                    <w:jc w:val="center"/>
                    <w:textAlignment w:val="center"/>
                    <w:rPr>
                      <w:rFonts w:hint="default"/>
                      <w:color w:val="auto"/>
                      <w:kern w:val="0"/>
                      <w:sz w:val="18"/>
                      <w:szCs w:val="18"/>
                      <w:lang w:val="en-US"/>
                    </w:rPr>
                  </w:pPr>
                  <w:r>
                    <w:rPr>
                      <w:rFonts w:hint="eastAsia" w:cs="Times New Roman"/>
                      <w:i w:val="0"/>
                      <w:iCs w:val="0"/>
                      <w:color w:val="auto"/>
                      <w:kern w:val="0"/>
                      <w:sz w:val="18"/>
                      <w:szCs w:val="18"/>
                      <w:u w:val="none"/>
                      <w:lang w:val="en-US" w:eastAsia="zh-CN" w:bidi="ar"/>
                    </w:rPr>
                    <w:t>90.39%</w:t>
                  </w:r>
                </w:p>
              </w:tc>
              <w:tc>
                <w:tcPr>
                  <w:tcW w:w="372" w:type="pct"/>
                  <w:vMerge w:val="continue"/>
                  <w:shd w:val="clear" w:color="auto" w:fill="auto"/>
                  <w:vAlign w:val="center"/>
                </w:tcPr>
                <w:p w14:paraId="3095BB82">
                  <w:pPr>
                    <w:widowControl/>
                    <w:jc w:val="center"/>
                    <w:textAlignment w:val="center"/>
                    <w:rPr>
                      <w:color w:val="auto"/>
                      <w:kern w:val="0"/>
                      <w:sz w:val="18"/>
                      <w:szCs w:val="18"/>
                    </w:rPr>
                  </w:pPr>
                </w:p>
              </w:tc>
              <w:tc>
                <w:tcPr>
                  <w:tcW w:w="487" w:type="pct"/>
                  <w:shd w:val="clear" w:color="auto" w:fill="auto"/>
                  <w:vAlign w:val="center"/>
                </w:tcPr>
                <w:p w14:paraId="2AECA1F1">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83.4</w:t>
                  </w:r>
                </w:p>
              </w:tc>
              <w:tc>
                <w:tcPr>
                  <w:tcW w:w="379" w:type="pct"/>
                  <w:shd w:val="clear" w:color="auto" w:fill="auto"/>
                  <w:vAlign w:val="center"/>
                </w:tcPr>
                <w:p w14:paraId="0E027E40">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1.6804</w:t>
                  </w:r>
                </w:p>
              </w:tc>
              <w:tc>
                <w:tcPr>
                  <w:tcW w:w="315" w:type="pct"/>
                  <w:vMerge w:val="continue"/>
                  <w:shd w:val="clear" w:color="auto" w:fill="auto"/>
                  <w:vAlign w:val="center"/>
                </w:tcPr>
                <w:p w14:paraId="038755BE">
                  <w:pPr>
                    <w:widowControl/>
                    <w:jc w:val="center"/>
                    <w:rPr>
                      <w:color w:val="auto"/>
                      <w:kern w:val="0"/>
                      <w:sz w:val="18"/>
                      <w:szCs w:val="18"/>
                    </w:rPr>
                  </w:pPr>
                </w:p>
              </w:tc>
            </w:tr>
            <w:tr w14:paraId="65979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2BF9A8AB">
                  <w:pPr>
                    <w:widowControl/>
                    <w:jc w:val="center"/>
                    <w:rPr>
                      <w:color w:val="auto"/>
                      <w:kern w:val="0"/>
                      <w:sz w:val="18"/>
                      <w:szCs w:val="18"/>
                    </w:rPr>
                  </w:pPr>
                </w:p>
              </w:tc>
              <w:tc>
                <w:tcPr>
                  <w:tcW w:w="454" w:type="pct"/>
                  <w:vMerge w:val="continue"/>
                  <w:shd w:val="clear" w:color="auto" w:fill="auto"/>
                  <w:vAlign w:val="center"/>
                </w:tcPr>
                <w:p w14:paraId="7578277C">
                  <w:pPr>
                    <w:widowControl/>
                    <w:jc w:val="center"/>
                    <w:rPr>
                      <w:color w:val="auto"/>
                      <w:kern w:val="0"/>
                      <w:sz w:val="18"/>
                      <w:szCs w:val="18"/>
                    </w:rPr>
                  </w:pPr>
                </w:p>
              </w:tc>
              <w:tc>
                <w:tcPr>
                  <w:tcW w:w="387" w:type="pct"/>
                  <w:shd w:val="clear" w:color="auto" w:fill="auto"/>
                  <w:vAlign w:val="center"/>
                </w:tcPr>
                <w:p w14:paraId="4535B54E">
                  <w:pPr>
                    <w:widowControl/>
                    <w:jc w:val="center"/>
                    <w:rPr>
                      <w:color w:val="auto"/>
                      <w:kern w:val="0"/>
                      <w:sz w:val="18"/>
                      <w:szCs w:val="18"/>
                    </w:rPr>
                  </w:pPr>
                  <w:r>
                    <w:rPr>
                      <w:color w:val="auto"/>
                      <w:kern w:val="0"/>
                      <w:sz w:val="18"/>
                      <w:szCs w:val="18"/>
                    </w:rPr>
                    <w:t>SS</w:t>
                  </w:r>
                </w:p>
              </w:tc>
              <w:tc>
                <w:tcPr>
                  <w:tcW w:w="239" w:type="pct"/>
                  <w:vMerge w:val="continue"/>
                  <w:shd w:val="clear" w:color="auto" w:fill="auto"/>
                  <w:vAlign w:val="center"/>
                </w:tcPr>
                <w:p w14:paraId="355ED42C">
                  <w:pPr>
                    <w:widowControl/>
                    <w:jc w:val="center"/>
                    <w:rPr>
                      <w:color w:val="auto"/>
                      <w:kern w:val="0"/>
                      <w:sz w:val="18"/>
                      <w:szCs w:val="18"/>
                    </w:rPr>
                  </w:pPr>
                </w:p>
              </w:tc>
              <w:tc>
                <w:tcPr>
                  <w:tcW w:w="451" w:type="pct"/>
                  <w:vMerge w:val="continue"/>
                  <w:shd w:val="clear" w:color="auto" w:fill="auto"/>
                  <w:vAlign w:val="center"/>
                </w:tcPr>
                <w:p w14:paraId="46D7B7D5">
                  <w:pPr>
                    <w:widowControl/>
                    <w:jc w:val="center"/>
                    <w:rPr>
                      <w:color w:val="auto"/>
                      <w:kern w:val="0"/>
                      <w:sz w:val="18"/>
                      <w:szCs w:val="18"/>
                    </w:rPr>
                  </w:pPr>
                </w:p>
              </w:tc>
              <w:tc>
                <w:tcPr>
                  <w:tcW w:w="439" w:type="pct"/>
                  <w:shd w:val="clear" w:color="auto" w:fill="auto"/>
                  <w:vAlign w:val="center"/>
                </w:tcPr>
                <w:p w14:paraId="0674FF92">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164</w:t>
                  </w:r>
                </w:p>
              </w:tc>
              <w:tc>
                <w:tcPr>
                  <w:tcW w:w="414" w:type="pct"/>
                  <w:shd w:val="clear" w:color="auto" w:fill="auto"/>
                  <w:vAlign w:val="center"/>
                </w:tcPr>
                <w:p w14:paraId="69639186">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6.888</w:t>
                  </w:r>
                </w:p>
              </w:tc>
              <w:tc>
                <w:tcPr>
                  <w:tcW w:w="423" w:type="pct"/>
                  <w:vMerge w:val="continue"/>
                  <w:shd w:val="clear" w:color="auto" w:fill="auto"/>
                  <w:vAlign w:val="center"/>
                </w:tcPr>
                <w:p w14:paraId="550F0927">
                  <w:pPr>
                    <w:widowControl/>
                    <w:jc w:val="center"/>
                    <w:rPr>
                      <w:color w:val="auto"/>
                      <w:kern w:val="0"/>
                      <w:sz w:val="18"/>
                      <w:szCs w:val="18"/>
                    </w:rPr>
                  </w:pPr>
                </w:p>
              </w:tc>
              <w:tc>
                <w:tcPr>
                  <w:tcW w:w="373" w:type="pct"/>
                  <w:shd w:val="clear" w:color="auto" w:fill="auto"/>
                  <w:vAlign w:val="center"/>
                </w:tcPr>
                <w:p w14:paraId="39C18E80">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77.17</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6DB84143">
                  <w:pPr>
                    <w:jc w:val="center"/>
                    <w:rPr>
                      <w:color w:val="auto"/>
                      <w:kern w:val="0"/>
                      <w:sz w:val="18"/>
                      <w:szCs w:val="18"/>
                    </w:rPr>
                  </w:pPr>
                </w:p>
              </w:tc>
              <w:tc>
                <w:tcPr>
                  <w:tcW w:w="487" w:type="pct"/>
                  <w:shd w:val="clear" w:color="auto" w:fill="auto"/>
                  <w:vAlign w:val="center"/>
                </w:tcPr>
                <w:p w14:paraId="3A82E48E">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32.8</w:t>
                  </w:r>
                </w:p>
              </w:tc>
              <w:tc>
                <w:tcPr>
                  <w:tcW w:w="379" w:type="pct"/>
                  <w:shd w:val="clear" w:color="auto" w:fill="auto"/>
                  <w:vAlign w:val="center"/>
                </w:tcPr>
                <w:p w14:paraId="5BC1C23B">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1.3776</w:t>
                  </w:r>
                </w:p>
              </w:tc>
              <w:tc>
                <w:tcPr>
                  <w:tcW w:w="315" w:type="pct"/>
                  <w:vMerge w:val="continue"/>
                  <w:shd w:val="clear" w:color="auto" w:fill="auto"/>
                  <w:vAlign w:val="center"/>
                </w:tcPr>
                <w:p w14:paraId="483610D2">
                  <w:pPr>
                    <w:widowControl/>
                    <w:jc w:val="center"/>
                    <w:rPr>
                      <w:color w:val="auto"/>
                      <w:kern w:val="0"/>
                      <w:sz w:val="18"/>
                      <w:szCs w:val="18"/>
                    </w:rPr>
                  </w:pPr>
                </w:p>
              </w:tc>
            </w:tr>
            <w:tr w14:paraId="253E5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03480F98">
                  <w:pPr>
                    <w:widowControl/>
                    <w:jc w:val="center"/>
                    <w:rPr>
                      <w:color w:val="auto"/>
                      <w:kern w:val="0"/>
                      <w:sz w:val="18"/>
                      <w:szCs w:val="18"/>
                    </w:rPr>
                  </w:pPr>
                </w:p>
              </w:tc>
              <w:tc>
                <w:tcPr>
                  <w:tcW w:w="454" w:type="pct"/>
                  <w:vMerge w:val="continue"/>
                  <w:shd w:val="clear" w:color="auto" w:fill="auto"/>
                  <w:vAlign w:val="center"/>
                </w:tcPr>
                <w:p w14:paraId="6101DA6C">
                  <w:pPr>
                    <w:widowControl/>
                    <w:jc w:val="center"/>
                    <w:rPr>
                      <w:color w:val="auto"/>
                      <w:kern w:val="0"/>
                      <w:sz w:val="18"/>
                      <w:szCs w:val="18"/>
                    </w:rPr>
                  </w:pPr>
                </w:p>
              </w:tc>
              <w:tc>
                <w:tcPr>
                  <w:tcW w:w="387" w:type="pct"/>
                  <w:shd w:val="clear" w:color="auto" w:fill="auto"/>
                  <w:vAlign w:val="center"/>
                </w:tcPr>
                <w:p w14:paraId="61DF3B47">
                  <w:pPr>
                    <w:widowControl/>
                    <w:jc w:val="center"/>
                    <w:rPr>
                      <w:color w:val="auto"/>
                      <w:kern w:val="0"/>
                      <w:sz w:val="18"/>
                      <w:szCs w:val="18"/>
                    </w:rPr>
                  </w:pPr>
                  <w:r>
                    <w:rPr>
                      <w:rFonts w:hint="eastAsia"/>
                      <w:color w:val="auto"/>
                      <w:kern w:val="0"/>
                      <w:sz w:val="18"/>
                      <w:szCs w:val="18"/>
                    </w:rPr>
                    <w:t>BOD</w:t>
                  </w:r>
                  <w:r>
                    <w:rPr>
                      <w:rFonts w:hint="eastAsia"/>
                      <w:color w:val="auto"/>
                      <w:kern w:val="0"/>
                      <w:sz w:val="18"/>
                      <w:szCs w:val="18"/>
                      <w:vertAlign w:val="subscript"/>
                    </w:rPr>
                    <w:t>5</w:t>
                  </w:r>
                </w:p>
              </w:tc>
              <w:tc>
                <w:tcPr>
                  <w:tcW w:w="239" w:type="pct"/>
                  <w:vMerge w:val="continue"/>
                  <w:shd w:val="clear" w:color="auto" w:fill="auto"/>
                  <w:vAlign w:val="center"/>
                </w:tcPr>
                <w:p w14:paraId="7556DAAE">
                  <w:pPr>
                    <w:widowControl/>
                    <w:jc w:val="center"/>
                    <w:rPr>
                      <w:color w:val="auto"/>
                      <w:kern w:val="0"/>
                      <w:sz w:val="18"/>
                      <w:szCs w:val="18"/>
                    </w:rPr>
                  </w:pPr>
                </w:p>
              </w:tc>
              <w:tc>
                <w:tcPr>
                  <w:tcW w:w="451" w:type="pct"/>
                  <w:vMerge w:val="continue"/>
                  <w:shd w:val="clear" w:color="auto" w:fill="auto"/>
                  <w:vAlign w:val="center"/>
                </w:tcPr>
                <w:p w14:paraId="27E18886">
                  <w:pPr>
                    <w:widowControl/>
                    <w:jc w:val="center"/>
                    <w:rPr>
                      <w:color w:val="auto"/>
                      <w:kern w:val="0"/>
                      <w:sz w:val="18"/>
                      <w:szCs w:val="18"/>
                    </w:rPr>
                  </w:pPr>
                </w:p>
              </w:tc>
              <w:tc>
                <w:tcPr>
                  <w:tcW w:w="439" w:type="pct"/>
                  <w:shd w:val="clear" w:color="auto" w:fill="auto"/>
                  <w:vAlign w:val="center"/>
                </w:tcPr>
                <w:p w14:paraId="0F6B9170">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391</w:t>
                  </w:r>
                </w:p>
              </w:tc>
              <w:tc>
                <w:tcPr>
                  <w:tcW w:w="414" w:type="pct"/>
                  <w:shd w:val="clear" w:color="auto" w:fill="auto"/>
                  <w:vAlign w:val="center"/>
                </w:tcPr>
                <w:p w14:paraId="0D572284">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16.422</w:t>
                  </w:r>
                </w:p>
              </w:tc>
              <w:tc>
                <w:tcPr>
                  <w:tcW w:w="423" w:type="pct"/>
                  <w:vMerge w:val="continue"/>
                  <w:shd w:val="clear" w:color="auto" w:fill="auto"/>
                  <w:vAlign w:val="center"/>
                </w:tcPr>
                <w:p w14:paraId="1F3A007B">
                  <w:pPr>
                    <w:widowControl/>
                    <w:jc w:val="center"/>
                    <w:rPr>
                      <w:color w:val="auto"/>
                      <w:kern w:val="0"/>
                      <w:sz w:val="18"/>
                      <w:szCs w:val="18"/>
                    </w:rPr>
                  </w:pPr>
                </w:p>
              </w:tc>
              <w:tc>
                <w:tcPr>
                  <w:tcW w:w="373" w:type="pct"/>
                  <w:shd w:val="clear" w:color="auto" w:fill="auto"/>
                  <w:vAlign w:val="center"/>
                </w:tcPr>
                <w:p w14:paraId="0AB0B1DE">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77.14</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7B90E825">
                  <w:pPr>
                    <w:jc w:val="center"/>
                    <w:rPr>
                      <w:color w:val="auto"/>
                      <w:kern w:val="0"/>
                      <w:sz w:val="18"/>
                      <w:szCs w:val="18"/>
                    </w:rPr>
                  </w:pPr>
                </w:p>
              </w:tc>
              <w:tc>
                <w:tcPr>
                  <w:tcW w:w="487" w:type="pct"/>
                  <w:shd w:val="clear" w:color="auto" w:fill="auto"/>
                  <w:vAlign w:val="center"/>
                </w:tcPr>
                <w:p w14:paraId="5E0FA702">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78.2</w:t>
                  </w:r>
                </w:p>
              </w:tc>
              <w:tc>
                <w:tcPr>
                  <w:tcW w:w="379" w:type="pct"/>
                  <w:shd w:val="clear" w:color="auto" w:fill="auto"/>
                  <w:vAlign w:val="center"/>
                </w:tcPr>
                <w:p w14:paraId="5B39D55A">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3.2844</w:t>
                  </w:r>
                </w:p>
              </w:tc>
              <w:tc>
                <w:tcPr>
                  <w:tcW w:w="315" w:type="pct"/>
                  <w:vMerge w:val="continue"/>
                  <w:shd w:val="clear" w:color="auto" w:fill="auto"/>
                  <w:vAlign w:val="center"/>
                </w:tcPr>
                <w:p w14:paraId="10BE0DB4">
                  <w:pPr>
                    <w:widowControl/>
                    <w:jc w:val="center"/>
                    <w:rPr>
                      <w:color w:val="auto"/>
                      <w:kern w:val="0"/>
                      <w:sz w:val="18"/>
                      <w:szCs w:val="18"/>
                    </w:rPr>
                  </w:pPr>
                </w:p>
              </w:tc>
            </w:tr>
            <w:tr w14:paraId="75478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4292D215">
                  <w:pPr>
                    <w:widowControl/>
                    <w:jc w:val="center"/>
                    <w:rPr>
                      <w:color w:val="auto"/>
                      <w:kern w:val="0"/>
                      <w:sz w:val="18"/>
                      <w:szCs w:val="18"/>
                    </w:rPr>
                  </w:pPr>
                </w:p>
              </w:tc>
              <w:tc>
                <w:tcPr>
                  <w:tcW w:w="454" w:type="pct"/>
                  <w:vMerge w:val="continue"/>
                  <w:shd w:val="clear" w:color="auto" w:fill="auto"/>
                  <w:vAlign w:val="center"/>
                </w:tcPr>
                <w:p w14:paraId="2F144065">
                  <w:pPr>
                    <w:widowControl/>
                    <w:jc w:val="center"/>
                    <w:rPr>
                      <w:color w:val="auto"/>
                      <w:kern w:val="0"/>
                      <w:sz w:val="18"/>
                      <w:szCs w:val="18"/>
                    </w:rPr>
                  </w:pPr>
                </w:p>
              </w:tc>
              <w:tc>
                <w:tcPr>
                  <w:tcW w:w="387" w:type="pct"/>
                  <w:shd w:val="clear" w:color="auto" w:fill="auto"/>
                  <w:vAlign w:val="center"/>
                </w:tcPr>
                <w:p w14:paraId="7F5D82C2">
                  <w:pPr>
                    <w:widowControl/>
                    <w:jc w:val="center"/>
                    <w:rPr>
                      <w:color w:val="auto"/>
                      <w:kern w:val="0"/>
                      <w:sz w:val="18"/>
                      <w:szCs w:val="18"/>
                    </w:rPr>
                  </w:pPr>
                  <w:r>
                    <w:rPr>
                      <w:color w:val="auto"/>
                      <w:kern w:val="0"/>
                      <w:sz w:val="18"/>
                      <w:szCs w:val="18"/>
                    </w:rPr>
                    <w:t>氨氮</w:t>
                  </w:r>
                </w:p>
              </w:tc>
              <w:tc>
                <w:tcPr>
                  <w:tcW w:w="239" w:type="pct"/>
                  <w:vMerge w:val="continue"/>
                  <w:shd w:val="clear" w:color="auto" w:fill="auto"/>
                  <w:vAlign w:val="center"/>
                </w:tcPr>
                <w:p w14:paraId="2CADC3DF">
                  <w:pPr>
                    <w:widowControl/>
                    <w:jc w:val="center"/>
                    <w:rPr>
                      <w:color w:val="auto"/>
                      <w:kern w:val="0"/>
                      <w:sz w:val="18"/>
                      <w:szCs w:val="18"/>
                    </w:rPr>
                  </w:pPr>
                </w:p>
              </w:tc>
              <w:tc>
                <w:tcPr>
                  <w:tcW w:w="451" w:type="pct"/>
                  <w:vMerge w:val="continue"/>
                  <w:shd w:val="clear" w:color="auto" w:fill="auto"/>
                  <w:vAlign w:val="center"/>
                </w:tcPr>
                <w:p w14:paraId="7D883D39">
                  <w:pPr>
                    <w:widowControl/>
                    <w:jc w:val="center"/>
                    <w:rPr>
                      <w:color w:val="auto"/>
                      <w:kern w:val="0"/>
                      <w:sz w:val="18"/>
                      <w:szCs w:val="18"/>
                    </w:rPr>
                  </w:pPr>
                </w:p>
              </w:tc>
              <w:tc>
                <w:tcPr>
                  <w:tcW w:w="439" w:type="pct"/>
                  <w:shd w:val="clear" w:color="auto" w:fill="auto"/>
                  <w:vAlign w:val="center"/>
                </w:tcPr>
                <w:p w14:paraId="57C05048">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55.2</w:t>
                  </w:r>
                </w:p>
              </w:tc>
              <w:tc>
                <w:tcPr>
                  <w:tcW w:w="414" w:type="pct"/>
                  <w:shd w:val="clear" w:color="auto" w:fill="auto"/>
                  <w:vAlign w:val="center"/>
                </w:tcPr>
                <w:p w14:paraId="324E3360">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2.3184</w:t>
                  </w:r>
                </w:p>
              </w:tc>
              <w:tc>
                <w:tcPr>
                  <w:tcW w:w="423" w:type="pct"/>
                  <w:vMerge w:val="continue"/>
                  <w:shd w:val="clear" w:color="auto" w:fill="auto"/>
                  <w:vAlign w:val="center"/>
                </w:tcPr>
                <w:p w14:paraId="1E97430A">
                  <w:pPr>
                    <w:widowControl/>
                    <w:jc w:val="center"/>
                    <w:rPr>
                      <w:color w:val="auto"/>
                      <w:kern w:val="0"/>
                      <w:sz w:val="18"/>
                      <w:szCs w:val="18"/>
                    </w:rPr>
                  </w:pPr>
                </w:p>
              </w:tc>
              <w:tc>
                <w:tcPr>
                  <w:tcW w:w="373" w:type="pct"/>
                  <w:shd w:val="clear" w:color="auto" w:fill="auto"/>
                  <w:vAlign w:val="center"/>
                </w:tcPr>
                <w:p w14:paraId="4E0696E7">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94.73</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5D9A5F8B">
                  <w:pPr>
                    <w:jc w:val="center"/>
                    <w:rPr>
                      <w:color w:val="auto"/>
                      <w:kern w:val="0"/>
                      <w:sz w:val="18"/>
                      <w:szCs w:val="18"/>
                    </w:rPr>
                  </w:pPr>
                </w:p>
              </w:tc>
              <w:tc>
                <w:tcPr>
                  <w:tcW w:w="487" w:type="pct"/>
                  <w:shd w:val="clear" w:color="auto" w:fill="auto"/>
                  <w:vAlign w:val="center"/>
                </w:tcPr>
                <w:p w14:paraId="36BF2692">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2.91</w:t>
                  </w:r>
                </w:p>
              </w:tc>
              <w:tc>
                <w:tcPr>
                  <w:tcW w:w="379" w:type="pct"/>
                  <w:shd w:val="clear" w:color="auto" w:fill="auto"/>
                  <w:vAlign w:val="center"/>
                </w:tcPr>
                <w:p w14:paraId="52E8CAF8">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0.1222</w:t>
                  </w:r>
                </w:p>
              </w:tc>
              <w:tc>
                <w:tcPr>
                  <w:tcW w:w="315" w:type="pct"/>
                  <w:vMerge w:val="continue"/>
                  <w:shd w:val="clear" w:color="auto" w:fill="auto"/>
                  <w:vAlign w:val="center"/>
                </w:tcPr>
                <w:p w14:paraId="600706D2">
                  <w:pPr>
                    <w:widowControl/>
                    <w:jc w:val="center"/>
                    <w:rPr>
                      <w:color w:val="auto"/>
                      <w:kern w:val="0"/>
                      <w:sz w:val="18"/>
                      <w:szCs w:val="18"/>
                    </w:rPr>
                  </w:pPr>
                </w:p>
              </w:tc>
            </w:tr>
            <w:tr w14:paraId="1E206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3E15F7F1">
                  <w:pPr>
                    <w:widowControl/>
                    <w:jc w:val="center"/>
                    <w:rPr>
                      <w:color w:val="auto"/>
                      <w:kern w:val="0"/>
                      <w:sz w:val="18"/>
                      <w:szCs w:val="18"/>
                    </w:rPr>
                  </w:pPr>
                </w:p>
              </w:tc>
              <w:tc>
                <w:tcPr>
                  <w:tcW w:w="454" w:type="pct"/>
                  <w:vMerge w:val="continue"/>
                  <w:shd w:val="clear" w:color="auto" w:fill="auto"/>
                  <w:vAlign w:val="center"/>
                </w:tcPr>
                <w:p w14:paraId="5B06E3E3">
                  <w:pPr>
                    <w:widowControl/>
                    <w:jc w:val="center"/>
                    <w:rPr>
                      <w:color w:val="auto"/>
                      <w:kern w:val="0"/>
                      <w:sz w:val="18"/>
                      <w:szCs w:val="18"/>
                    </w:rPr>
                  </w:pPr>
                </w:p>
              </w:tc>
              <w:tc>
                <w:tcPr>
                  <w:tcW w:w="387" w:type="pct"/>
                  <w:shd w:val="clear" w:color="auto" w:fill="auto"/>
                  <w:vAlign w:val="center"/>
                </w:tcPr>
                <w:p w14:paraId="0D2A187D">
                  <w:pPr>
                    <w:widowControl/>
                    <w:jc w:val="center"/>
                    <w:rPr>
                      <w:color w:val="auto"/>
                      <w:kern w:val="0"/>
                      <w:sz w:val="18"/>
                      <w:szCs w:val="18"/>
                    </w:rPr>
                  </w:pPr>
                  <w:r>
                    <w:rPr>
                      <w:color w:val="auto"/>
                      <w:kern w:val="0"/>
                      <w:sz w:val="18"/>
                      <w:szCs w:val="18"/>
                    </w:rPr>
                    <w:t>总磷</w:t>
                  </w:r>
                </w:p>
              </w:tc>
              <w:tc>
                <w:tcPr>
                  <w:tcW w:w="239" w:type="pct"/>
                  <w:vMerge w:val="continue"/>
                  <w:shd w:val="clear" w:color="auto" w:fill="auto"/>
                  <w:vAlign w:val="center"/>
                </w:tcPr>
                <w:p w14:paraId="0D1F0B4C">
                  <w:pPr>
                    <w:widowControl/>
                    <w:jc w:val="center"/>
                    <w:rPr>
                      <w:color w:val="auto"/>
                      <w:kern w:val="0"/>
                      <w:sz w:val="18"/>
                      <w:szCs w:val="18"/>
                    </w:rPr>
                  </w:pPr>
                </w:p>
              </w:tc>
              <w:tc>
                <w:tcPr>
                  <w:tcW w:w="451" w:type="pct"/>
                  <w:vMerge w:val="continue"/>
                  <w:shd w:val="clear" w:color="auto" w:fill="auto"/>
                  <w:vAlign w:val="center"/>
                </w:tcPr>
                <w:p w14:paraId="18DAAA76">
                  <w:pPr>
                    <w:widowControl/>
                    <w:jc w:val="center"/>
                    <w:rPr>
                      <w:color w:val="auto"/>
                      <w:kern w:val="0"/>
                      <w:sz w:val="18"/>
                      <w:szCs w:val="18"/>
                    </w:rPr>
                  </w:pPr>
                </w:p>
              </w:tc>
              <w:tc>
                <w:tcPr>
                  <w:tcW w:w="439" w:type="pct"/>
                  <w:shd w:val="clear" w:color="auto" w:fill="auto"/>
                  <w:vAlign w:val="center"/>
                </w:tcPr>
                <w:p w14:paraId="0FB249D4">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14.3</w:t>
                  </w:r>
                </w:p>
              </w:tc>
              <w:tc>
                <w:tcPr>
                  <w:tcW w:w="414" w:type="pct"/>
                  <w:shd w:val="clear" w:color="auto" w:fill="auto"/>
                  <w:vAlign w:val="center"/>
                </w:tcPr>
                <w:p w14:paraId="448F526D">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0.6006</w:t>
                  </w:r>
                </w:p>
              </w:tc>
              <w:tc>
                <w:tcPr>
                  <w:tcW w:w="423" w:type="pct"/>
                  <w:vMerge w:val="continue"/>
                  <w:shd w:val="clear" w:color="auto" w:fill="auto"/>
                  <w:vAlign w:val="center"/>
                </w:tcPr>
                <w:p w14:paraId="3B188DAE">
                  <w:pPr>
                    <w:widowControl/>
                    <w:jc w:val="center"/>
                    <w:rPr>
                      <w:color w:val="auto"/>
                      <w:kern w:val="0"/>
                      <w:sz w:val="18"/>
                      <w:szCs w:val="18"/>
                    </w:rPr>
                  </w:pPr>
                </w:p>
              </w:tc>
              <w:tc>
                <w:tcPr>
                  <w:tcW w:w="373" w:type="pct"/>
                  <w:shd w:val="clear" w:color="auto" w:fill="auto"/>
                  <w:vAlign w:val="center"/>
                </w:tcPr>
                <w:p w14:paraId="15455C97">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96.05</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4D336D93">
                  <w:pPr>
                    <w:jc w:val="center"/>
                    <w:rPr>
                      <w:color w:val="auto"/>
                      <w:kern w:val="0"/>
                      <w:sz w:val="18"/>
                      <w:szCs w:val="18"/>
                    </w:rPr>
                  </w:pPr>
                </w:p>
              </w:tc>
              <w:tc>
                <w:tcPr>
                  <w:tcW w:w="487" w:type="pct"/>
                  <w:shd w:val="clear" w:color="auto" w:fill="auto"/>
                  <w:vAlign w:val="center"/>
                </w:tcPr>
                <w:p w14:paraId="4D0CCC63">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0.56</w:t>
                  </w:r>
                </w:p>
              </w:tc>
              <w:tc>
                <w:tcPr>
                  <w:tcW w:w="379" w:type="pct"/>
                  <w:shd w:val="clear" w:color="auto" w:fill="auto"/>
                  <w:vAlign w:val="center"/>
                </w:tcPr>
                <w:p w14:paraId="213D0FE1">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0.0235</w:t>
                  </w:r>
                </w:p>
              </w:tc>
              <w:tc>
                <w:tcPr>
                  <w:tcW w:w="315" w:type="pct"/>
                  <w:vMerge w:val="continue"/>
                  <w:shd w:val="clear" w:color="auto" w:fill="auto"/>
                  <w:vAlign w:val="center"/>
                </w:tcPr>
                <w:p w14:paraId="485FA293">
                  <w:pPr>
                    <w:widowControl/>
                    <w:jc w:val="center"/>
                    <w:rPr>
                      <w:color w:val="auto"/>
                      <w:kern w:val="0"/>
                      <w:sz w:val="18"/>
                      <w:szCs w:val="18"/>
                    </w:rPr>
                  </w:pPr>
                </w:p>
              </w:tc>
            </w:tr>
            <w:tr w14:paraId="40B2C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6A7B6647">
                  <w:pPr>
                    <w:widowControl/>
                    <w:jc w:val="center"/>
                    <w:rPr>
                      <w:color w:val="auto"/>
                      <w:kern w:val="0"/>
                      <w:sz w:val="18"/>
                      <w:szCs w:val="18"/>
                    </w:rPr>
                  </w:pPr>
                </w:p>
              </w:tc>
              <w:tc>
                <w:tcPr>
                  <w:tcW w:w="454" w:type="pct"/>
                  <w:vMerge w:val="continue"/>
                  <w:shd w:val="clear" w:color="auto" w:fill="auto"/>
                  <w:vAlign w:val="center"/>
                </w:tcPr>
                <w:p w14:paraId="6C889EBF">
                  <w:pPr>
                    <w:widowControl/>
                    <w:jc w:val="center"/>
                    <w:rPr>
                      <w:color w:val="auto"/>
                      <w:kern w:val="0"/>
                      <w:sz w:val="18"/>
                      <w:szCs w:val="18"/>
                    </w:rPr>
                  </w:pPr>
                </w:p>
              </w:tc>
              <w:tc>
                <w:tcPr>
                  <w:tcW w:w="387" w:type="pct"/>
                  <w:shd w:val="clear" w:color="auto" w:fill="auto"/>
                  <w:vAlign w:val="center"/>
                </w:tcPr>
                <w:p w14:paraId="3B76CC71">
                  <w:pPr>
                    <w:widowControl/>
                    <w:jc w:val="center"/>
                    <w:rPr>
                      <w:color w:val="auto"/>
                      <w:kern w:val="0"/>
                      <w:sz w:val="18"/>
                      <w:szCs w:val="18"/>
                    </w:rPr>
                  </w:pPr>
                  <w:r>
                    <w:rPr>
                      <w:color w:val="auto"/>
                      <w:kern w:val="0"/>
                      <w:sz w:val="18"/>
                      <w:szCs w:val="18"/>
                    </w:rPr>
                    <w:t>总氮</w:t>
                  </w:r>
                </w:p>
              </w:tc>
              <w:tc>
                <w:tcPr>
                  <w:tcW w:w="239" w:type="pct"/>
                  <w:vMerge w:val="continue"/>
                  <w:shd w:val="clear" w:color="auto" w:fill="auto"/>
                  <w:vAlign w:val="center"/>
                </w:tcPr>
                <w:p w14:paraId="2C02D07B">
                  <w:pPr>
                    <w:widowControl/>
                    <w:jc w:val="center"/>
                    <w:rPr>
                      <w:color w:val="auto"/>
                      <w:kern w:val="0"/>
                      <w:sz w:val="18"/>
                      <w:szCs w:val="18"/>
                    </w:rPr>
                  </w:pPr>
                </w:p>
              </w:tc>
              <w:tc>
                <w:tcPr>
                  <w:tcW w:w="451" w:type="pct"/>
                  <w:vMerge w:val="continue"/>
                  <w:shd w:val="clear" w:color="auto" w:fill="auto"/>
                  <w:vAlign w:val="center"/>
                </w:tcPr>
                <w:p w14:paraId="18CB23CA">
                  <w:pPr>
                    <w:widowControl/>
                    <w:jc w:val="center"/>
                    <w:rPr>
                      <w:color w:val="auto"/>
                      <w:kern w:val="0"/>
                      <w:sz w:val="18"/>
                      <w:szCs w:val="18"/>
                    </w:rPr>
                  </w:pPr>
                </w:p>
              </w:tc>
              <w:tc>
                <w:tcPr>
                  <w:tcW w:w="439" w:type="pct"/>
                  <w:shd w:val="clear" w:color="auto" w:fill="auto"/>
                  <w:vAlign w:val="center"/>
                </w:tcPr>
                <w:p w14:paraId="6CDE05E8">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108.4</w:t>
                  </w:r>
                </w:p>
              </w:tc>
              <w:tc>
                <w:tcPr>
                  <w:tcW w:w="414" w:type="pct"/>
                  <w:shd w:val="clear" w:color="auto" w:fill="auto"/>
                  <w:vAlign w:val="center"/>
                </w:tcPr>
                <w:p w14:paraId="490D9602">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4.5528</w:t>
                  </w:r>
                </w:p>
              </w:tc>
              <w:tc>
                <w:tcPr>
                  <w:tcW w:w="423" w:type="pct"/>
                  <w:vMerge w:val="continue"/>
                  <w:shd w:val="clear" w:color="auto" w:fill="auto"/>
                  <w:vAlign w:val="center"/>
                </w:tcPr>
                <w:p w14:paraId="1EDCB081">
                  <w:pPr>
                    <w:widowControl/>
                    <w:jc w:val="center"/>
                    <w:rPr>
                      <w:color w:val="auto"/>
                      <w:kern w:val="0"/>
                      <w:sz w:val="18"/>
                      <w:szCs w:val="18"/>
                    </w:rPr>
                  </w:pPr>
                </w:p>
              </w:tc>
              <w:tc>
                <w:tcPr>
                  <w:tcW w:w="373" w:type="pct"/>
                  <w:shd w:val="clear" w:color="auto" w:fill="auto"/>
                  <w:vAlign w:val="center"/>
                </w:tcPr>
                <w:p w14:paraId="6ADF10B6">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94.73</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75286A44">
                  <w:pPr>
                    <w:jc w:val="center"/>
                    <w:rPr>
                      <w:color w:val="auto"/>
                      <w:kern w:val="0"/>
                      <w:sz w:val="18"/>
                      <w:szCs w:val="18"/>
                    </w:rPr>
                  </w:pPr>
                </w:p>
              </w:tc>
              <w:tc>
                <w:tcPr>
                  <w:tcW w:w="487" w:type="pct"/>
                  <w:shd w:val="clear" w:color="auto" w:fill="auto"/>
                  <w:vAlign w:val="center"/>
                </w:tcPr>
                <w:p w14:paraId="5F952BD9">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5.71</w:t>
                  </w:r>
                </w:p>
              </w:tc>
              <w:tc>
                <w:tcPr>
                  <w:tcW w:w="379" w:type="pct"/>
                  <w:shd w:val="clear" w:color="auto" w:fill="auto"/>
                  <w:vAlign w:val="center"/>
                </w:tcPr>
                <w:p w14:paraId="6E60B27D">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0.2398</w:t>
                  </w:r>
                </w:p>
              </w:tc>
              <w:tc>
                <w:tcPr>
                  <w:tcW w:w="315" w:type="pct"/>
                  <w:vMerge w:val="continue"/>
                  <w:shd w:val="clear" w:color="auto" w:fill="auto"/>
                  <w:vAlign w:val="center"/>
                </w:tcPr>
                <w:p w14:paraId="1823BBFB">
                  <w:pPr>
                    <w:widowControl/>
                    <w:jc w:val="center"/>
                    <w:rPr>
                      <w:color w:val="auto"/>
                      <w:kern w:val="0"/>
                      <w:sz w:val="18"/>
                      <w:szCs w:val="18"/>
                    </w:rPr>
                  </w:pPr>
                </w:p>
              </w:tc>
            </w:tr>
            <w:tr w14:paraId="72B77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40786EFB">
                  <w:pPr>
                    <w:widowControl/>
                    <w:jc w:val="center"/>
                    <w:rPr>
                      <w:color w:val="auto"/>
                      <w:kern w:val="0"/>
                      <w:sz w:val="18"/>
                      <w:szCs w:val="18"/>
                    </w:rPr>
                  </w:pPr>
                </w:p>
              </w:tc>
              <w:tc>
                <w:tcPr>
                  <w:tcW w:w="454" w:type="pct"/>
                  <w:vMerge w:val="continue"/>
                  <w:shd w:val="clear" w:color="auto" w:fill="auto"/>
                  <w:vAlign w:val="center"/>
                </w:tcPr>
                <w:p w14:paraId="00F93C5F">
                  <w:pPr>
                    <w:widowControl/>
                    <w:jc w:val="center"/>
                    <w:rPr>
                      <w:color w:val="auto"/>
                      <w:kern w:val="0"/>
                      <w:sz w:val="18"/>
                      <w:szCs w:val="18"/>
                    </w:rPr>
                  </w:pPr>
                </w:p>
              </w:tc>
              <w:tc>
                <w:tcPr>
                  <w:tcW w:w="387" w:type="pct"/>
                  <w:shd w:val="clear" w:color="auto" w:fill="auto"/>
                  <w:vAlign w:val="center"/>
                </w:tcPr>
                <w:p w14:paraId="040A1D3D">
                  <w:pPr>
                    <w:widowControl/>
                    <w:jc w:val="center"/>
                    <w:rPr>
                      <w:color w:val="auto"/>
                      <w:kern w:val="0"/>
                      <w:sz w:val="18"/>
                      <w:szCs w:val="18"/>
                    </w:rPr>
                  </w:pPr>
                  <w:r>
                    <w:rPr>
                      <w:color w:val="auto"/>
                      <w:kern w:val="0"/>
                      <w:sz w:val="18"/>
                      <w:szCs w:val="18"/>
                    </w:rPr>
                    <w:t>动植物油</w:t>
                  </w:r>
                </w:p>
              </w:tc>
              <w:tc>
                <w:tcPr>
                  <w:tcW w:w="239" w:type="pct"/>
                  <w:vMerge w:val="continue"/>
                  <w:shd w:val="clear" w:color="auto" w:fill="auto"/>
                  <w:vAlign w:val="center"/>
                </w:tcPr>
                <w:p w14:paraId="14529879">
                  <w:pPr>
                    <w:widowControl/>
                    <w:jc w:val="center"/>
                    <w:rPr>
                      <w:color w:val="auto"/>
                      <w:kern w:val="0"/>
                      <w:sz w:val="18"/>
                      <w:szCs w:val="18"/>
                    </w:rPr>
                  </w:pPr>
                </w:p>
              </w:tc>
              <w:tc>
                <w:tcPr>
                  <w:tcW w:w="451" w:type="pct"/>
                  <w:vMerge w:val="continue"/>
                  <w:shd w:val="clear" w:color="auto" w:fill="auto"/>
                  <w:vAlign w:val="center"/>
                </w:tcPr>
                <w:p w14:paraId="52FB5E4B">
                  <w:pPr>
                    <w:widowControl/>
                    <w:jc w:val="center"/>
                    <w:rPr>
                      <w:color w:val="auto"/>
                      <w:kern w:val="0"/>
                      <w:sz w:val="18"/>
                      <w:szCs w:val="18"/>
                    </w:rPr>
                  </w:pPr>
                </w:p>
              </w:tc>
              <w:tc>
                <w:tcPr>
                  <w:tcW w:w="439" w:type="pct"/>
                  <w:shd w:val="clear" w:color="auto" w:fill="auto"/>
                  <w:vAlign w:val="center"/>
                </w:tcPr>
                <w:p w14:paraId="67750E75">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5.79</w:t>
                  </w:r>
                </w:p>
              </w:tc>
              <w:tc>
                <w:tcPr>
                  <w:tcW w:w="414" w:type="pct"/>
                  <w:shd w:val="clear" w:color="auto" w:fill="auto"/>
                  <w:vAlign w:val="center"/>
                </w:tcPr>
                <w:p w14:paraId="6281AC68">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0.2432</w:t>
                  </w:r>
                </w:p>
              </w:tc>
              <w:tc>
                <w:tcPr>
                  <w:tcW w:w="423" w:type="pct"/>
                  <w:vMerge w:val="continue"/>
                  <w:shd w:val="clear" w:color="auto" w:fill="auto"/>
                  <w:vAlign w:val="center"/>
                </w:tcPr>
                <w:p w14:paraId="7C5A5072">
                  <w:pPr>
                    <w:widowControl/>
                    <w:jc w:val="center"/>
                    <w:rPr>
                      <w:color w:val="auto"/>
                      <w:kern w:val="0"/>
                      <w:sz w:val="18"/>
                      <w:szCs w:val="18"/>
                    </w:rPr>
                  </w:pPr>
                </w:p>
              </w:tc>
              <w:tc>
                <w:tcPr>
                  <w:tcW w:w="373" w:type="pct"/>
                  <w:shd w:val="clear" w:color="auto" w:fill="auto"/>
                  <w:vAlign w:val="center"/>
                </w:tcPr>
                <w:p w14:paraId="7E28326E">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98.16</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0D887372">
                  <w:pPr>
                    <w:jc w:val="center"/>
                    <w:rPr>
                      <w:color w:val="auto"/>
                      <w:kern w:val="0"/>
                      <w:sz w:val="18"/>
                      <w:szCs w:val="18"/>
                    </w:rPr>
                  </w:pPr>
                </w:p>
              </w:tc>
              <w:tc>
                <w:tcPr>
                  <w:tcW w:w="831" w:type="dxa"/>
                  <w:shd w:val="clear" w:color="auto" w:fill="auto"/>
                  <w:vAlign w:val="center"/>
                </w:tcPr>
                <w:p w14:paraId="497894C1">
                  <w:pPr>
                    <w:keepNext w:val="0"/>
                    <w:keepLines w:val="0"/>
                    <w:widowControl/>
                    <w:suppressLineNumbers w:val="0"/>
                    <w:jc w:val="center"/>
                    <w:textAlignment w:val="center"/>
                    <w:rPr>
                      <w:rFonts w:hint="default"/>
                      <w:color w:val="auto"/>
                      <w:kern w:val="0"/>
                      <w:sz w:val="18"/>
                      <w:szCs w:val="18"/>
                      <w:lang w:val="en-US" w:eastAsia="zh-CN" w:bidi="ar"/>
                    </w:rPr>
                  </w:pPr>
                  <w:r>
                    <w:rPr>
                      <w:rFonts w:hint="eastAsia" w:cs="Times New Roman"/>
                      <w:i w:val="0"/>
                      <w:iCs w:val="0"/>
                      <w:color w:val="auto"/>
                      <w:kern w:val="0"/>
                      <w:sz w:val="18"/>
                      <w:szCs w:val="18"/>
                      <w:u w:val="none"/>
                      <w:lang w:val="en-US" w:eastAsia="zh-CN" w:bidi="ar"/>
                    </w:rPr>
                    <w:t>0.11</w:t>
                  </w:r>
                </w:p>
              </w:tc>
              <w:tc>
                <w:tcPr>
                  <w:tcW w:w="647" w:type="dxa"/>
                  <w:shd w:val="clear" w:color="auto" w:fill="auto"/>
                  <w:vAlign w:val="center"/>
                </w:tcPr>
                <w:p w14:paraId="1B577538">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0046</w:t>
                  </w:r>
                </w:p>
              </w:tc>
              <w:tc>
                <w:tcPr>
                  <w:tcW w:w="315" w:type="pct"/>
                  <w:vMerge w:val="continue"/>
                  <w:shd w:val="clear" w:color="auto" w:fill="auto"/>
                  <w:vAlign w:val="center"/>
                </w:tcPr>
                <w:p w14:paraId="1B9F1FA2">
                  <w:pPr>
                    <w:widowControl/>
                    <w:jc w:val="center"/>
                    <w:rPr>
                      <w:color w:val="auto"/>
                      <w:kern w:val="0"/>
                      <w:sz w:val="18"/>
                      <w:szCs w:val="18"/>
                    </w:rPr>
                  </w:pPr>
                </w:p>
              </w:tc>
            </w:tr>
            <w:tr w14:paraId="77DE0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64F3F412">
                  <w:pPr>
                    <w:widowControl/>
                    <w:jc w:val="center"/>
                    <w:rPr>
                      <w:color w:val="auto"/>
                      <w:kern w:val="0"/>
                      <w:sz w:val="18"/>
                      <w:szCs w:val="18"/>
                    </w:rPr>
                  </w:pPr>
                </w:p>
              </w:tc>
              <w:tc>
                <w:tcPr>
                  <w:tcW w:w="454" w:type="pct"/>
                  <w:vMerge w:val="continue"/>
                  <w:shd w:val="clear" w:color="auto" w:fill="auto"/>
                  <w:vAlign w:val="center"/>
                </w:tcPr>
                <w:p w14:paraId="78BF6573">
                  <w:pPr>
                    <w:widowControl/>
                    <w:jc w:val="center"/>
                    <w:rPr>
                      <w:color w:val="auto"/>
                      <w:kern w:val="0"/>
                      <w:sz w:val="18"/>
                      <w:szCs w:val="18"/>
                    </w:rPr>
                  </w:pPr>
                </w:p>
              </w:tc>
              <w:tc>
                <w:tcPr>
                  <w:tcW w:w="387" w:type="pct"/>
                  <w:shd w:val="clear" w:color="auto" w:fill="auto"/>
                  <w:vAlign w:val="center"/>
                </w:tcPr>
                <w:p w14:paraId="7690ED66">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全盐量</w:t>
                  </w:r>
                </w:p>
              </w:tc>
              <w:tc>
                <w:tcPr>
                  <w:tcW w:w="239" w:type="pct"/>
                  <w:vMerge w:val="continue"/>
                  <w:shd w:val="clear" w:color="auto" w:fill="auto"/>
                  <w:vAlign w:val="center"/>
                </w:tcPr>
                <w:p w14:paraId="0C05C915">
                  <w:pPr>
                    <w:adjustRightInd w:val="0"/>
                    <w:snapToGrid w:val="0"/>
                    <w:jc w:val="center"/>
                    <w:rPr>
                      <w:rFonts w:hint="eastAsia" w:ascii="Times New Roman" w:hAnsi="Times New Roman" w:eastAsia="宋体" w:cs="Times New Roman"/>
                      <w:color w:val="auto"/>
                      <w:sz w:val="18"/>
                      <w:szCs w:val="18"/>
                      <w:lang w:val="en-US" w:eastAsia="zh-CN"/>
                    </w:rPr>
                  </w:pPr>
                </w:p>
              </w:tc>
              <w:tc>
                <w:tcPr>
                  <w:tcW w:w="451" w:type="pct"/>
                  <w:vMerge w:val="continue"/>
                  <w:shd w:val="clear" w:color="auto" w:fill="auto"/>
                  <w:vAlign w:val="center"/>
                </w:tcPr>
                <w:p w14:paraId="2C9FBB2C">
                  <w:pPr>
                    <w:adjustRightInd w:val="0"/>
                    <w:snapToGrid w:val="0"/>
                    <w:jc w:val="center"/>
                    <w:rPr>
                      <w:rFonts w:hint="eastAsia" w:ascii="Times New Roman" w:hAnsi="Times New Roman" w:eastAsia="宋体" w:cs="Times New Roman"/>
                      <w:color w:val="auto"/>
                      <w:sz w:val="18"/>
                      <w:szCs w:val="18"/>
                      <w:lang w:val="en-US" w:eastAsia="zh-CN"/>
                    </w:rPr>
                  </w:pPr>
                </w:p>
              </w:tc>
              <w:tc>
                <w:tcPr>
                  <w:tcW w:w="439" w:type="pct"/>
                  <w:shd w:val="clear" w:color="auto" w:fill="auto"/>
                  <w:vAlign w:val="center"/>
                </w:tcPr>
                <w:p w14:paraId="015985E5">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414" w:type="pct"/>
                  <w:shd w:val="clear" w:color="auto" w:fill="auto"/>
                  <w:vAlign w:val="center"/>
                </w:tcPr>
                <w:p w14:paraId="00615C82">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1.68</w:t>
                  </w:r>
                </w:p>
              </w:tc>
              <w:tc>
                <w:tcPr>
                  <w:tcW w:w="423" w:type="pct"/>
                  <w:vMerge w:val="continue"/>
                  <w:shd w:val="clear" w:color="auto" w:fill="auto"/>
                  <w:vAlign w:val="center"/>
                </w:tcPr>
                <w:p w14:paraId="3904E1CF">
                  <w:pPr>
                    <w:adjustRightInd w:val="0"/>
                    <w:snapToGrid w:val="0"/>
                    <w:jc w:val="center"/>
                    <w:rPr>
                      <w:rFonts w:hint="eastAsia" w:ascii="Times New Roman" w:hAnsi="Times New Roman" w:eastAsia="宋体" w:cs="Times New Roman"/>
                      <w:color w:val="auto"/>
                      <w:sz w:val="18"/>
                      <w:szCs w:val="18"/>
                      <w:lang w:val="en-US" w:eastAsia="zh-CN"/>
                    </w:rPr>
                  </w:pPr>
                </w:p>
              </w:tc>
              <w:tc>
                <w:tcPr>
                  <w:tcW w:w="373" w:type="pct"/>
                  <w:shd w:val="clear" w:color="auto" w:fill="auto"/>
                  <w:vAlign w:val="center"/>
                </w:tcPr>
                <w:p w14:paraId="459334E9">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372" w:type="pct"/>
                  <w:vMerge w:val="continue"/>
                  <w:shd w:val="clear" w:color="auto" w:fill="auto"/>
                  <w:vAlign w:val="center"/>
                </w:tcPr>
                <w:p w14:paraId="00A1AE2B">
                  <w:pPr>
                    <w:adjustRightInd w:val="0"/>
                    <w:snapToGrid w:val="0"/>
                    <w:jc w:val="center"/>
                    <w:rPr>
                      <w:rFonts w:hint="eastAsia" w:ascii="Times New Roman" w:hAnsi="Times New Roman" w:eastAsia="宋体" w:cs="Times New Roman"/>
                      <w:color w:val="auto"/>
                      <w:sz w:val="18"/>
                      <w:szCs w:val="18"/>
                      <w:lang w:val="en-US" w:eastAsia="zh-CN"/>
                    </w:rPr>
                  </w:pPr>
                </w:p>
              </w:tc>
              <w:tc>
                <w:tcPr>
                  <w:tcW w:w="487" w:type="pct"/>
                  <w:shd w:val="clear" w:color="auto" w:fill="auto"/>
                  <w:vAlign w:val="center"/>
                </w:tcPr>
                <w:p w14:paraId="0EB1E847">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379" w:type="pct"/>
                  <w:shd w:val="clear" w:color="auto" w:fill="auto"/>
                  <w:vAlign w:val="center"/>
                </w:tcPr>
                <w:p w14:paraId="38EAE11D">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1.68</w:t>
                  </w:r>
                </w:p>
              </w:tc>
              <w:tc>
                <w:tcPr>
                  <w:tcW w:w="315" w:type="pct"/>
                  <w:vMerge w:val="continue"/>
                  <w:shd w:val="clear" w:color="auto" w:fill="auto"/>
                  <w:vAlign w:val="center"/>
                </w:tcPr>
                <w:p w14:paraId="29A7C821">
                  <w:pPr>
                    <w:widowControl/>
                    <w:jc w:val="center"/>
                    <w:rPr>
                      <w:color w:val="auto"/>
                      <w:kern w:val="0"/>
                      <w:sz w:val="18"/>
                      <w:szCs w:val="18"/>
                    </w:rPr>
                  </w:pPr>
                </w:p>
              </w:tc>
            </w:tr>
            <w:bookmarkEnd w:id="35"/>
            <w:bookmarkEnd w:id="36"/>
          </w:tbl>
          <w:p w14:paraId="2406338C">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4-8</w:t>
            </w:r>
            <w:r>
              <w:rPr>
                <w:rFonts w:hint="eastAsia" w:ascii="Times New Roman" w:hAnsi="Times New Roman" w:eastAsia="宋体" w:cs="Times New Roman"/>
                <w:b/>
                <w:bCs/>
                <w:color w:val="auto"/>
                <w:sz w:val="21"/>
                <w:szCs w:val="21"/>
                <w:lang w:eastAsia="zh-CN"/>
              </w:rPr>
              <w:t>类比可行性分析</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3303"/>
              <w:gridCol w:w="3327"/>
              <w:gridCol w:w="797"/>
            </w:tblGrid>
            <w:tr w14:paraId="126301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tcBorders>
                    <w:tl2br w:val="nil"/>
                    <w:tr2bl w:val="nil"/>
                  </w:tcBorders>
                  <w:vAlign w:val="center"/>
                </w:tcPr>
                <w:p w14:paraId="10ABBEC8">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类别</w:t>
                  </w:r>
                </w:p>
              </w:tc>
              <w:tc>
                <w:tcPr>
                  <w:tcW w:w="1936" w:type="pct"/>
                  <w:tcBorders>
                    <w:tl2br w:val="nil"/>
                    <w:tr2bl w:val="nil"/>
                  </w:tcBorders>
                  <w:vAlign w:val="center"/>
                </w:tcPr>
                <w:p w14:paraId="3822ADD0">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类比项目重庆市渝味漂香食品有限公司渝味漂香预制菜及休闲食品加工项目</w:t>
                  </w:r>
                </w:p>
              </w:tc>
              <w:tc>
                <w:tcPr>
                  <w:tcW w:w="1950" w:type="pct"/>
                  <w:tcBorders>
                    <w:tl2br w:val="nil"/>
                    <w:tr2bl w:val="nil"/>
                  </w:tcBorders>
                  <w:vAlign w:val="center"/>
                </w:tcPr>
                <w:p w14:paraId="5A4F7C3B">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本项目</w:t>
                  </w:r>
                </w:p>
              </w:tc>
              <w:tc>
                <w:tcPr>
                  <w:tcW w:w="467" w:type="pct"/>
                  <w:tcBorders>
                    <w:tl2br w:val="nil"/>
                    <w:tr2bl w:val="nil"/>
                  </w:tcBorders>
                  <w:vAlign w:val="center"/>
                </w:tcPr>
                <w:p w14:paraId="6AE29438">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类比结果</w:t>
                  </w:r>
                </w:p>
              </w:tc>
            </w:tr>
            <w:tr w14:paraId="2E04A9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6" w:type="pct"/>
                  <w:tcBorders>
                    <w:tl2br w:val="nil"/>
                    <w:tr2bl w:val="nil"/>
                  </w:tcBorders>
                  <w:vAlign w:val="center"/>
                </w:tcPr>
                <w:p w14:paraId="0212B4C4">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产品方案</w:t>
                  </w:r>
                </w:p>
              </w:tc>
              <w:tc>
                <w:tcPr>
                  <w:tcW w:w="1936" w:type="pct"/>
                  <w:tcBorders>
                    <w:tl2br w:val="nil"/>
                    <w:tr2bl w:val="nil"/>
                  </w:tcBorders>
                  <w:vAlign w:val="center"/>
                </w:tcPr>
                <w:p w14:paraId="5BFEE3B1">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预制菜（海产品、肉类、海藻类）</w:t>
                  </w:r>
                </w:p>
              </w:tc>
              <w:tc>
                <w:tcPr>
                  <w:tcW w:w="1950" w:type="pct"/>
                  <w:tcBorders>
                    <w:tl2br w:val="nil"/>
                    <w:tr2bl w:val="nil"/>
                  </w:tcBorders>
                  <w:vAlign w:val="center"/>
                </w:tcPr>
                <w:p w14:paraId="2CFB273B">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预制菜（</w:t>
                  </w:r>
                  <w:r>
                    <w:rPr>
                      <w:rFonts w:hint="eastAsia" w:cs="Times New Roman"/>
                      <w:color w:val="auto"/>
                      <w:sz w:val="21"/>
                      <w:szCs w:val="21"/>
                      <w:lang w:eastAsia="zh-CN"/>
                    </w:rPr>
                    <w:t>鱼皮</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裙带菜</w:t>
                  </w:r>
                  <w:r>
                    <w:rPr>
                      <w:rFonts w:hint="eastAsia" w:ascii="Times New Roman" w:hAnsi="Times New Roman" w:eastAsia="宋体" w:cs="Times New Roman"/>
                      <w:color w:val="auto"/>
                      <w:sz w:val="21"/>
                      <w:szCs w:val="21"/>
                      <w:lang w:eastAsia="zh-CN"/>
                    </w:rPr>
                    <w:t>）</w:t>
                  </w:r>
                </w:p>
              </w:tc>
              <w:tc>
                <w:tcPr>
                  <w:tcW w:w="467" w:type="pct"/>
                  <w:tcBorders>
                    <w:tl2br w:val="nil"/>
                    <w:tr2bl w:val="nil"/>
                  </w:tcBorders>
                  <w:vAlign w:val="center"/>
                </w:tcPr>
                <w:p w14:paraId="5E8A142D">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类似</w:t>
                  </w:r>
                </w:p>
              </w:tc>
            </w:tr>
            <w:tr w14:paraId="7EB491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tcBorders>
                    <w:tl2br w:val="nil"/>
                    <w:tr2bl w:val="nil"/>
                  </w:tcBorders>
                  <w:vAlign w:val="center"/>
                </w:tcPr>
                <w:p w14:paraId="017D26CE">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生产工艺</w:t>
                  </w:r>
                </w:p>
              </w:tc>
              <w:tc>
                <w:tcPr>
                  <w:tcW w:w="1936" w:type="pct"/>
                  <w:tcBorders>
                    <w:tl2br w:val="nil"/>
                    <w:tr2bl w:val="nil"/>
                  </w:tcBorders>
                  <w:shd w:val="clear" w:color="auto" w:fill="auto"/>
                  <w:vAlign w:val="center"/>
                </w:tcPr>
                <w:p w14:paraId="498027F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解冻</w:t>
                  </w:r>
                  <w:r>
                    <w:rPr>
                      <w:rFonts w:hint="eastAsia" w:ascii="Times New Roman" w:hAnsi="Times New Roman" w:eastAsia="宋体" w:cs="Times New Roman"/>
                      <w:color w:val="auto"/>
                      <w:sz w:val="21"/>
                      <w:szCs w:val="21"/>
                      <w:lang w:val="en-US" w:eastAsia="zh-CN"/>
                    </w:rPr>
                    <w:t>-切割-漂洗-调味-冷却-脱水-烘干-发运</w:t>
                  </w:r>
                </w:p>
              </w:tc>
              <w:tc>
                <w:tcPr>
                  <w:tcW w:w="1950" w:type="pct"/>
                  <w:tcBorders>
                    <w:tl2br w:val="nil"/>
                    <w:tr2bl w:val="nil"/>
                  </w:tcBorders>
                  <w:shd w:val="clear" w:color="auto" w:fill="auto"/>
                  <w:vAlign w:val="center"/>
                </w:tcPr>
                <w:p w14:paraId="642B55E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解冻</w:t>
                  </w:r>
                  <w:r>
                    <w:rPr>
                      <w:rFonts w:hint="eastAsia" w:ascii="Times New Roman" w:hAnsi="Times New Roman" w:eastAsia="宋体" w:cs="Times New Roman"/>
                      <w:color w:val="auto"/>
                      <w:sz w:val="21"/>
                      <w:szCs w:val="21"/>
                      <w:lang w:val="en-US" w:eastAsia="zh-CN"/>
                    </w:rPr>
                    <w:t>-切割-漂洗-调味-冷却-脱水-烘干-发运</w:t>
                  </w:r>
                </w:p>
              </w:tc>
              <w:tc>
                <w:tcPr>
                  <w:tcW w:w="467" w:type="pct"/>
                  <w:tcBorders>
                    <w:tl2br w:val="nil"/>
                    <w:tr2bl w:val="nil"/>
                  </w:tcBorders>
                  <w:vAlign w:val="center"/>
                </w:tcPr>
                <w:p w14:paraId="0DEEC57B">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类似</w:t>
                  </w:r>
                </w:p>
              </w:tc>
            </w:tr>
            <w:tr w14:paraId="195FAD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tcBorders>
                    <w:tl2br w:val="nil"/>
                    <w:tr2bl w:val="nil"/>
                  </w:tcBorders>
                  <w:vAlign w:val="center"/>
                </w:tcPr>
                <w:p w14:paraId="5C86F576">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原辅料</w:t>
                  </w:r>
                </w:p>
              </w:tc>
              <w:tc>
                <w:tcPr>
                  <w:tcW w:w="1936" w:type="pct"/>
                  <w:tcBorders>
                    <w:tl2br w:val="nil"/>
                    <w:tr2bl w:val="nil"/>
                  </w:tcBorders>
                  <w:shd w:val="clear" w:color="auto" w:fill="auto"/>
                  <w:vAlign w:val="center"/>
                </w:tcPr>
                <w:p w14:paraId="765D0FED">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冷冻海鲜、冷冻肉类</w:t>
                  </w:r>
                  <w:r>
                    <w:rPr>
                      <w:rFonts w:hint="eastAsia" w:cs="Times New Roman"/>
                      <w:color w:val="auto"/>
                      <w:sz w:val="21"/>
                      <w:szCs w:val="21"/>
                      <w:lang w:eastAsia="zh-CN"/>
                    </w:rPr>
                    <w:t>、盐渍藻类</w:t>
                  </w:r>
                </w:p>
              </w:tc>
              <w:tc>
                <w:tcPr>
                  <w:tcW w:w="1950" w:type="pct"/>
                  <w:tcBorders>
                    <w:tl2br w:val="nil"/>
                    <w:tr2bl w:val="nil"/>
                  </w:tcBorders>
                  <w:shd w:val="clear" w:color="auto" w:fill="auto"/>
                  <w:vAlign w:val="center"/>
                </w:tcPr>
                <w:p w14:paraId="4CA3E26B">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冷冻海鲜</w:t>
                  </w:r>
                  <w:r>
                    <w:rPr>
                      <w:rFonts w:hint="eastAsia" w:cs="Times New Roman"/>
                      <w:color w:val="auto"/>
                      <w:sz w:val="21"/>
                      <w:szCs w:val="21"/>
                      <w:lang w:eastAsia="zh-CN"/>
                    </w:rPr>
                    <w:t>、盐渍藻类</w:t>
                  </w:r>
                </w:p>
              </w:tc>
              <w:tc>
                <w:tcPr>
                  <w:tcW w:w="467" w:type="pct"/>
                  <w:tcBorders>
                    <w:tl2br w:val="nil"/>
                    <w:tr2bl w:val="nil"/>
                  </w:tcBorders>
                  <w:vAlign w:val="center"/>
                </w:tcPr>
                <w:p w14:paraId="39ACC8D6">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类似</w:t>
                  </w:r>
                </w:p>
              </w:tc>
            </w:tr>
          </w:tbl>
          <w:p w14:paraId="090F7516">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根据上表类比分析可知，本项目与重庆市渝味漂香食品有限公司渝味漂香预制菜及休闲食品加工项目具有相似性，故本项目处理废水水质参照类比项目分析是可行的，产生浓度见下表</w:t>
            </w:r>
          </w:p>
          <w:p w14:paraId="01EE6DAE">
            <w:pPr>
              <w:adjustRightInd w:val="0"/>
              <w:snapToGrid w:val="0"/>
              <w:jc w:val="center"/>
              <w:rPr>
                <w:rFonts w:hint="eastAsia" w:ascii="Times New Roman" w:hAnsi="Times New Roman" w:eastAsia="宋体" w:cs="Times New Roman"/>
                <w:b/>
                <w:bCs/>
                <w:color w:val="auto"/>
                <w:sz w:val="21"/>
                <w:szCs w:val="21"/>
                <w:lang w:val="en-US" w:eastAsia="zh-CN"/>
              </w:rPr>
            </w:pPr>
          </w:p>
          <w:p w14:paraId="043A6686">
            <w:pPr>
              <w:adjustRightInd w:val="0"/>
              <w:snapToGrid w:val="0"/>
              <w:jc w:val="center"/>
              <w:rPr>
                <w:rFonts w:hint="eastAsia" w:ascii="Times New Roman" w:hAnsi="Times New Roman" w:eastAsia="宋体" w:cs="Times New Roman"/>
                <w:b/>
                <w:bCs/>
                <w:color w:val="auto"/>
                <w:sz w:val="21"/>
                <w:szCs w:val="21"/>
                <w:lang w:val="en-US" w:eastAsia="zh-CN"/>
              </w:rPr>
            </w:pPr>
          </w:p>
          <w:p w14:paraId="02F69B2E">
            <w:pPr>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表4-9</w:t>
            </w:r>
            <w:r>
              <w:rPr>
                <w:rFonts w:hint="eastAsia" w:cs="Times New Roman"/>
                <w:b/>
                <w:bCs/>
                <w:color w:val="auto"/>
                <w:sz w:val="21"/>
                <w:szCs w:val="21"/>
                <w:lang w:val="en-US" w:eastAsia="zh-CN"/>
              </w:rPr>
              <w:t>类</w:t>
            </w:r>
            <w:r>
              <w:rPr>
                <w:rFonts w:hint="eastAsia" w:ascii="Times New Roman" w:hAnsi="Times New Roman" w:eastAsia="宋体" w:cs="Times New Roman"/>
                <w:b/>
                <w:bCs/>
                <w:color w:val="auto"/>
                <w:sz w:val="21"/>
                <w:szCs w:val="21"/>
                <w:lang w:val="en-US" w:eastAsia="zh-CN"/>
              </w:rPr>
              <w:t>比项目污染物浓度</w:t>
            </w:r>
          </w:p>
          <w:tbl>
            <w:tblPr>
              <w:tblStyle w:val="33"/>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58"/>
              <w:gridCol w:w="958"/>
              <w:gridCol w:w="958"/>
              <w:gridCol w:w="958"/>
              <w:gridCol w:w="958"/>
              <w:gridCol w:w="820"/>
              <w:gridCol w:w="1094"/>
              <w:gridCol w:w="967"/>
            </w:tblGrid>
            <w:tr w14:paraId="47E013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99" w:type="pct"/>
                  <w:vMerge w:val="restart"/>
                  <w:tcBorders>
                    <w:tl2br w:val="nil"/>
                    <w:tr2bl w:val="nil"/>
                  </w:tcBorders>
                  <w:vAlign w:val="center"/>
                </w:tcPr>
                <w:p w14:paraId="24592F7F">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废水类型</w:t>
                  </w:r>
                </w:p>
              </w:tc>
              <w:tc>
                <w:tcPr>
                  <w:tcW w:w="4500" w:type="pct"/>
                  <w:gridSpan w:val="8"/>
                  <w:tcBorders>
                    <w:tl2br w:val="nil"/>
                    <w:tr2bl w:val="nil"/>
                  </w:tcBorders>
                  <w:vAlign w:val="center"/>
                </w:tcPr>
                <w:p w14:paraId="37E2A9BE">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产生浓度（mg/L）</w:t>
                  </w:r>
                </w:p>
              </w:tc>
            </w:tr>
            <w:tr w14:paraId="0D76FB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499" w:type="pct"/>
                  <w:vMerge w:val="continue"/>
                  <w:tcBorders>
                    <w:tl2br w:val="nil"/>
                    <w:tr2bl w:val="nil"/>
                  </w:tcBorders>
                  <w:vAlign w:val="center"/>
                </w:tcPr>
                <w:p w14:paraId="129D3EAB">
                  <w:pPr>
                    <w:adjustRightInd w:val="0"/>
                    <w:snapToGrid w:val="0"/>
                    <w:jc w:val="center"/>
                    <w:rPr>
                      <w:rFonts w:hint="eastAsia" w:ascii="Times New Roman" w:hAnsi="Times New Roman" w:eastAsia="宋体" w:cs="Times New Roman"/>
                      <w:b/>
                      <w:bCs/>
                      <w:color w:val="auto"/>
                      <w:sz w:val="21"/>
                      <w:szCs w:val="21"/>
                      <w:lang w:eastAsia="zh-CN"/>
                    </w:rPr>
                  </w:pPr>
                </w:p>
              </w:tc>
              <w:tc>
                <w:tcPr>
                  <w:tcW w:w="562" w:type="pct"/>
                  <w:tcBorders>
                    <w:tl2br w:val="nil"/>
                    <w:tr2bl w:val="nil"/>
                  </w:tcBorders>
                  <w:vAlign w:val="center"/>
                </w:tcPr>
                <w:p w14:paraId="1CDCC499">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COD</w:t>
                  </w:r>
                </w:p>
              </w:tc>
              <w:tc>
                <w:tcPr>
                  <w:tcW w:w="562" w:type="pct"/>
                  <w:tcBorders>
                    <w:tl2br w:val="nil"/>
                    <w:tr2bl w:val="nil"/>
                  </w:tcBorders>
                  <w:vAlign w:val="center"/>
                </w:tcPr>
                <w:p w14:paraId="4A30531C">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SS</w:t>
                  </w:r>
                </w:p>
              </w:tc>
              <w:tc>
                <w:tcPr>
                  <w:tcW w:w="562" w:type="pct"/>
                  <w:tcBorders>
                    <w:tl2br w:val="nil"/>
                    <w:tr2bl w:val="nil"/>
                  </w:tcBorders>
                  <w:vAlign w:val="center"/>
                </w:tcPr>
                <w:p w14:paraId="41F63E97">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BOD</w:t>
                  </w:r>
                  <w:r>
                    <w:rPr>
                      <w:rFonts w:hint="eastAsia" w:ascii="Times New Roman" w:hAnsi="Times New Roman" w:eastAsia="宋体" w:cs="Times New Roman"/>
                      <w:b/>
                      <w:bCs/>
                      <w:color w:val="auto"/>
                      <w:sz w:val="21"/>
                      <w:szCs w:val="21"/>
                      <w:vertAlign w:val="subscript"/>
                      <w:lang w:eastAsia="zh-CN"/>
                    </w:rPr>
                    <w:t>5</w:t>
                  </w:r>
                </w:p>
              </w:tc>
              <w:tc>
                <w:tcPr>
                  <w:tcW w:w="562" w:type="pct"/>
                  <w:tcBorders>
                    <w:tl2br w:val="nil"/>
                    <w:tr2bl w:val="nil"/>
                  </w:tcBorders>
                  <w:shd w:val="clear" w:color="auto" w:fill="auto"/>
                  <w:vAlign w:val="center"/>
                </w:tcPr>
                <w:p w14:paraId="34B89012">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NH</w:t>
                  </w:r>
                  <w:r>
                    <w:rPr>
                      <w:rFonts w:hint="eastAsia" w:ascii="Times New Roman" w:hAnsi="Times New Roman" w:eastAsia="宋体" w:cs="Times New Roman"/>
                      <w:b/>
                      <w:bCs/>
                      <w:color w:val="auto"/>
                      <w:sz w:val="21"/>
                      <w:szCs w:val="21"/>
                      <w:vertAlign w:val="subscript"/>
                      <w:lang w:eastAsia="zh-CN"/>
                    </w:rPr>
                    <w:t>3</w:t>
                  </w:r>
                  <w:r>
                    <w:rPr>
                      <w:rFonts w:hint="eastAsia" w:ascii="Times New Roman" w:hAnsi="Times New Roman" w:eastAsia="宋体" w:cs="Times New Roman"/>
                      <w:b/>
                      <w:bCs/>
                      <w:color w:val="auto"/>
                      <w:sz w:val="21"/>
                      <w:szCs w:val="21"/>
                      <w:lang w:eastAsia="zh-CN"/>
                    </w:rPr>
                    <w:t>-N</w:t>
                  </w:r>
                </w:p>
              </w:tc>
              <w:tc>
                <w:tcPr>
                  <w:tcW w:w="562" w:type="pct"/>
                  <w:tcBorders>
                    <w:tl2br w:val="nil"/>
                    <w:tr2bl w:val="nil"/>
                  </w:tcBorders>
                  <w:shd w:val="clear" w:color="auto" w:fill="auto"/>
                  <w:vAlign w:val="center"/>
                </w:tcPr>
                <w:p w14:paraId="64AD1100">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TP</w:t>
                  </w:r>
                </w:p>
              </w:tc>
              <w:tc>
                <w:tcPr>
                  <w:tcW w:w="481" w:type="pct"/>
                  <w:tcBorders>
                    <w:tl2br w:val="nil"/>
                    <w:tr2bl w:val="nil"/>
                  </w:tcBorders>
                  <w:shd w:val="clear" w:color="auto" w:fill="auto"/>
                  <w:vAlign w:val="center"/>
                </w:tcPr>
                <w:p w14:paraId="07E5344B">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TN</w:t>
                  </w:r>
                </w:p>
              </w:tc>
              <w:tc>
                <w:tcPr>
                  <w:tcW w:w="642" w:type="pct"/>
                  <w:tcBorders>
                    <w:tl2br w:val="nil"/>
                    <w:tr2bl w:val="nil"/>
                  </w:tcBorders>
                  <w:shd w:val="clear" w:color="auto" w:fill="auto"/>
                  <w:vAlign w:val="center"/>
                </w:tcPr>
                <w:p w14:paraId="40DFF241">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动植物油</w:t>
                  </w:r>
                </w:p>
              </w:tc>
              <w:tc>
                <w:tcPr>
                  <w:tcW w:w="566" w:type="pct"/>
                  <w:tcBorders>
                    <w:tl2br w:val="nil"/>
                    <w:tr2bl w:val="nil"/>
                  </w:tcBorders>
                  <w:shd w:val="clear" w:color="auto" w:fill="auto"/>
                  <w:vAlign w:val="center"/>
                </w:tcPr>
                <w:p w14:paraId="642AD9B7">
                  <w:pPr>
                    <w:adjustRightInd w:val="0"/>
                    <w:snapToGrid w:val="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全盐量</w:t>
                  </w:r>
                </w:p>
              </w:tc>
            </w:tr>
            <w:tr w14:paraId="6C9CD3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99" w:type="pct"/>
                  <w:tcBorders>
                    <w:tl2br w:val="nil"/>
                    <w:tr2bl w:val="nil"/>
                  </w:tcBorders>
                  <w:vAlign w:val="center"/>
                </w:tcPr>
                <w:p w14:paraId="598E19D2">
                  <w:pPr>
                    <w:adjustRightInd w:val="0"/>
                    <w:snapToGrid w:val="0"/>
                    <w:jc w:val="center"/>
                    <w:rPr>
                      <w:rFonts w:hint="eastAsia" w:cs="Times New Roman"/>
                      <w:b/>
                      <w:bCs/>
                      <w:color w:val="auto"/>
                      <w:sz w:val="21"/>
                      <w:szCs w:val="21"/>
                      <w:lang w:eastAsia="zh-CN"/>
                    </w:rPr>
                  </w:pPr>
                  <w:r>
                    <w:rPr>
                      <w:rFonts w:hint="eastAsia" w:cs="Times New Roman"/>
                      <w:b/>
                      <w:bCs/>
                      <w:color w:val="auto"/>
                      <w:sz w:val="21"/>
                      <w:szCs w:val="21"/>
                      <w:lang w:eastAsia="zh-CN"/>
                    </w:rPr>
                    <w:t>生产</w:t>
                  </w:r>
                </w:p>
                <w:p w14:paraId="6B478655">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废水</w:t>
                  </w:r>
                </w:p>
              </w:tc>
              <w:tc>
                <w:tcPr>
                  <w:tcW w:w="562" w:type="pct"/>
                  <w:tcBorders>
                    <w:tl2br w:val="nil"/>
                    <w:tr2bl w:val="nil"/>
                  </w:tcBorders>
                  <w:vAlign w:val="center"/>
                </w:tcPr>
                <w:p w14:paraId="777F524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868</w:t>
                  </w:r>
                </w:p>
              </w:tc>
              <w:tc>
                <w:tcPr>
                  <w:tcW w:w="562" w:type="pct"/>
                  <w:tcBorders>
                    <w:tl2br w:val="nil"/>
                    <w:tr2bl w:val="nil"/>
                  </w:tcBorders>
                  <w:vAlign w:val="center"/>
                </w:tcPr>
                <w:p w14:paraId="5119333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w:t>
                  </w:r>
                </w:p>
              </w:tc>
              <w:tc>
                <w:tcPr>
                  <w:tcW w:w="562" w:type="pct"/>
                  <w:tcBorders>
                    <w:tl2br w:val="nil"/>
                    <w:tr2bl w:val="nil"/>
                  </w:tcBorders>
                  <w:vAlign w:val="center"/>
                </w:tcPr>
                <w:p w14:paraId="4F2271A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391</w:t>
                  </w:r>
                </w:p>
              </w:tc>
              <w:tc>
                <w:tcPr>
                  <w:tcW w:w="562" w:type="pct"/>
                  <w:tcBorders>
                    <w:tl2br w:val="nil"/>
                    <w:tr2bl w:val="nil"/>
                  </w:tcBorders>
                  <w:vAlign w:val="center"/>
                </w:tcPr>
                <w:p w14:paraId="746048E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2.2</w:t>
                  </w:r>
                </w:p>
              </w:tc>
              <w:tc>
                <w:tcPr>
                  <w:tcW w:w="562" w:type="pct"/>
                  <w:tcBorders>
                    <w:tl2br w:val="nil"/>
                    <w:tr2bl w:val="nil"/>
                  </w:tcBorders>
                  <w:vAlign w:val="center"/>
                </w:tcPr>
                <w:p w14:paraId="76237BF7">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14.3</w:t>
                  </w:r>
                </w:p>
              </w:tc>
              <w:tc>
                <w:tcPr>
                  <w:tcW w:w="481" w:type="pct"/>
                  <w:tcBorders>
                    <w:tl2br w:val="nil"/>
                    <w:tr2bl w:val="nil"/>
                  </w:tcBorders>
                  <w:vAlign w:val="center"/>
                </w:tcPr>
                <w:p w14:paraId="3D80E8C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108.4</w:t>
                  </w:r>
                </w:p>
              </w:tc>
              <w:tc>
                <w:tcPr>
                  <w:tcW w:w="642" w:type="pct"/>
                  <w:tcBorders>
                    <w:tl2br w:val="nil"/>
                    <w:tr2bl w:val="nil"/>
                  </w:tcBorders>
                  <w:vAlign w:val="center"/>
                </w:tcPr>
                <w:p w14:paraId="0018A7A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5.79</w:t>
                  </w:r>
                </w:p>
              </w:tc>
              <w:tc>
                <w:tcPr>
                  <w:tcW w:w="566" w:type="pct"/>
                  <w:tcBorders>
                    <w:tl2br w:val="nil"/>
                    <w:tr2bl w:val="nil"/>
                  </w:tcBorders>
                  <w:vAlign w:val="center"/>
                </w:tcPr>
                <w:p w14:paraId="0BCEB64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r>
          </w:tbl>
          <w:p w14:paraId="34412B14">
            <w:pPr>
              <w:spacing w:line="360" w:lineRule="auto"/>
              <w:ind w:firstLine="480" w:firstLineChars="200"/>
              <w:rPr>
                <w:rFonts w:hint="eastAsia"/>
                <w:color w:val="auto"/>
                <w:sz w:val="24"/>
                <w:lang w:eastAsia="zh-CN"/>
              </w:rPr>
            </w:pPr>
            <w:r>
              <w:rPr>
                <w:rFonts w:hint="eastAsia"/>
                <w:color w:val="auto"/>
                <w:sz w:val="24"/>
                <w:szCs w:val="24"/>
                <w:lang w:val="en-US" w:eastAsia="zh-CN"/>
              </w:rPr>
              <w:t>B.</w:t>
            </w:r>
            <w:r>
              <w:rPr>
                <w:rFonts w:hint="eastAsia" w:ascii="Times New Roman" w:hAnsi="Times New Roman" w:eastAsia="宋体" w:cs="Times New Roman"/>
                <w:color w:val="auto"/>
                <w:sz w:val="24"/>
                <w:lang w:eastAsia="zh-CN"/>
              </w:rPr>
              <w:t>设备清洗废水、地面冲洗废水</w:t>
            </w:r>
            <w:r>
              <w:rPr>
                <w:rFonts w:hint="eastAsia"/>
                <w:color w:val="auto"/>
                <w:sz w:val="24"/>
                <w:szCs w:val="24"/>
                <w:lang w:val="en-US" w:eastAsia="zh-CN"/>
              </w:rPr>
              <w:t>：</w:t>
            </w:r>
            <w:r>
              <w:rPr>
                <w:color w:val="auto"/>
                <w:sz w:val="24"/>
              </w:rPr>
              <w:t>设备清洗废水</w:t>
            </w:r>
            <w:r>
              <w:rPr>
                <w:rFonts w:hint="eastAsia"/>
                <w:color w:val="auto"/>
                <w:sz w:val="24"/>
              </w:rPr>
              <w:t>经隔油池处理后排入厂内污水处理站；</w:t>
            </w:r>
            <w:r>
              <w:rPr>
                <w:color w:val="auto"/>
                <w:sz w:val="24"/>
              </w:rPr>
              <w:t>地面清洁废水</w:t>
            </w:r>
            <w:r>
              <w:rPr>
                <w:rFonts w:hint="eastAsia"/>
                <w:color w:val="auto"/>
                <w:sz w:val="24"/>
              </w:rPr>
              <w:t>排入厂区污水处理站，</w:t>
            </w:r>
            <w:r>
              <w:rPr>
                <w:color w:val="auto"/>
                <w:sz w:val="24"/>
              </w:rPr>
              <w:t>经污水处理站处置达标后接管至涟水经济开发区西区污水处理厂集中处置，尾水排放至公兴河。</w:t>
            </w:r>
          </w:p>
          <w:p w14:paraId="2EA77680">
            <w:pPr>
              <w:jc w:val="center"/>
              <w:rPr>
                <w:b/>
                <w:color w:val="auto"/>
                <w:sz w:val="24"/>
              </w:rPr>
            </w:pPr>
            <w:r>
              <w:rPr>
                <w:b/>
                <w:color w:val="auto"/>
                <w:sz w:val="24"/>
              </w:rPr>
              <w:t>表4-</w:t>
            </w:r>
            <w:r>
              <w:rPr>
                <w:rFonts w:hint="eastAsia"/>
                <w:b/>
                <w:color w:val="auto"/>
                <w:sz w:val="24"/>
                <w:lang w:val="en-US" w:eastAsia="zh-CN"/>
              </w:rPr>
              <w:t>10</w:t>
            </w:r>
            <w:r>
              <w:rPr>
                <w:b/>
                <w:color w:val="auto"/>
                <w:sz w:val="24"/>
              </w:rPr>
              <w:t xml:space="preserve"> </w:t>
            </w:r>
            <w:r>
              <w:rPr>
                <w:rFonts w:hint="eastAsia"/>
                <w:b/>
                <w:color w:val="auto"/>
                <w:sz w:val="24"/>
              </w:rPr>
              <w:t>冲洗</w:t>
            </w:r>
            <w:r>
              <w:rPr>
                <w:b/>
                <w:color w:val="auto"/>
                <w:sz w:val="24"/>
              </w:rPr>
              <w:t>废水污染源源强产生情况一览表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971"/>
              <w:gridCol w:w="1036"/>
              <w:gridCol w:w="1162"/>
              <w:gridCol w:w="1215"/>
              <w:gridCol w:w="1422"/>
              <w:gridCol w:w="1533"/>
            </w:tblGrid>
            <w:tr w14:paraId="61E64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97" w:type="pct"/>
                  <w:tcBorders>
                    <w:bottom w:val="single" w:color="auto" w:sz="12" w:space="0"/>
                  </w:tcBorders>
                  <w:shd w:val="clear" w:color="auto" w:fill="auto"/>
                  <w:vAlign w:val="center"/>
                </w:tcPr>
                <w:p w14:paraId="56315C6A">
                  <w:pPr>
                    <w:jc w:val="center"/>
                    <w:rPr>
                      <w:b/>
                      <w:color w:val="auto"/>
                      <w:szCs w:val="21"/>
                    </w:rPr>
                  </w:pPr>
                  <w:r>
                    <w:rPr>
                      <w:b/>
                      <w:color w:val="auto"/>
                      <w:szCs w:val="21"/>
                    </w:rPr>
                    <w:t>工序</w:t>
                  </w:r>
                </w:p>
              </w:tc>
              <w:tc>
                <w:tcPr>
                  <w:tcW w:w="569" w:type="pct"/>
                  <w:tcBorders>
                    <w:bottom w:val="single" w:color="auto" w:sz="12" w:space="0"/>
                  </w:tcBorders>
                  <w:shd w:val="clear" w:color="auto" w:fill="auto"/>
                  <w:vAlign w:val="center"/>
                </w:tcPr>
                <w:p w14:paraId="7CBF7D8C">
                  <w:pPr>
                    <w:jc w:val="center"/>
                    <w:rPr>
                      <w:b/>
                      <w:color w:val="auto"/>
                      <w:szCs w:val="21"/>
                    </w:rPr>
                  </w:pPr>
                  <w:r>
                    <w:rPr>
                      <w:b/>
                      <w:color w:val="auto"/>
                      <w:szCs w:val="21"/>
                    </w:rPr>
                    <w:t>污染源</w:t>
                  </w:r>
                </w:p>
              </w:tc>
              <w:tc>
                <w:tcPr>
                  <w:tcW w:w="607" w:type="pct"/>
                  <w:tcBorders>
                    <w:bottom w:val="single" w:color="auto" w:sz="12" w:space="0"/>
                  </w:tcBorders>
                  <w:shd w:val="clear" w:color="auto" w:fill="auto"/>
                  <w:vAlign w:val="center"/>
                </w:tcPr>
                <w:p w14:paraId="292EAB8F">
                  <w:pPr>
                    <w:jc w:val="center"/>
                    <w:rPr>
                      <w:b/>
                      <w:color w:val="auto"/>
                      <w:szCs w:val="21"/>
                    </w:rPr>
                  </w:pPr>
                  <w:r>
                    <w:rPr>
                      <w:b/>
                      <w:color w:val="auto"/>
                      <w:szCs w:val="21"/>
                    </w:rPr>
                    <w:t>废水产生量</w:t>
                  </w:r>
                  <w:r>
                    <w:rPr>
                      <w:b/>
                      <w:bCs/>
                      <w:color w:val="auto"/>
                      <w:szCs w:val="21"/>
                    </w:rPr>
                    <w:t>（t/a）</w:t>
                  </w:r>
                </w:p>
              </w:tc>
              <w:tc>
                <w:tcPr>
                  <w:tcW w:w="681" w:type="pct"/>
                  <w:tcBorders>
                    <w:bottom w:val="single" w:color="auto" w:sz="12" w:space="0"/>
                  </w:tcBorders>
                  <w:shd w:val="clear" w:color="auto" w:fill="auto"/>
                  <w:vAlign w:val="center"/>
                </w:tcPr>
                <w:p w14:paraId="6DF9B995">
                  <w:pPr>
                    <w:jc w:val="center"/>
                    <w:rPr>
                      <w:b/>
                      <w:color w:val="auto"/>
                      <w:szCs w:val="21"/>
                    </w:rPr>
                  </w:pPr>
                  <w:r>
                    <w:rPr>
                      <w:b/>
                      <w:color w:val="auto"/>
                      <w:szCs w:val="21"/>
                    </w:rPr>
                    <w:t>污染物名称</w:t>
                  </w:r>
                </w:p>
              </w:tc>
              <w:tc>
                <w:tcPr>
                  <w:tcW w:w="712" w:type="pct"/>
                  <w:tcBorders>
                    <w:bottom w:val="single" w:color="auto" w:sz="12" w:space="0"/>
                  </w:tcBorders>
                  <w:shd w:val="clear" w:color="auto" w:fill="auto"/>
                  <w:vAlign w:val="center"/>
                </w:tcPr>
                <w:p w14:paraId="2C45C7BD">
                  <w:pPr>
                    <w:jc w:val="center"/>
                    <w:rPr>
                      <w:b/>
                      <w:color w:val="auto"/>
                      <w:szCs w:val="21"/>
                    </w:rPr>
                  </w:pPr>
                  <w:r>
                    <w:rPr>
                      <w:b/>
                      <w:color w:val="auto"/>
                      <w:szCs w:val="21"/>
                    </w:rPr>
                    <w:t>浓度</w:t>
                  </w:r>
                </w:p>
                <w:p w14:paraId="7EB31204">
                  <w:pPr>
                    <w:jc w:val="center"/>
                    <w:rPr>
                      <w:b/>
                      <w:color w:val="auto"/>
                      <w:szCs w:val="21"/>
                    </w:rPr>
                  </w:pPr>
                  <w:r>
                    <w:rPr>
                      <w:rFonts w:hint="eastAsia"/>
                      <w:b/>
                      <w:bCs/>
                      <w:color w:val="auto"/>
                      <w:szCs w:val="21"/>
                      <w:lang w:eastAsia="zh-CN"/>
                    </w:rPr>
                    <w:t>(</w:t>
                  </w:r>
                  <w:r>
                    <w:rPr>
                      <w:b/>
                      <w:bCs/>
                      <w:color w:val="auto"/>
                      <w:szCs w:val="21"/>
                    </w:rPr>
                    <w:t>mg/L</w:t>
                  </w:r>
                  <w:r>
                    <w:rPr>
                      <w:rFonts w:hint="eastAsia"/>
                      <w:b/>
                      <w:bCs/>
                      <w:color w:val="auto"/>
                      <w:szCs w:val="21"/>
                      <w:lang w:eastAsia="zh-CN"/>
                    </w:rPr>
                    <w:t>)</w:t>
                  </w:r>
                </w:p>
              </w:tc>
              <w:tc>
                <w:tcPr>
                  <w:tcW w:w="833" w:type="pct"/>
                  <w:tcBorders>
                    <w:bottom w:val="single" w:color="auto" w:sz="12" w:space="0"/>
                  </w:tcBorders>
                  <w:shd w:val="clear" w:color="auto" w:fill="auto"/>
                  <w:vAlign w:val="center"/>
                </w:tcPr>
                <w:p w14:paraId="2C275D2D">
                  <w:pPr>
                    <w:jc w:val="center"/>
                    <w:rPr>
                      <w:b/>
                      <w:color w:val="auto"/>
                      <w:szCs w:val="21"/>
                    </w:rPr>
                  </w:pPr>
                  <w:r>
                    <w:rPr>
                      <w:b/>
                      <w:color w:val="auto"/>
                      <w:szCs w:val="21"/>
                    </w:rPr>
                    <w:t>产生量（</w:t>
                  </w:r>
                  <w:r>
                    <w:rPr>
                      <w:b/>
                      <w:bCs/>
                      <w:color w:val="auto"/>
                      <w:szCs w:val="21"/>
                    </w:rPr>
                    <w:t>t/a</w:t>
                  </w:r>
                  <w:r>
                    <w:rPr>
                      <w:b/>
                      <w:color w:val="auto"/>
                      <w:szCs w:val="21"/>
                    </w:rPr>
                    <w:t>）</w:t>
                  </w:r>
                </w:p>
              </w:tc>
              <w:tc>
                <w:tcPr>
                  <w:tcW w:w="898" w:type="pct"/>
                  <w:tcBorders>
                    <w:bottom w:val="single" w:color="auto" w:sz="12" w:space="0"/>
                  </w:tcBorders>
                  <w:vAlign w:val="center"/>
                </w:tcPr>
                <w:p w14:paraId="58373018">
                  <w:pPr>
                    <w:jc w:val="center"/>
                    <w:rPr>
                      <w:b/>
                      <w:color w:val="auto"/>
                      <w:szCs w:val="21"/>
                    </w:rPr>
                  </w:pPr>
                  <w:r>
                    <w:rPr>
                      <w:b/>
                      <w:color w:val="auto"/>
                      <w:szCs w:val="21"/>
                    </w:rPr>
                    <w:t>去向</w:t>
                  </w:r>
                </w:p>
              </w:tc>
            </w:tr>
            <w:tr w14:paraId="35C20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tcBorders>
                    <w:top w:val="single" w:color="auto" w:sz="12" w:space="0"/>
                  </w:tcBorders>
                  <w:shd w:val="clear" w:color="auto" w:fill="auto"/>
                  <w:vAlign w:val="center"/>
                </w:tcPr>
                <w:p w14:paraId="250BF949">
                  <w:pPr>
                    <w:jc w:val="center"/>
                    <w:rPr>
                      <w:color w:val="auto"/>
                      <w:szCs w:val="21"/>
                    </w:rPr>
                  </w:pPr>
                  <w:r>
                    <w:rPr>
                      <w:color w:val="auto"/>
                      <w:szCs w:val="21"/>
                    </w:rPr>
                    <w:t>设备清洗</w:t>
                  </w:r>
                </w:p>
              </w:tc>
              <w:tc>
                <w:tcPr>
                  <w:tcW w:w="569" w:type="pct"/>
                  <w:vMerge w:val="restart"/>
                  <w:tcBorders>
                    <w:top w:val="single" w:color="auto" w:sz="12" w:space="0"/>
                  </w:tcBorders>
                  <w:shd w:val="clear" w:color="auto" w:fill="auto"/>
                  <w:vAlign w:val="center"/>
                </w:tcPr>
                <w:p w14:paraId="73077DCD">
                  <w:pPr>
                    <w:jc w:val="center"/>
                    <w:rPr>
                      <w:color w:val="auto"/>
                      <w:szCs w:val="21"/>
                    </w:rPr>
                  </w:pPr>
                  <w:r>
                    <w:rPr>
                      <w:color w:val="auto"/>
                      <w:szCs w:val="21"/>
                    </w:rPr>
                    <w:t>设备清洗废水</w:t>
                  </w:r>
                </w:p>
              </w:tc>
              <w:tc>
                <w:tcPr>
                  <w:tcW w:w="607" w:type="pct"/>
                  <w:vMerge w:val="restart"/>
                  <w:tcBorders>
                    <w:top w:val="single" w:color="auto" w:sz="12" w:space="0"/>
                  </w:tcBorders>
                  <w:shd w:val="clear" w:color="auto" w:fill="auto"/>
                  <w:vAlign w:val="center"/>
                </w:tcPr>
                <w:p w14:paraId="48CBEE94">
                  <w:pPr>
                    <w:jc w:val="center"/>
                    <w:rPr>
                      <w:rFonts w:hint="default" w:eastAsia="宋体"/>
                      <w:color w:val="auto"/>
                      <w:szCs w:val="21"/>
                      <w:lang w:val="en-US" w:eastAsia="zh-CN"/>
                    </w:rPr>
                  </w:pPr>
                  <w:r>
                    <w:rPr>
                      <w:rFonts w:hint="eastAsia"/>
                      <w:color w:val="auto"/>
                      <w:szCs w:val="21"/>
                      <w:lang w:val="en-US" w:eastAsia="zh-CN"/>
                    </w:rPr>
                    <w:t>4050</w:t>
                  </w:r>
                </w:p>
              </w:tc>
              <w:tc>
                <w:tcPr>
                  <w:tcW w:w="681" w:type="pct"/>
                  <w:tcBorders>
                    <w:top w:val="single" w:color="auto" w:sz="12" w:space="0"/>
                  </w:tcBorders>
                  <w:shd w:val="clear" w:color="auto" w:fill="auto"/>
                  <w:vAlign w:val="center"/>
                </w:tcPr>
                <w:p w14:paraId="1FADB599">
                  <w:pPr>
                    <w:jc w:val="center"/>
                    <w:rPr>
                      <w:color w:val="auto"/>
                      <w:szCs w:val="21"/>
                    </w:rPr>
                  </w:pPr>
                  <w:r>
                    <w:rPr>
                      <w:color w:val="auto"/>
                      <w:szCs w:val="21"/>
                    </w:rPr>
                    <w:t>COD</w:t>
                  </w:r>
                </w:p>
              </w:tc>
              <w:tc>
                <w:tcPr>
                  <w:tcW w:w="712" w:type="pct"/>
                  <w:tcBorders>
                    <w:top w:val="single" w:color="auto" w:sz="12" w:space="0"/>
                  </w:tcBorders>
                  <w:shd w:val="clear" w:color="auto" w:fill="auto"/>
                  <w:vAlign w:val="center"/>
                </w:tcPr>
                <w:p w14:paraId="106E133F">
                  <w:pPr>
                    <w:jc w:val="center"/>
                    <w:rPr>
                      <w:color w:val="auto"/>
                      <w:szCs w:val="21"/>
                    </w:rPr>
                  </w:pPr>
                  <w:r>
                    <w:rPr>
                      <w:color w:val="auto"/>
                      <w:szCs w:val="21"/>
                    </w:rPr>
                    <w:t>600</w:t>
                  </w:r>
                </w:p>
              </w:tc>
              <w:tc>
                <w:tcPr>
                  <w:tcW w:w="1416" w:type="dxa"/>
                  <w:tcBorders>
                    <w:top w:val="single" w:color="auto" w:sz="12" w:space="0"/>
                  </w:tcBorders>
                  <w:shd w:val="clear" w:color="auto" w:fill="auto"/>
                  <w:vAlign w:val="center"/>
                </w:tcPr>
                <w:p w14:paraId="3779DE40">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2.43</w:t>
                  </w:r>
                </w:p>
              </w:tc>
              <w:tc>
                <w:tcPr>
                  <w:tcW w:w="898" w:type="pct"/>
                  <w:vMerge w:val="restart"/>
                  <w:tcBorders>
                    <w:top w:val="single" w:color="auto" w:sz="12" w:space="0"/>
                  </w:tcBorders>
                  <w:vAlign w:val="center"/>
                </w:tcPr>
                <w:p w14:paraId="4C35D498">
                  <w:pPr>
                    <w:jc w:val="center"/>
                    <w:rPr>
                      <w:color w:val="auto"/>
                      <w:szCs w:val="21"/>
                    </w:rPr>
                  </w:pPr>
                  <w:r>
                    <w:rPr>
                      <w:color w:val="auto"/>
                      <w:szCs w:val="21"/>
                    </w:rPr>
                    <w:t>排入厂区污水处理站处置</w:t>
                  </w:r>
                </w:p>
              </w:tc>
            </w:tr>
            <w:tr w14:paraId="5A9DF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0399F9AF">
                  <w:pPr>
                    <w:jc w:val="center"/>
                    <w:rPr>
                      <w:color w:val="auto"/>
                      <w:szCs w:val="21"/>
                    </w:rPr>
                  </w:pPr>
                </w:p>
              </w:tc>
              <w:tc>
                <w:tcPr>
                  <w:tcW w:w="569" w:type="pct"/>
                  <w:vMerge w:val="continue"/>
                  <w:shd w:val="clear" w:color="auto" w:fill="auto"/>
                  <w:vAlign w:val="center"/>
                </w:tcPr>
                <w:p w14:paraId="6F25031F">
                  <w:pPr>
                    <w:jc w:val="center"/>
                    <w:rPr>
                      <w:color w:val="auto"/>
                      <w:szCs w:val="21"/>
                    </w:rPr>
                  </w:pPr>
                </w:p>
              </w:tc>
              <w:tc>
                <w:tcPr>
                  <w:tcW w:w="607" w:type="pct"/>
                  <w:vMerge w:val="continue"/>
                  <w:shd w:val="clear" w:color="auto" w:fill="auto"/>
                  <w:vAlign w:val="center"/>
                </w:tcPr>
                <w:p w14:paraId="1E554425">
                  <w:pPr>
                    <w:jc w:val="center"/>
                    <w:rPr>
                      <w:color w:val="auto"/>
                      <w:szCs w:val="21"/>
                    </w:rPr>
                  </w:pPr>
                </w:p>
              </w:tc>
              <w:tc>
                <w:tcPr>
                  <w:tcW w:w="681" w:type="pct"/>
                  <w:shd w:val="clear" w:color="auto" w:fill="auto"/>
                  <w:vAlign w:val="center"/>
                </w:tcPr>
                <w:p w14:paraId="502DDDFD">
                  <w:pPr>
                    <w:jc w:val="center"/>
                    <w:rPr>
                      <w:color w:val="auto"/>
                      <w:szCs w:val="21"/>
                    </w:rPr>
                  </w:pPr>
                  <w:r>
                    <w:rPr>
                      <w:rFonts w:hint="eastAsia"/>
                      <w:color w:val="auto"/>
                      <w:szCs w:val="21"/>
                    </w:rPr>
                    <w:t>B</w:t>
                  </w:r>
                  <w:r>
                    <w:rPr>
                      <w:color w:val="auto"/>
                      <w:szCs w:val="21"/>
                    </w:rPr>
                    <w:t>OD</w:t>
                  </w:r>
                  <w:r>
                    <w:rPr>
                      <w:color w:val="auto"/>
                      <w:szCs w:val="21"/>
                      <w:vertAlign w:val="subscript"/>
                    </w:rPr>
                    <w:t>5</w:t>
                  </w:r>
                </w:p>
              </w:tc>
              <w:tc>
                <w:tcPr>
                  <w:tcW w:w="712" w:type="pct"/>
                  <w:shd w:val="clear" w:color="auto" w:fill="auto"/>
                  <w:vAlign w:val="center"/>
                </w:tcPr>
                <w:p w14:paraId="29A50A91">
                  <w:pPr>
                    <w:jc w:val="center"/>
                    <w:rPr>
                      <w:color w:val="auto"/>
                      <w:szCs w:val="21"/>
                    </w:rPr>
                  </w:pPr>
                  <w:r>
                    <w:rPr>
                      <w:rFonts w:hint="eastAsia"/>
                      <w:color w:val="auto"/>
                      <w:szCs w:val="21"/>
                    </w:rPr>
                    <w:t>3</w:t>
                  </w:r>
                  <w:r>
                    <w:rPr>
                      <w:color w:val="auto"/>
                      <w:szCs w:val="21"/>
                    </w:rPr>
                    <w:t>00</w:t>
                  </w:r>
                </w:p>
              </w:tc>
              <w:tc>
                <w:tcPr>
                  <w:tcW w:w="1416" w:type="dxa"/>
                  <w:shd w:val="clear" w:color="auto" w:fill="auto"/>
                  <w:vAlign w:val="center"/>
                </w:tcPr>
                <w:p w14:paraId="16253AEF">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1.215</w:t>
                  </w:r>
                </w:p>
              </w:tc>
              <w:tc>
                <w:tcPr>
                  <w:tcW w:w="898" w:type="pct"/>
                  <w:vMerge w:val="continue"/>
                  <w:vAlign w:val="center"/>
                </w:tcPr>
                <w:p w14:paraId="6776CFD8">
                  <w:pPr>
                    <w:jc w:val="center"/>
                    <w:rPr>
                      <w:color w:val="auto"/>
                      <w:szCs w:val="21"/>
                    </w:rPr>
                  </w:pPr>
                </w:p>
              </w:tc>
            </w:tr>
            <w:tr w14:paraId="055EA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5652FD7F">
                  <w:pPr>
                    <w:jc w:val="center"/>
                    <w:rPr>
                      <w:color w:val="auto"/>
                      <w:szCs w:val="21"/>
                    </w:rPr>
                  </w:pPr>
                </w:p>
              </w:tc>
              <w:tc>
                <w:tcPr>
                  <w:tcW w:w="569" w:type="pct"/>
                  <w:vMerge w:val="continue"/>
                  <w:shd w:val="clear" w:color="auto" w:fill="auto"/>
                  <w:vAlign w:val="center"/>
                </w:tcPr>
                <w:p w14:paraId="5B1AD5CF">
                  <w:pPr>
                    <w:jc w:val="center"/>
                    <w:rPr>
                      <w:color w:val="auto"/>
                      <w:szCs w:val="21"/>
                    </w:rPr>
                  </w:pPr>
                </w:p>
              </w:tc>
              <w:tc>
                <w:tcPr>
                  <w:tcW w:w="607" w:type="pct"/>
                  <w:vMerge w:val="continue"/>
                  <w:shd w:val="clear" w:color="auto" w:fill="auto"/>
                  <w:vAlign w:val="center"/>
                </w:tcPr>
                <w:p w14:paraId="705B8C9D">
                  <w:pPr>
                    <w:jc w:val="center"/>
                    <w:rPr>
                      <w:color w:val="auto"/>
                      <w:szCs w:val="21"/>
                    </w:rPr>
                  </w:pPr>
                </w:p>
              </w:tc>
              <w:tc>
                <w:tcPr>
                  <w:tcW w:w="681" w:type="pct"/>
                  <w:shd w:val="clear" w:color="auto" w:fill="auto"/>
                  <w:vAlign w:val="center"/>
                </w:tcPr>
                <w:p w14:paraId="4CA00085">
                  <w:pPr>
                    <w:jc w:val="center"/>
                    <w:rPr>
                      <w:color w:val="auto"/>
                      <w:szCs w:val="21"/>
                    </w:rPr>
                  </w:pPr>
                  <w:r>
                    <w:rPr>
                      <w:rFonts w:hint="eastAsia"/>
                      <w:color w:val="auto"/>
                      <w:szCs w:val="21"/>
                    </w:rPr>
                    <w:t>S</w:t>
                  </w:r>
                  <w:r>
                    <w:rPr>
                      <w:color w:val="auto"/>
                      <w:szCs w:val="21"/>
                    </w:rPr>
                    <w:t>S</w:t>
                  </w:r>
                </w:p>
              </w:tc>
              <w:tc>
                <w:tcPr>
                  <w:tcW w:w="712" w:type="pct"/>
                  <w:shd w:val="clear" w:color="auto" w:fill="auto"/>
                  <w:vAlign w:val="center"/>
                </w:tcPr>
                <w:p w14:paraId="2E0BB4F3">
                  <w:pPr>
                    <w:jc w:val="center"/>
                    <w:rPr>
                      <w:color w:val="auto"/>
                      <w:szCs w:val="21"/>
                    </w:rPr>
                  </w:pPr>
                  <w:r>
                    <w:rPr>
                      <w:rFonts w:hint="eastAsia"/>
                      <w:color w:val="auto"/>
                      <w:szCs w:val="21"/>
                    </w:rPr>
                    <w:t>5</w:t>
                  </w:r>
                  <w:r>
                    <w:rPr>
                      <w:color w:val="auto"/>
                      <w:szCs w:val="21"/>
                    </w:rPr>
                    <w:t>00</w:t>
                  </w:r>
                </w:p>
              </w:tc>
              <w:tc>
                <w:tcPr>
                  <w:tcW w:w="1416" w:type="dxa"/>
                  <w:shd w:val="clear" w:color="auto" w:fill="auto"/>
                  <w:vAlign w:val="center"/>
                </w:tcPr>
                <w:p w14:paraId="6C4C8579">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2.025</w:t>
                  </w:r>
                </w:p>
              </w:tc>
              <w:tc>
                <w:tcPr>
                  <w:tcW w:w="898" w:type="pct"/>
                  <w:vMerge w:val="continue"/>
                  <w:vAlign w:val="center"/>
                </w:tcPr>
                <w:p w14:paraId="4BC4E5B9">
                  <w:pPr>
                    <w:jc w:val="center"/>
                    <w:rPr>
                      <w:color w:val="auto"/>
                      <w:szCs w:val="21"/>
                    </w:rPr>
                  </w:pPr>
                </w:p>
              </w:tc>
            </w:tr>
            <w:tr w14:paraId="504A0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012C687F">
                  <w:pPr>
                    <w:jc w:val="center"/>
                    <w:rPr>
                      <w:color w:val="auto"/>
                      <w:szCs w:val="21"/>
                    </w:rPr>
                  </w:pPr>
                </w:p>
              </w:tc>
              <w:tc>
                <w:tcPr>
                  <w:tcW w:w="569" w:type="pct"/>
                  <w:vMerge w:val="continue"/>
                  <w:shd w:val="clear" w:color="auto" w:fill="auto"/>
                  <w:vAlign w:val="center"/>
                </w:tcPr>
                <w:p w14:paraId="474C045D">
                  <w:pPr>
                    <w:jc w:val="center"/>
                    <w:rPr>
                      <w:color w:val="auto"/>
                      <w:szCs w:val="21"/>
                    </w:rPr>
                  </w:pPr>
                </w:p>
              </w:tc>
              <w:tc>
                <w:tcPr>
                  <w:tcW w:w="607" w:type="pct"/>
                  <w:vMerge w:val="continue"/>
                  <w:shd w:val="clear" w:color="auto" w:fill="auto"/>
                  <w:vAlign w:val="center"/>
                </w:tcPr>
                <w:p w14:paraId="25944C92">
                  <w:pPr>
                    <w:jc w:val="center"/>
                    <w:rPr>
                      <w:color w:val="auto"/>
                      <w:szCs w:val="21"/>
                    </w:rPr>
                  </w:pPr>
                </w:p>
              </w:tc>
              <w:tc>
                <w:tcPr>
                  <w:tcW w:w="681" w:type="pct"/>
                  <w:shd w:val="clear" w:color="auto" w:fill="auto"/>
                  <w:vAlign w:val="center"/>
                </w:tcPr>
                <w:p w14:paraId="5EA55ED2">
                  <w:pPr>
                    <w:jc w:val="center"/>
                    <w:rPr>
                      <w:color w:val="auto"/>
                      <w:szCs w:val="21"/>
                    </w:rPr>
                  </w:pPr>
                  <w:r>
                    <w:rPr>
                      <w:color w:val="auto"/>
                      <w:szCs w:val="21"/>
                    </w:rPr>
                    <w:t>氨氮</w:t>
                  </w:r>
                </w:p>
              </w:tc>
              <w:tc>
                <w:tcPr>
                  <w:tcW w:w="712" w:type="pct"/>
                  <w:shd w:val="clear" w:color="auto" w:fill="auto"/>
                  <w:vAlign w:val="center"/>
                </w:tcPr>
                <w:p w14:paraId="25090734">
                  <w:pPr>
                    <w:jc w:val="center"/>
                    <w:rPr>
                      <w:color w:val="auto"/>
                      <w:szCs w:val="21"/>
                    </w:rPr>
                  </w:pPr>
                  <w:r>
                    <w:rPr>
                      <w:color w:val="auto"/>
                      <w:szCs w:val="21"/>
                    </w:rPr>
                    <w:t>35</w:t>
                  </w:r>
                </w:p>
              </w:tc>
              <w:tc>
                <w:tcPr>
                  <w:tcW w:w="1416" w:type="dxa"/>
                  <w:shd w:val="clear" w:color="auto" w:fill="auto"/>
                  <w:vAlign w:val="center"/>
                </w:tcPr>
                <w:p w14:paraId="63B18F86">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0.14175</w:t>
                  </w:r>
                </w:p>
              </w:tc>
              <w:tc>
                <w:tcPr>
                  <w:tcW w:w="898" w:type="pct"/>
                  <w:vMerge w:val="continue"/>
                  <w:vAlign w:val="center"/>
                </w:tcPr>
                <w:p w14:paraId="565364D8">
                  <w:pPr>
                    <w:jc w:val="center"/>
                    <w:rPr>
                      <w:color w:val="auto"/>
                      <w:szCs w:val="21"/>
                    </w:rPr>
                  </w:pPr>
                </w:p>
              </w:tc>
            </w:tr>
            <w:tr w14:paraId="29482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0BCC5B4D">
                  <w:pPr>
                    <w:jc w:val="center"/>
                    <w:rPr>
                      <w:color w:val="auto"/>
                      <w:szCs w:val="21"/>
                    </w:rPr>
                  </w:pPr>
                </w:p>
              </w:tc>
              <w:tc>
                <w:tcPr>
                  <w:tcW w:w="569" w:type="pct"/>
                  <w:vMerge w:val="continue"/>
                  <w:shd w:val="clear" w:color="auto" w:fill="auto"/>
                  <w:vAlign w:val="center"/>
                </w:tcPr>
                <w:p w14:paraId="71C87CE8">
                  <w:pPr>
                    <w:jc w:val="center"/>
                    <w:rPr>
                      <w:color w:val="auto"/>
                      <w:szCs w:val="21"/>
                    </w:rPr>
                  </w:pPr>
                </w:p>
              </w:tc>
              <w:tc>
                <w:tcPr>
                  <w:tcW w:w="607" w:type="pct"/>
                  <w:vMerge w:val="continue"/>
                  <w:shd w:val="clear" w:color="auto" w:fill="auto"/>
                  <w:vAlign w:val="center"/>
                </w:tcPr>
                <w:p w14:paraId="506FFF76">
                  <w:pPr>
                    <w:jc w:val="center"/>
                    <w:rPr>
                      <w:color w:val="auto"/>
                      <w:szCs w:val="21"/>
                    </w:rPr>
                  </w:pPr>
                </w:p>
              </w:tc>
              <w:tc>
                <w:tcPr>
                  <w:tcW w:w="681" w:type="pct"/>
                  <w:shd w:val="clear" w:color="auto" w:fill="auto"/>
                  <w:vAlign w:val="center"/>
                </w:tcPr>
                <w:p w14:paraId="541D5133">
                  <w:pPr>
                    <w:jc w:val="center"/>
                    <w:rPr>
                      <w:color w:val="auto"/>
                      <w:szCs w:val="21"/>
                    </w:rPr>
                  </w:pPr>
                  <w:r>
                    <w:rPr>
                      <w:color w:val="auto"/>
                      <w:szCs w:val="21"/>
                    </w:rPr>
                    <w:t>总氮</w:t>
                  </w:r>
                </w:p>
              </w:tc>
              <w:tc>
                <w:tcPr>
                  <w:tcW w:w="712" w:type="pct"/>
                  <w:shd w:val="clear" w:color="auto" w:fill="auto"/>
                  <w:vAlign w:val="center"/>
                </w:tcPr>
                <w:p w14:paraId="6B2F52D0">
                  <w:pPr>
                    <w:jc w:val="center"/>
                    <w:rPr>
                      <w:color w:val="auto"/>
                      <w:szCs w:val="21"/>
                    </w:rPr>
                  </w:pPr>
                  <w:r>
                    <w:rPr>
                      <w:color w:val="auto"/>
                      <w:szCs w:val="21"/>
                    </w:rPr>
                    <w:t>40</w:t>
                  </w:r>
                </w:p>
              </w:tc>
              <w:tc>
                <w:tcPr>
                  <w:tcW w:w="1416" w:type="dxa"/>
                  <w:shd w:val="clear" w:color="auto" w:fill="auto"/>
                  <w:vAlign w:val="center"/>
                </w:tcPr>
                <w:p w14:paraId="34AC2EED">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0.162</w:t>
                  </w:r>
                </w:p>
              </w:tc>
              <w:tc>
                <w:tcPr>
                  <w:tcW w:w="898" w:type="pct"/>
                  <w:vMerge w:val="continue"/>
                  <w:vAlign w:val="center"/>
                </w:tcPr>
                <w:p w14:paraId="3BF802A8">
                  <w:pPr>
                    <w:jc w:val="center"/>
                    <w:rPr>
                      <w:color w:val="auto"/>
                      <w:szCs w:val="21"/>
                    </w:rPr>
                  </w:pPr>
                </w:p>
              </w:tc>
            </w:tr>
            <w:tr w14:paraId="0C647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10CAB6A9">
                  <w:pPr>
                    <w:jc w:val="center"/>
                    <w:rPr>
                      <w:color w:val="auto"/>
                      <w:szCs w:val="21"/>
                    </w:rPr>
                  </w:pPr>
                </w:p>
              </w:tc>
              <w:tc>
                <w:tcPr>
                  <w:tcW w:w="569" w:type="pct"/>
                  <w:vMerge w:val="continue"/>
                  <w:shd w:val="clear" w:color="auto" w:fill="auto"/>
                  <w:vAlign w:val="center"/>
                </w:tcPr>
                <w:p w14:paraId="0ABF2014">
                  <w:pPr>
                    <w:jc w:val="center"/>
                    <w:rPr>
                      <w:color w:val="auto"/>
                      <w:szCs w:val="21"/>
                    </w:rPr>
                  </w:pPr>
                </w:p>
              </w:tc>
              <w:tc>
                <w:tcPr>
                  <w:tcW w:w="607" w:type="pct"/>
                  <w:vMerge w:val="continue"/>
                  <w:shd w:val="clear" w:color="auto" w:fill="auto"/>
                  <w:vAlign w:val="center"/>
                </w:tcPr>
                <w:p w14:paraId="1D4B8A7D">
                  <w:pPr>
                    <w:jc w:val="center"/>
                    <w:rPr>
                      <w:color w:val="auto"/>
                      <w:szCs w:val="21"/>
                    </w:rPr>
                  </w:pPr>
                </w:p>
              </w:tc>
              <w:tc>
                <w:tcPr>
                  <w:tcW w:w="681" w:type="pct"/>
                  <w:shd w:val="clear" w:color="auto" w:fill="auto"/>
                  <w:vAlign w:val="center"/>
                </w:tcPr>
                <w:p w14:paraId="09DDB89E">
                  <w:pPr>
                    <w:jc w:val="center"/>
                    <w:rPr>
                      <w:color w:val="auto"/>
                      <w:szCs w:val="21"/>
                    </w:rPr>
                  </w:pPr>
                  <w:r>
                    <w:rPr>
                      <w:color w:val="auto"/>
                      <w:szCs w:val="21"/>
                    </w:rPr>
                    <w:t>总磷</w:t>
                  </w:r>
                </w:p>
              </w:tc>
              <w:tc>
                <w:tcPr>
                  <w:tcW w:w="712" w:type="pct"/>
                  <w:shd w:val="clear" w:color="auto" w:fill="auto"/>
                  <w:vAlign w:val="center"/>
                </w:tcPr>
                <w:p w14:paraId="47307617">
                  <w:pPr>
                    <w:jc w:val="center"/>
                    <w:rPr>
                      <w:color w:val="auto"/>
                      <w:szCs w:val="21"/>
                    </w:rPr>
                  </w:pPr>
                  <w:r>
                    <w:rPr>
                      <w:color w:val="auto"/>
                      <w:szCs w:val="21"/>
                    </w:rPr>
                    <w:t>5</w:t>
                  </w:r>
                </w:p>
              </w:tc>
              <w:tc>
                <w:tcPr>
                  <w:tcW w:w="1416" w:type="dxa"/>
                  <w:shd w:val="clear" w:color="auto" w:fill="auto"/>
                  <w:vAlign w:val="center"/>
                </w:tcPr>
                <w:p w14:paraId="46258351">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0.02025</w:t>
                  </w:r>
                </w:p>
              </w:tc>
              <w:tc>
                <w:tcPr>
                  <w:tcW w:w="898" w:type="pct"/>
                  <w:vMerge w:val="continue"/>
                  <w:vAlign w:val="center"/>
                </w:tcPr>
                <w:p w14:paraId="37289C5D">
                  <w:pPr>
                    <w:jc w:val="center"/>
                    <w:rPr>
                      <w:color w:val="auto"/>
                      <w:szCs w:val="21"/>
                    </w:rPr>
                  </w:pPr>
                </w:p>
              </w:tc>
            </w:tr>
            <w:tr w14:paraId="4EEBB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7" w:type="pct"/>
                  <w:vMerge w:val="continue"/>
                  <w:shd w:val="clear" w:color="auto" w:fill="auto"/>
                  <w:vAlign w:val="center"/>
                </w:tcPr>
                <w:p w14:paraId="7E5A833A">
                  <w:pPr>
                    <w:jc w:val="center"/>
                    <w:rPr>
                      <w:color w:val="auto"/>
                      <w:szCs w:val="21"/>
                    </w:rPr>
                  </w:pPr>
                </w:p>
              </w:tc>
              <w:tc>
                <w:tcPr>
                  <w:tcW w:w="569" w:type="pct"/>
                  <w:vMerge w:val="continue"/>
                  <w:shd w:val="clear" w:color="auto" w:fill="auto"/>
                  <w:vAlign w:val="center"/>
                </w:tcPr>
                <w:p w14:paraId="49313DE8">
                  <w:pPr>
                    <w:jc w:val="center"/>
                    <w:rPr>
                      <w:color w:val="auto"/>
                      <w:szCs w:val="21"/>
                    </w:rPr>
                  </w:pPr>
                </w:p>
              </w:tc>
              <w:tc>
                <w:tcPr>
                  <w:tcW w:w="607" w:type="pct"/>
                  <w:vMerge w:val="continue"/>
                  <w:shd w:val="clear" w:color="auto" w:fill="auto"/>
                  <w:vAlign w:val="center"/>
                </w:tcPr>
                <w:p w14:paraId="0DD02D7F">
                  <w:pPr>
                    <w:jc w:val="center"/>
                    <w:rPr>
                      <w:color w:val="auto"/>
                      <w:szCs w:val="21"/>
                    </w:rPr>
                  </w:pPr>
                </w:p>
              </w:tc>
              <w:tc>
                <w:tcPr>
                  <w:tcW w:w="681" w:type="pct"/>
                  <w:shd w:val="clear" w:color="auto" w:fill="auto"/>
                  <w:vAlign w:val="center"/>
                </w:tcPr>
                <w:p w14:paraId="3A34FCA7">
                  <w:pPr>
                    <w:jc w:val="center"/>
                    <w:rPr>
                      <w:color w:val="auto"/>
                      <w:szCs w:val="21"/>
                    </w:rPr>
                  </w:pPr>
                  <w:r>
                    <w:rPr>
                      <w:color w:val="auto"/>
                      <w:szCs w:val="21"/>
                    </w:rPr>
                    <w:t>动植物油</w:t>
                  </w:r>
                </w:p>
              </w:tc>
              <w:tc>
                <w:tcPr>
                  <w:tcW w:w="712" w:type="pct"/>
                  <w:shd w:val="clear" w:color="auto" w:fill="auto"/>
                  <w:vAlign w:val="center"/>
                </w:tcPr>
                <w:p w14:paraId="64447225">
                  <w:pPr>
                    <w:jc w:val="center"/>
                    <w:rPr>
                      <w:color w:val="auto"/>
                      <w:szCs w:val="21"/>
                    </w:rPr>
                  </w:pPr>
                  <w:r>
                    <w:rPr>
                      <w:color w:val="auto"/>
                      <w:szCs w:val="21"/>
                    </w:rPr>
                    <w:t>150</w:t>
                  </w:r>
                </w:p>
              </w:tc>
              <w:tc>
                <w:tcPr>
                  <w:tcW w:w="1416" w:type="dxa"/>
                  <w:shd w:val="clear" w:color="auto" w:fill="auto"/>
                  <w:vAlign w:val="center"/>
                </w:tcPr>
                <w:p w14:paraId="368DAA26">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0.6075</w:t>
                  </w:r>
                </w:p>
              </w:tc>
              <w:tc>
                <w:tcPr>
                  <w:tcW w:w="898" w:type="pct"/>
                  <w:vMerge w:val="continue"/>
                  <w:vAlign w:val="center"/>
                </w:tcPr>
                <w:p w14:paraId="7916B3BC">
                  <w:pPr>
                    <w:jc w:val="center"/>
                    <w:rPr>
                      <w:color w:val="auto"/>
                      <w:szCs w:val="21"/>
                    </w:rPr>
                  </w:pPr>
                </w:p>
              </w:tc>
            </w:tr>
            <w:tr w14:paraId="1B3DC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072FB113">
                  <w:pPr>
                    <w:jc w:val="center"/>
                    <w:rPr>
                      <w:color w:val="auto"/>
                      <w:szCs w:val="21"/>
                    </w:rPr>
                  </w:pPr>
                </w:p>
              </w:tc>
              <w:tc>
                <w:tcPr>
                  <w:tcW w:w="569" w:type="pct"/>
                  <w:vMerge w:val="continue"/>
                  <w:shd w:val="clear" w:color="auto" w:fill="auto"/>
                  <w:vAlign w:val="center"/>
                </w:tcPr>
                <w:p w14:paraId="7D5EBFF5">
                  <w:pPr>
                    <w:jc w:val="center"/>
                    <w:rPr>
                      <w:color w:val="auto"/>
                      <w:szCs w:val="21"/>
                    </w:rPr>
                  </w:pPr>
                </w:p>
              </w:tc>
              <w:tc>
                <w:tcPr>
                  <w:tcW w:w="607" w:type="pct"/>
                  <w:vMerge w:val="continue"/>
                  <w:shd w:val="clear" w:color="auto" w:fill="auto"/>
                  <w:vAlign w:val="center"/>
                </w:tcPr>
                <w:p w14:paraId="3B22B397">
                  <w:pPr>
                    <w:jc w:val="center"/>
                    <w:rPr>
                      <w:color w:val="auto"/>
                      <w:szCs w:val="21"/>
                    </w:rPr>
                  </w:pPr>
                </w:p>
              </w:tc>
              <w:tc>
                <w:tcPr>
                  <w:tcW w:w="681" w:type="pct"/>
                  <w:shd w:val="clear" w:color="auto" w:fill="auto"/>
                  <w:vAlign w:val="center"/>
                </w:tcPr>
                <w:p w14:paraId="68F44BA9">
                  <w:pPr>
                    <w:jc w:val="center"/>
                    <w:rPr>
                      <w:color w:val="auto"/>
                      <w:szCs w:val="21"/>
                    </w:rPr>
                  </w:pPr>
                  <w:r>
                    <w:rPr>
                      <w:rFonts w:hint="eastAsia"/>
                      <w:color w:val="auto"/>
                      <w:szCs w:val="21"/>
                    </w:rPr>
                    <w:t>L</w:t>
                  </w:r>
                  <w:r>
                    <w:rPr>
                      <w:color w:val="auto"/>
                      <w:szCs w:val="21"/>
                    </w:rPr>
                    <w:t>AS</w:t>
                  </w:r>
                </w:p>
              </w:tc>
              <w:tc>
                <w:tcPr>
                  <w:tcW w:w="712" w:type="pct"/>
                  <w:shd w:val="clear" w:color="auto" w:fill="auto"/>
                  <w:vAlign w:val="center"/>
                </w:tcPr>
                <w:p w14:paraId="24304CA3">
                  <w:pPr>
                    <w:jc w:val="center"/>
                    <w:rPr>
                      <w:color w:val="auto"/>
                      <w:szCs w:val="21"/>
                    </w:rPr>
                  </w:pPr>
                  <w:r>
                    <w:rPr>
                      <w:color w:val="auto"/>
                      <w:szCs w:val="21"/>
                    </w:rPr>
                    <w:t>200</w:t>
                  </w:r>
                </w:p>
              </w:tc>
              <w:tc>
                <w:tcPr>
                  <w:tcW w:w="833" w:type="pct"/>
                  <w:shd w:val="clear" w:color="auto" w:fill="auto"/>
                  <w:vAlign w:val="center"/>
                </w:tcPr>
                <w:p w14:paraId="1473BC5E">
                  <w:pPr>
                    <w:jc w:val="center"/>
                    <w:rPr>
                      <w:rFonts w:eastAsia="等线"/>
                      <w:color w:val="auto"/>
                      <w:szCs w:val="21"/>
                    </w:rPr>
                  </w:pPr>
                  <w:r>
                    <w:rPr>
                      <w:rFonts w:eastAsia="等线"/>
                      <w:color w:val="auto"/>
                      <w:szCs w:val="21"/>
                    </w:rPr>
                    <w:t>1.02</w:t>
                  </w:r>
                </w:p>
              </w:tc>
              <w:tc>
                <w:tcPr>
                  <w:tcW w:w="898" w:type="pct"/>
                  <w:vMerge w:val="continue"/>
                  <w:vAlign w:val="center"/>
                </w:tcPr>
                <w:p w14:paraId="22848A3A">
                  <w:pPr>
                    <w:jc w:val="center"/>
                    <w:rPr>
                      <w:color w:val="auto"/>
                      <w:szCs w:val="21"/>
                    </w:rPr>
                  </w:pPr>
                </w:p>
              </w:tc>
            </w:tr>
            <w:tr w14:paraId="3B28A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shd w:val="clear" w:color="auto" w:fill="auto"/>
                  <w:vAlign w:val="center"/>
                </w:tcPr>
                <w:p w14:paraId="22A3CF62">
                  <w:pPr>
                    <w:jc w:val="center"/>
                    <w:rPr>
                      <w:color w:val="auto"/>
                      <w:szCs w:val="21"/>
                    </w:rPr>
                  </w:pPr>
                  <w:r>
                    <w:rPr>
                      <w:color w:val="auto"/>
                      <w:szCs w:val="21"/>
                    </w:rPr>
                    <w:t>地面清洁</w:t>
                  </w:r>
                </w:p>
              </w:tc>
              <w:tc>
                <w:tcPr>
                  <w:tcW w:w="569" w:type="pct"/>
                  <w:vMerge w:val="restart"/>
                  <w:shd w:val="clear" w:color="auto" w:fill="auto"/>
                  <w:vAlign w:val="center"/>
                </w:tcPr>
                <w:p w14:paraId="7C01CCE4">
                  <w:pPr>
                    <w:jc w:val="center"/>
                    <w:rPr>
                      <w:color w:val="auto"/>
                      <w:szCs w:val="21"/>
                    </w:rPr>
                  </w:pPr>
                  <w:r>
                    <w:rPr>
                      <w:color w:val="auto"/>
                      <w:szCs w:val="21"/>
                    </w:rPr>
                    <w:t>地面清洁废水</w:t>
                  </w:r>
                </w:p>
              </w:tc>
              <w:tc>
                <w:tcPr>
                  <w:tcW w:w="607" w:type="pct"/>
                  <w:vMerge w:val="restart"/>
                  <w:shd w:val="clear" w:color="auto" w:fill="auto"/>
                  <w:vAlign w:val="center"/>
                </w:tcPr>
                <w:p w14:paraId="5BE76C0A">
                  <w:pPr>
                    <w:jc w:val="center"/>
                    <w:rPr>
                      <w:rFonts w:hint="default" w:eastAsia="宋体"/>
                      <w:color w:val="auto"/>
                      <w:szCs w:val="21"/>
                      <w:lang w:val="en-US" w:eastAsia="zh-CN"/>
                    </w:rPr>
                  </w:pPr>
                  <w:r>
                    <w:rPr>
                      <w:rFonts w:hint="eastAsia"/>
                      <w:color w:val="auto"/>
                      <w:szCs w:val="21"/>
                      <w:lang w:val="en-US" w:eastAsia="zh-CN"/>
                    </w:rPr>
                    <w:t>336</w:t>
                  </w:r>
                </w:p>
              </w:tc>
              <w:tc>
                <w:tcPr>
                  <w:tcW w:w="681" w:type="pct"/>
                  <w:shd w:val="clear" w:color="auto" w:fill="auto"/>
                  <w:vAlign w:val="center"/>
                </w:tcPr>
                <w:p w14:paraId="5CE096F5">
                  <w:pPr>
                    <w:jc w:val="center"/>
                    <w:rPr>
                      <w:color w:val="auto"/>
                      <w:szCs w:val="21"/>
                    </w:rPr>
                  </w:pPr>
                  <w:r>
                    <w:rPr>
                      <w:color w:val="auto"/>
                      <w:szCs w:val="21"/>
                    </w:rPr>
                    <w:t>COD</w:t>
                  </w:r>
                </w:p>
              </w:tc>
              <w:tc>
                <w:tcPr>
                  <w:tcW w:w="712" w:type="pct"/>
                  <w:shd w:val="clear" w:color="auto" w:fill="auto"/>
                  <w:vAlign w:val="center"/>
                </w:tcPr>
                <w:p w14:paraId="3BCC8B9C">
                  <w:pPr>
                    <w:jc w:val="center"/>
                    <w:rPr>
                      <w:color w:val="auto"/>
                      <w:szCs w:val="21"/>
                    </w:rPr>
                  </w:pPr>
                  <w:r>
                    <w:rPr>
                      <w:color w:val="auto"/>
                      <w:szCs w:val="21"/>
                    </w:rPr>
                    <w:t>400</w:t>
                  </w:r>
                </w:p>
              </w:tc>
              <w:tc>
                <w:tcPr>
                  <w:tcW w:w="833" w:type="pct"/>
                  <w:shd w:val="clear" w:color="auto" w:fill="auto"/>
                  <w:vAlign w:val="center"/>
                </w:tcPr>
                <w:p w14:paraId="59BD7B3A">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0.1344</w:t>
                  </w:r>
                </w:p>
              </w:tc>
              <w:tc>
                <w:tcPr>
                  <w:tcW w:w="898" w:type="pct"/>
                  <w:vMerge w:val="restart"/>
                  <w:vAlign w:val="center"/>
                </w:tcPr>
                <w:p w14:paraId="40C687FA">
                  <w:pPr>
                    <w:jc w:val="center"/>
                    <w:rPr>
                      <w:color w:val="auto"/>
                      <w:szCs w:val="21"/>
                    </w:rPr>
                  </w:pPr>
                  <w:r>
                    <w:rPr>
                      <w:color w:val="auto"/>
                      <w:szCs w:val="21"/>
                    </w:rPr>
                    <w:t>排入厂区污水处理站处置</w:t>
                  </w:r>
                </w:p>
              </w:tc>
            </w:tr>
            <w:tr w14:paraId="70930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661A6733">
                  <w:pPr>
                    <w:jc w:val="center"/>
                    <w:rPr>
                      <w:color w:val="auto"/>
                      <w:szCs w:val="21"/>
                    </w:rPr>
                  </w:pPr>
                </w:p>
              </w:tc>
              <w:tc>
                <w:tcPr>
                  <w:tcW w:w="569" w:type="pct"/>
                  <w:vMerge w:val="continue"/>
                  <w:shd w:val="clear" w:color="auto" w:fill="auto"/>
                  <w:vAlign w:val="center"/>
                </w:tcPr>
                <w:p w14:paraId="75973C01">
                  <w:pPr>
                    <w:jc w:val="center"/>
                    <w:rPr>
                      <w:color w:val="auto"/>
                      <w:szCs w:val="21"/>
                    </w:rPr>
                  </w:pPr>
                </w:p>
              </w:tc>
              <w:tc>
                <w:tcPr>
                  <w:tcW w:w="607" w:type="pct"/>
                  <w:vMerge w:val="continue"/>
                  <w:shd w:val="clear" w:color="auto" w:fill="auto"/>
                  <w:vAlign w:val="center"/>
                </w:tcPr>
                <w:p w14:paraId="440201F1">
                  <w:pPr>
                    <w:jc w:val="center"/>
                    <w:rPr>
                      <w:color w:val="auto"/>
                      <w:szCs w:val="21"/>
                    </w:rPr>
                  </w:pPr>
                </w:p>
              </w:tc>
              <w:tc>
                <w:tcPr>
                  <w:tcW w:w="681" w:type="pct"/>
                  <w:shd w:val="clear" w:color="auto" w:fill="auto"/>
                  <w:vAlign w:val="center"/>
                </w:tcPr>
                <w:p w14:paraId="51F6B834">
                  <w:pPr>
                    <w:jc w:val="center"/>
                    <w:rPr>
                      <w:color w:val="auto"/>
                      <w:szCs w:val="21"/>
                    </w:rPr>
                  </w:pPr>
                  <w:r>
                    <w:rPr>
                      <w:rFonts w:hint="eastAsia"/>
                      <w:color w:val="auto"/>
                      <w:szCs w:val="21"/>
                    </w:rPr>
                    <w:t>B</w:t>
                  </w:r>
                  <w:r>
                    <w:rPr>
                      <w:color w:val="auto"/>
                      <w:szCs w:val="21"/>
                    </w:rPr>
                    <w:t>OD</w:t>
                  </w:r>
                  <w:r>
                    <w:rPr>
                      <w:color w:val="auto"/>
                      <w:szCs w:val="21"/>
                      <w:vertAlign w:val="subscript"/>
                    </w:rPr>
                    <w:t>5</w:t>
                  </w:r>
                </w:p>
              </w:tc>
              <w:tc>
                <w:tcPr>
                  <w:tcW w:w="712" w:type="pct"/>
                  <w:shd w:val="clear" w:color="auto" w:fill="auto"/>
                  <w:vAlign w:val="center"/>
                </w:tcPr>
                <w:p w14:paraId="0DAE4B2E">
                  <w:pPr>
                    <w:jc w:val="center"/>
                    <w:rPr>
                      <w:color w:val="auto"/>
                      <w:szCs w:val="21"/>
                    </w:rPr>
                  </w:pPr>
                  <w:r>
                    <w:rPr>
                      <w:rFonts w:hint="eastAsia"/>
                      <w:color w:val="auto"/>
                      <w:szCs w:val="21"/>
                    </w:rPr>
                    <w:t>3</w:t>
                  </w:r>
                  <w:r>
                    <w:rPr>
                      <w:color w:val="auto"/>
                      <w:szCs w:val="21"/>
                    </w:rPr>
                    <w:t>00</w:t>
                  </w:r>
                </w:p>
              </w:tc>
              <w:tc>
                <w:tcPr>
                  <w:tcW w:w="833" w:type="pct"/>
                  <w:shd w:val="clear" w:color="auto" w:fill="auto"/>
                  <w:vAlign w:val="center"/>
                </w:tcPr>
                <w:p w14:paraId="3CE143DC">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0.1008</w:t>
                  </w:r>
                </w:p>
              </w:tc>
              <w:tc>
                <w:tcPr>
                  <w:tcW w:w="898" w:type="pct"/>
                  <w:vMerge w:val="continue"/>
                  <w:vAlign w:val="center"/>
                </w:tcPr>
                <w:p w14:paraId="311198D5">
                  <w:pPr>
                    <w:jc w:val="center"/>
                    <w:rPr>
                      <w:color w:val="auto"/>
                      <w:szCs w:val="21"/>
                    </w:rPr>
                  </w:pPr>
                </w:p>
              </w:tc>
            </w:tr>
            <w:tr w14:paraId="3DCF9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40A2A047">
                  <w:pPr>
                    <w:jc w:val="center"/>
                    <w:rPr>
                      <w:color w:val="auto"/>
                      <w:szCs w:val="21"/>
                    </w:rPr>
                  </w:pPr>
                </w:p>
              </w:tc>
              <w:tc>
                <w:tcPr>
                  <w:tcW w:w="569" w:type="pct"/>
                  <w:vMerge w:val="continue"/>
                  <w:shd w:val="clear" w:color="auto" w:fill="auto"/>
                  <w:vAlign w:val="center"/>
                </w:tcPr>
                <w:p w14:paraId="684D3EFA">
                  <w:pPr>
                    <w:jc w:val="center"/>
                    <w:rPr>
                      <w:color w:val="auto"/>
                      <w:szCs w:val="21"/>
                    </w:rPr>
                  </w:pPr>
                </w:p>
              </w:tc>
              <w:tc>
                <w:tcPr>
                  <w:tcW w:w="607" w:type="pct"/>
                  <w:vMerge w:val="continue"/>
                  <w:shd w:val="clear" w:color="auto" w:fill="auto"/>
                  <w:vAlign w:val="center"/>
                </w:tcPr>
                <w:p w14:paraId="03B381A4">
                  <w:pPr>
                    <w:jc w:val="center"/>
                    <w:rPr>
                      <w:color w:val="auto"/>
                      <w:szCs w:val="21"/>
                    </w:rPr>
                  </w:pPr>
                </w:p>
              </w:tc>
              <w:tc>
                <w:tcPr>
                  <w:tcW w:w="681" w:type="pct"/>
                  <w:shd w:val="clear" w:color="auto" w:fill="auto"/>
                  <w:vAlign w:val="center"/>
                </w:tcPr>
                <w:p w14:paraId="532F57BF">
                  <w:pPr>
                    <w:jc w:val="center"/>
                    <w:rPr>
                      <w:color w:val="auto"/>
                      <w:szCs w:val="21"/>
                    </w:rPr>
                  </w:pPr>
                  <w:r>
                    <w:rPr>
                      <w:rFonts w:hint="eastAsia"/>
                      <w:color w:val="auto"/>
                      <w:szCs w:val="21"/>
                    </w:rPr>
                    <w:t>S</w:t>
                  </w:r>
                  <w:r>
                    <w:rPr>
                      <w:color w:val="auto"/>
                      <w:szCs w:val="21"/>
                    </w:rPr>
                    <w:t>S</w:t>
                  </w:r>
                </w:p>
              </w:tc>
              <w:tc>
                <w:tcPr>
                  <w:tcW w:w="712" w:type="pct"/>
                  <w:shd w:val="clear" w:color="auto" w:fill="auto"/>
                  <w:vAlign w:val="center"/>
                </w:tcPr>
                <w:p w14:paraId="0E7A2766">
                  <w:pPr>
                    <w:jc w:val="center"/>
                    <w:rPr>
                      <w:color w:val="auto"/>
                      <w:szCs w:val="21"/>
                    </w:rPr>
                  </w:pPr>
                  <w:r>
                    <w:rPr>
                      <w:color w:val="auto"/>
                      <w:szCs w:val="21"/>
                    </w:rPr>
                    <w:t>350</w:t>
                  </w:r>
                </w:p>
              </w:tc>
              <w:tc>
                <w:tcPr>
                  <w:tcW w:w="833" w:type="pct"/>
                  <w:shd w:val="clear" w:color="auto" w:fill="auto"/>
                  <w:vAlign w:val="center"/>
                </w:tcPr>
                <w:p w14:paraId="440C6D5A">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0.1176</w:t>
                  </w:r>
                </w:p>
              </w:tc>
              <w:tc>
                <w:tcPr>
                  <w:tcW w:w="898" w:type="pct"/>
                  <w:vMerge w:val="continue"/>
                  <w:vAlign w:val="center"/>
                </w:tcPr>
                <w:p w14:paraId="4F66B1DA">
                  <w:pPr>
                    <w:jc w:val="center"/>
                    <w:rPr>
                      <w:color w:val="auto"/>
                      <w:szCs w:val="21"/>
                    </w:rPr>
                  </w:pPr>
                </w:p>
              </w:tc>
            </w:tr>
            <w:tr w14:paraId="3039E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12F44CAF">
                  <w:pPr>
                    <w:jc w:val="center"/>
                    <w:rPr>
                      <w:color w:val="auto"/>
                      <w:szCs w:val="21"/>
                    </w:rPr>
                  </w:pPr>
                </w:p>
              </w:tc>
              <w:tc>
                <w:tcPr>
                  <w:tcW w:w="569" w:type="pct"/>
                  <w:vMerge w:val="continue"/>
                  <w:shd w:val="clear" w:color="auto" w:fill="auto"/>
                  <w:vAlign w:val="center"/>
                </w:tcPr>
                <w:p w14:paraId="5043D512">
                  <w:pPr>
                    <w:jc w:val="center"/>
                    <w:rPr>
                      <w:color w:val="auto"/>
                      <w:szCs w:val="21"/>
                    </w:rPr>
                  </w:pPr>
                </w:p>
              </w:tc>
              <w:tc>
                <w:tcPr>
                  <w:tcW w:w="607" w:type="pct"/>
                  <w:vMerge w:val="continue"/>
                  <w:shd w:val="clear" w:color="auto" w:fill="auto"/>
                  <w:vAlign w:val="center"/>
                </w:tcPr>
                <w:p w14:paraId="6BFE0464">
                  <w:pPr>
                    <w:jc w:val="center"/>
                    <w:rPr>
                      <w:color w:val="auto"/>
                      <w:szCs w:val="21"/>
                    </w:rPr>
                  </w:pPr>
                </w:p>
              </w:tc>
              <w:tc>
                <w:tcPr>
                  <w:tcW w:w="681" w:type="pct"/>
                  <w:shd w:val="clear" w:color="auto" w:fill="auto"/>
                  <w:vAlign w:val="center"/>
                </w:tcPr>
                <w:p w14:paraId="66862B6D">
                  <w:pPr>
                    <w:jc w:val="center"/>
                    <w:rPr>
                      <w:color w:val="auto"/>
                      <w:szCs w:val="21"/>
                    </w:rPr>
                  </w:pPr>
                  <w:r>
                    <w:rPr>
                      <w:color w:val="auto"/>
                      <w:szCs w:val="21"/>
                    </w:rPr>
                    <w:t>氨氮</w:t>
                  </w:r>
                </w:p>
              </w:tc>
              <w:tc>
                <w:tcPr>
                  <w:tcW w:w="712" w:type="pct"/>
                  <w:shd w:val="clear" w:color="auto" w:fill="auto"/>
                  <w:vAlign w:val="center"/>
                </w:tcPr>
                <w:p w14:paraId="759EDD98">
                  <w:pPr>
                    <w:jc w:val="center"/>
                    <w:rPr>
                      <w:color w:val="auto"/>
                      <w:szCs w:val="21"/>
                    </w:rPr>
                  </w:pPr>
                  <w:r>
                    <w:rPr>
                      <w:color w:val="auto"/>
                      <w:szCs w:val="21"/>
                    </w:rPr>
                    <w:t>30</w:t>
                  </w:r>
                </w:p>
              </w:tc>
              <w:tc>
                <w:tcPr>
                  <w:tcW w:w="833" w:type="pct"/>
                  <w:shd w:val="clear" w:color="auto" w:fill="auto"/>
                  <w:vAlign w:val="center"/>
                </w:tcPr>
                <w:p w14:paraId="64D18E19">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0.01008</w:t>
                  </w:r>
                </w:p>
              </w:tc>
              <w:tc>
                <w:tcPr>
                  <w:tcW w:w="898" w:type="pct"/>
                  <w:vMerge w:val="continue"/>
                  <w:vAlign w:val="center"/>
                </w:tcPr>
                <w:p w14:paraId="2635FC00">
                  <w:pPr>
                    <w:jc w:val="center"/>
                    <w:rPr>
                      <w:color w:val="auto"/>
                      <w:szCs w:val="21"/>
                    </w:rPr>
                  </w:pPr>
                </w:p>
              </w:tc>
            </w:tr>
            <w:tr w14:paraId="6FD3D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13A7F719">
                  <w:pPr>
                    <w:jc w:val="center"/>
                    <w:rPr>
                      <w:color w:val="auto"/>
                      <w:szCs w:val="21"/>
                    </w:rPr>
                  </w:pPr>
                </w:p>
              </w:tc>
              <w:tc>
                <w:tcPr>
                  <w:tcW w:w="569" w:type="pct"/>
                  <w:vMerge w:val="continue"/>
                  <w:shd w:val="clear" w:color="auto" w:fill="auto"/>
                  <w:vAlign w:val="center"/>
                </w:tcPr>
                <w:p w14:paraId="01A6B011">
                  <w:pPr>
                    <w:jc w:val="center"/>
                    <w:rPr>
                      <w:color w:val="auto"/>
                      <w:szCs w:val="21"/>
                    </w:rPr>
                  </w:pPr>
                </w:p>
              </w:tc>
              <w:tc>
                <w:tcPr>
                  <w:tcW w:w="607" w:type="pct"/>
                  <w:vMerge w:val="continue"/>
                  <w:shd w:val="clear" w:color="auto" w:fill="auto"/>
                  <w:vAlign w:val="center"/>
                </w:tcPr>
                <w:p w14:paraId="386463AD">
                  <w:pPr>
                    <w:jc w:val="center"/>
                    <w:rPr>
                      <w:color w:val="auto"/>
                      <w:szCs w:val="21"/>
                    </w:rPr>
                  </w:pPr>
                </w:p>
              </w:tc>
              <w:tc>
                <w:tcPr>
                  <w:tcW w:w="681" w:type="pct"/>
                  <w:shd w:val="clear" w:color="auto" w:fill="auto"/>
                  <w:vAlign w:val="center"/>
                </w:tcPr>
                <w:p w14:paraId="0C55BCC2">
                  <w:pPr>
                    <w:jc w:val="center"/>
                    <w:rPr>
                      <w:color w:val="auto"/>
                      <w:szCs w:val="21"/>
                    </w:rPr>
                  </w:pPr>
                  <w:r>
                    <w:rPr>
                      <w:color w:val="auto"/>
                      <w:szCs w:val="21"/>
                    </w:rPr>
                    <w:t>总氮</w:t>
                  </w:r>
                </w:p>
              </w:tc>
              <w:tc>
                <w:tcPr>
                  <w:tcW w:w="712" w:type="pct"/>
                  <w:shd w:val="clear" w:color="auto" w:fill="auto"/>
                  <w:vAlign w:val="center"/>
                </w:tcPr>
                <w:p w14:paraId="535D5D6B">
                  <w:pPr>
                    <w:jc w:val="center"/>
                    <w:rPr>
                      <w:color w:val="auto"/>
                      <w:szCs w:val="21"/>
                    </w:rPr>
                  </w:pPr>
                  <w:r>
                    <w:rPr>
                      <w:color w:val="auto"/>
                      <w:szCs w:val="21"/>
                    </w:rPr>
                    <w:t>35</w:t>
                  </w:r>
                </w:p>
              </w:tc>
              <w:tc>
                <w:tcPr>
                  <w:tcW w:w="833" w:type="pct"/>
                  <w:shd w:val="clear" w:color="auto" w:fill="auto"/>
                  <w:vAlign w:val="center"/>
                </w:tcPr>
                <w:p w14:paraId="385E82E5">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0.01176</w:t>
                  </w:r>
                </w:p>
              </w:tc>
              <w:tc>
                <w:tcPr>
                  <w:tcW w:w="898" w:type="pct"/>
                  <w:vMerge w:val="continue"/>
                  <w:vAlign w:val="center"/>
                </w:tcPr>
                <w:p w14:paraId="4AA4B831">
                  <w:pPr>
                    <w:jc w:val="center"/>
                    <w:rPr>
                      <w:color w:val="auto"/>
                      <w:szCs w:val="21"/>
                    </w:rPr>
                  </w:pPr>
                </w:p>
              </w:tc>
            </w:tr>
            <w:tr w14:paraId="743B1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053EBD7C">
                  <w:pPr>
                    <w:jc w:val="center"/>
                    <w:rPr>
                      <w:color w:val="auto"/>
                      <w:szCs w:val="21"/>
                    </w:rPr>
                  </w:pPr>
                </w:p>
              </w:tc>
              <w:tc>
                <w:tcPr>
                  <w:tcW w:w="569" w:type="pct"/>
                  <w:vMerge w:val="continue"/>
                  <w:shd w:val="clear" w:color="auto" w:fill="auto"/>
                  <w:vAlign w:val="center"/>
                </w:tcPr>
                <w:p w14:paraId="72D11832">
                  <w:pPr>
                    <w:jc w:val="center"/>
                    <w:rPr>
                      <w:color w:val="auto"/>
                      <w:szCs w:val="21"/>
                    </w:rPr>
                  </w:pPr>
                </w:p>
              </w:tc>
              <w:tc>
                <w:tcPr>
                  <w:tcW w:w="607" w:type="pct"/>
                  <w:vMerge w:val="continue"/>
                  <w:shd w:val="clear" w:color="auto" w:fill="auto"/>
                  <w:vAlign w:val="center"/>
                </w:tcPr>
                <w:p w14:paraId="2876484C">
                  <w:pPr>
                    <w:jc w:val="center"/>
                    <w:rPr>
                      <w:color w:val="auto"/>
                      <w:szCs w:val="21"/>
                    </w:rPr>
                  </w:pPr>
                </w:p>
              </w:tc>
              <w:tc>
                <w:tcPr>
                  <w:tcW w:w="681" w:type="pct"/>
                  <w:shd w:val="clear" w:color="auto" w:fill="auto"/>
                  <w:vAlign w:val="center"/>
                </w:tcPr>
                <w:p w14:paraId="74425BE5">
                  <w:pPr>
                    <w:jc w:val="center"/>
                    <w:rPr>
                      <w:color w:val="auto"/>
                      <w:szCs w:val="21"/>
                    </w:rPr>
                  </w:pPr>
                  <w:r>
                    <w:rPr>
                      <w:color w:val="auto"/>
                      <w:szCs w:val="21"/>
                    </w:rPr>
                    <w:t>总磷</w:t>
                  </w:r>
                </w:p>
              </w:tc>
              <w:tc>
                <w:tcPr>
                  <w:tcW w:w="712" w:type="pct"/>
                  <w:shd w:val="clear" w:color="auto" w:fill="auto"/>
                  <w:vAlign w:val="center"/>
                </w:tcPr>
                <w:p w14:paraId="127F3111">
                  <w:pPr>
                    <w:jc w:val="center"/>
                    <w:rPr>
                      <w:color w:val="auto"/>
                      <w:szCs w:val="21"/>
                    </w:rPr>
                  </w:pPr>
                  <w:r>
                    <w:rPr>
                      <w:color w:val="auto"/>
                      <w:szCs w:val="21"/>
                    </w:rPr>
                    <w:t>5</w:t>
                  </w:r>
                </w:p>
              </w:tc>
              <w:tc>
                <w:tcPr>
                  <w:tcW w:w="833" w:type="pct"/>
                  <w:shd w:val="clear" w:color="auto" w:fill="auto"/>
                  <w:vAlign w:val="center"/>
                </w:tcPr>
                <w:p w14:paraId="360AA86C">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0.00168</w:t>
                  </w:r>
                </w:p>
              </w:tc>
              <w:tc>
                <w:tcPr>
                  <w:tcW w:w="898" w:type="pct"/>
                  <w:vMerge w:val="continue"/>
                  <w:vAlign w:val="center"/>
                </w:tcPr>
                <w:p w14:paraId="42C81CE1">
                  <w:pPr>
                    <w:jc w:val="center"/>
                    <w:rPr>
                      <w:color w:val="auto"/>
                      <w:szCs w:val="21"/>
                    </w:rPr>
                  </w:pPr>
                </w:p>
              </w:tc>
            </w:tr>
            <w:tr w14:paraId="4D4A8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shd w:val="clear" w:color="auto" w:fill="auto"/>
                  <w:vAlign w:val="center"/>
                </w:tcPr>
                <w:p w14:paraId="3091F164">
                  <w:pPr>
                    <w:jc w:val="center"/>
                    <w:rPr>
                      <w:color w:val="auto"/>
                      <w:szCs w:val="21"/>
                    </w:rPr>
                  </w:pPr>
                </w:p>
              </w:tc>
              <w:tc>
                <w:tcPr>
                  <w:tcW w:w="569" w:type="pct"/>
                  <w:vMerge w:val="continue"/>
                  <w:shd w:val="clear" w:color="auto" w:fill="auto"/>
                  <w:vAlign w:val="center"/>
                </w:tcPr>
                <w:p w14:paraId="1A9A0267">
                  <w:pPr>
                    <w:jc w:val="center"/>
                    <w:rPr>
                      <w:color w:val="auto"/>
                      <w:szCs w:val="21"/>
                    </w:rPr>
                  </w:pPr>
                </w:p>
              </w:tc>
              <w:tc>
                <w:tcPr>
                  <w:tcW w:w="607" w:type="pct"/>
                  <w:vMerge w:val="continue"/>
                  <w:shd w:val="clear" w:color="auto" w:fill="auto"/>
                  <w:vAlign w:val="center"/>
                </w:tcPr>
                <w:p w14:paraId="12F3977E">
                  <w:pPr>
                    <w:jc w:val="center"/>
                    <w:rPr>
                      <w:color w:val="auto"/>
                      <w:szCs w:val="21"/>
                    </w:rPr>
                  </w:pPr>
                </w:p>
              </w:tc>
              <w:tc>
                <w:tcPr>
                  <w:tcW w:w="681" w:type="pct"/>
                  <w:shd w:val="clear" w:color="auto" w:fill="auto"/>
                  <w:vAlign w:val="center"/>
                </w:tcPr>
                <w:p w14:paraId="02ECD3DB">
                  <w:pPr>
                    <w:jc w:val="center"/>
                    <w:rPr>
                      <w:rFonts w:hint="default" w:eastAsia="宋体"/>
                      <w:color w:val="auto"/>
                      <w:szCs w:val="21"/>
                      <w:lang w:val="en-US" w:eastAsia="zh-CN"/>
                    </w:rPr>
                  </w:pPr>
                  <w:r>
                    <w:rPr>
                      <w:rFonts w:hint="eastAsia"/>
                      <w:color w:val="auto"/>
                      <w:szCs w:val="21"/>
                      <w:lang w:val="en-US" w:eastAsia="zh-CN"/>
                    </w:rPr>
                    <w:t>LAS</w:t>
                  </w:r>
                </w:p>
              </w:tc>
              <w:tc>
                <w:tcPr>
                  <w:tcW w:w="712" w:type="pct"/>
                  <w:shd w:val="clear" w:color="auto" w:fill="auto"/>
                  <w:vAlign w:val="center"/>
                </w:tcPr>
                <w:p w14:paraId="3C641D72">
                  <w:pPr>
                    <w:jc w:val="center"/>
                    <w:rPr>
                      <w:color w:val="auto"/>
                      <w:szCs w:val="21"/>
                    </w:rPr>
                  </w:pPr>
                  <w:r>
                    <w:rPr>
                      <w:rFonts w:hint="eastAsia"/>
                      <w:color w:val="auto"/>
                      <w:szCs w:val="21"/>
                    </w:rPr>
                    <w:t>3</w:t>
                  </w:r>
                  <w:r>
                    <w:rPr>
                      <w:color w:val="auto"/>
                      <w:szCs w:val="21"/>
                    </w:rPr>
                    <w:t>00</w:t>
                  </w:r>
                </w:p>
              </w:tc>
              <w:tc>
                <w:tcPr>
                  <w:tcW w:w="833" w:type="pct"/>
                  <w:shd w:val="clear" w:color="auto" w:fill="auto"/>
                  <w:vAlign w:val="center"/>
                </w:tcPr>
                <w:p w14:paraId="7BD26DAE">
                  <w:pPr>
                    <w:keepNext w:val="0"/>
                    <w:keepLines w:val="0"/>
                    <w:widowControl/>
                    <w:suppressLineNumbers w:val="0"/>
                    <w:jc w:val="center"/>
                    <w:textAlignment w:val="center"/>
                    <w:rPr>
                      <w:rFonts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0.1008</w:t>
                  </w:r>
                </w:p>
              </w:tc>
              <w:tc>
                <w:tcPr>
                  <w:tcW w:w="898" w:type="pct"/>
                  <w:vMerge w:val="continue"/>
                  <w:vAlign w:val="center"/>
                </w:tcPr>
                <w:p w14:paraId="0651B442">
                  <w:pPr>
                    <w:jc w:val="center"/>
                    <w:rPr>
                      <w:color w:val="auto"/>
                      <w:szCs w:val="21"/>
                    </w:rPr>
                  </w:pPr>
                </w:p>
              </w:tc>
            </w:tr>
          </w:tbl>
          <w:p w14:paraId="24654EBB">
            <w:pPr>
              <w:widowControl/>
              <w:autoSpaceDE w:val="0"/>
              <w:autoSpaceDN w:val="0"/>
              <w:adjustRightInd w:val="0"/>
              <w:snapToGrid w:val="0"/>
              <w:spacing w:line="360" w:lineRule="auto"/>
              <w:ind w:firstLine="440" w:firstLineChars="200"/>
              <w:jc w:val="left"/>
              <w:rPr>
                <w:rFonts w:hint="eastAsia" w:eastAsia="宋体"/>
                <w:color w:val="auto"/>
                <w:sz w:val="24"/>
                <w:lang w:eastAsia="zh-CN"/>
              </w:rPr>
            </w:pPr>
            <w:r>
              <w:rPr>
                <w:bCs/>
                <w:color w:val="auto"/>
                <w:spacing w:val="-10"/>
                <w:sz w:val="24"/>
                <w:szCs w:val="21"/>
              </w:rPr>
              <w:t>本项目</w:t>
            </w:r>
            <w:r>
              <w:rPr>
                <w:rFonts w:hint="eastAsia"/>
                <w:bCs/>
                <w:color w:val="auto"/>
                <w:spacing w:val="-10"/>
                <w:sz w:val="24"/>
                <w:szCs w:val="21"/>
                <w:lang w:eastAsia="zh-CN"/>
              </w:rPr>
              <w:t>综合废水</w:t>
            </w:r>
            <w:r>
              <w:rPr>
                <w:color w:val="auto"/>
                <w:sz w:val="24"/>
              </w:rPr>
              <w:t>污染源源强核算结果详见表4-</w:t>
            </w:r>
            <w:r>
              <w:rPr>
                <w:rFonts w:hint="eastAsia"/>
                <w:color w:val="auto"/>
                <w:sz w:val="24"/>
                <w:lang w:val="en-US" w:eastAsia="zh-CN"/>
              </w:rPr>
              <w:t>11</w:t>
            </w:r>
            <w:r>
              <w:rPr>
                <w:color w:val="auto"/>
                <w:sz w:val="24"/>
              </w:rPr>
              <w:t>，</w:t>
            </w:r>
            <w:r>
              <w:rPr>
                <w:rFonts w:hint="eastAsia"/>
                <w:color w:val="auto"/>
                <w:sz w:val="24"/>
              </w:rPr>
              <w:t>涟水经济开发区西区污水处理厂</w:t>
            </w:r>
            <w:r>
              <w:rPr>
                <w:color w:val="auto"/>
                <w:sz w:val="24"/>
              </w:rPr>
              <w:t>水污染源源强核算详见表4-1</w:t>
            </w:r>
            <w:r>
              <w:rPr>
                <w:rFonts w:hint="eastAsia"/>
                <w:color w:val="auto"/>
                <w:sz w:val="24"/>
                <w:lang w:val="en-US" w:eastAsia="zh-CN"/>
              </w:rPr>
              <w:t>2</w:t>
            </w:r>
            <w:r>
              <w:rPr>
                <w:color w:val="auto"/>
                <w:sz w:val="24"/>
              </w:rPr>
              <w:t>，</w:t>
            </w:r>
            <w:r>
              <w:rPr>
                <w:rFonts w:hint="eastAsia"/>
                <w:color w:val="auto"/>
                <w:sz w:val="24"/>
                <w:lang w:val="en-US" w:eastAsia="zh-CN"/>
              </w:rPr>
              <w:t>扩建后全厂项目</w:t>
            </w:r>
            <w:r>
              <w:rPr>
                <w:color w:val="auto"/>
                <w:sz w:val="24"/>
              </w:rPr>
              <w:t>废水污染源源强核算结果及相关参数一览表</w:t>
            </w:r>
            <w:r>
              <w:rPr>
                <w:rFonts w:hint="eastAsia"/>
                <w:color w:val="auto"/>
                <w:sz w:val="24"/>
                <w:lang w:eastAsia="zh-CN"/>
              </w:rPr>
              <w:t>见表</w:t>
            </w:r>
            <w:r>
              <w:rPr>
                <w:rFonts w:hint="eastAsia"/>
                <w:color w:val="auto"/>
                <w:sz w:val="24"/>
                <w:lang w:val="en-US" w:eastAsia="zh-CN"/>
              </w:rPr>
              <w:t>4-13，</w:t>
            </w:r>
            <w:r>
              <w:rPr>
                <w:color w:val="auto"/>
                <w:sz w:val="24"/>
              </w:rPr>
              <w:t>废水排放口基本情况见表4-</w:t>
            </w:r>
            <w:r>
              <w:rPr>
                <w:rFonts w:hint="eastAsia"/>
                <w:color w:val="auto"/>
                <w:sz w:val="24"/>
                <w:lang w:val="en-US" w:eastAsia="zh-CN"/>
              </w:rPr>
              <w:t>14</w:t>
            </w:r>
            <w:r>
              <w:rPr>
                <w:color w:val="auto"/>
                <w:sz w:val="24"/>
              </w:rPr>
              <w:t>。</w:t>
            </w:r>
          </w:p>
          <w:p w14:paraId="26B1634E">
            <w:pPr>
              <w:spacing w:before="120" w:beforeLines="50"/>
              <w:ind w:firstLine="482" w:firstLineChars="200"/>
              <w:jc w:val="center"/>
              <w:rPr>
                <w:b/>
                <w:color w:val="auto"/>
                <w:sz w:val="24"/>
              </w:rPr>
            </w:pPr>
            <w:r>
              <w:rPr>
                <w:b/>
                <w:color w:val="auto"/>
                <w:sz w:val="24"/>
              </w:rPr>
              <w:t>表4-</w:t>
            </w:r>
            <w:r>
              <w:rPr>
                <w:rFonts w:hint="eastAsia"/>
                <w:b/>
                <w:color w:val="auto"/>
                <w:sz w:val="24"/>
                <w:lang w:val="en-US" w:eastAsia="zh-CN"/>
              </w:rPr>
              <w:t>11</w:t>
            </w:r>
            <w:r>
              <w:rPr>
                <w:b/>
                <w:color w:val="auto"/>
                <w:sz w:val="24"/>
              </w:rPr>
              <w:t xml:space="preserve"> 废水污染源源强核算结果及相关参数一览表（pH为无量常纲）</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
              <w:gridCol w:w="401"/>
              <w:gridCol w:w="693"/>
              <w:gridCol w:w="364"/>
              <w:gridCol w:w="735"/>
              <w:gridCol w:w="630"/>
              <w:gridCol w:w="818"/>
              <w:gridCol w:w="787"/>
              <w:gridCol w:w="795"/>
              <w:gridCol w:w="345"/>
              <w:gridCol w:w="705"/>
              <w:gridCol w:w="585"/>
              <w:gridCol w:w="788"/>
              <w:gridCol w:w="367"/>
            </w:tblGrid>
            <w:tr w14:paraId="5F7E5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restart"/>
                  <w:tcBorders>
                    <w:top w:val="single" w:color="auto" w:sz="12" w:space="0"/>
                    <w:bottom w:val="single" w:color="auto" w:sz="4" w:space="0"/>
                  </w:tcBorders>
                  <w:shd w:val="clear" w:color="auto" w:fill="auto"/>
                  <w:vAlign w:val="center"/>
                </w:tcPr>
                <w:p w14:paraId="05956666">
                  <w:pPr>
                    <w:adjustRightInd w:val="0"/>
                    <w:snapToGrid w:val="0"/>
                    <w:jc w:val="center"/>
                    <w:rPr>
                      <w:b/>
                      <w:color w:val="auto"/>
                      <w:sz w:val="18"/>
                      <w:szCs w:val="18"/>
                    </w:rPr>
                  </w:pPr>
                  <w:r>
                    <w:rPr>
                      <w:b/>
                      <w:color w:val="auto"/>
                      <w:sz w:val="18"/>
                      <w:szCs w:val="18"/>
                    </w:rPr>
                    <w:t>工序/生产线</w:t>
                  </w:r>
                </w:p>
              </w:tc>
              <w:tc>
                <w:tcPr>
                  <w:tcW w:w="235" w:type="pct"/>
                  <w:vMerge w:val="restart"/>
                  <w:tcBorders>
                    <w:top w:val="single" w:color="auto" w:sz="12" w:space="0"/>
                    <w:bottom w:val="single" w:color="auto" w:sz="4" w:space="0"/>
                  </w:tcBorders>
                  <w:shd w:val="clear" w:color="auto" w:fill="auto"/>
                  <w:vAlign w:val="center"/>
                </w:tcPr>
                <w:p w14:paraId="5D7DCE92">
                  <w:pPr>
                    <w:adjustRightInd w:val="0"/>
                    <w:snapToGrid w:val="0"/>
                    <w:jc w:val="center"/>
                    <w:rPr>
                      <w:b/>
                      <w:color w:val="auto"/>
                      <w:sz w:val="18"/>
                      <w:szCs w:val="18"/>
                    </w:rPr>
                  </w:pPr>
                  <w:r>
                    <w:rPr>
                      <w:b/>
                      <w:color w:val="auto"/>
                      <w:sz w:val="18"/>
                      <w:szCs w:val="18"/>
                    </w:rPr>
                    <w:t>污染源</w:t>
                  </w:r>
                </w:p>
              </w:tc>
              <w:tc>
                <w:tcPr>
                  <w:tcW w:w="406" w:type="pct"/>
                  <w:vMerge w:val="restart"/>
                  <w:tcBorders>
                    <w:top w:val="single" w:color="auto" w:sz="12" w:space="0"/>
                    <w:bottom w:val="single" w:color="auto" w:sz="4" w:space="0"/>
                  </w:tcBorders>
                  <w:shd w:val="clear" w:color="auto" w:fill="auto"/>
                  <w:vAlign w:val="center"/>
                </w:tcPr>
                <w:p w14:paraId="24CEA47D">
                  <w:pPr>
                    <w:adjustRightInd w:val="0"/>
                    <w:snapToGrid w:val="0"/>
                    <w:jc w:val="center"/>
                    <w:rPr>
                      <w:b/>
                      <w:color w:val="auto"/>
                      <w:sz w:val="18"/>
                      <w:szCs w:val="18"/>
                    </w:rPr>
                  </w:pPr>
                  <w:r>
                    <w:rPr>
                      <w:b/>
                      <w:color w:val="auto"/>
                      <w:sz w:val="18"/>
                      <w:szCs w:val="18"/>
                    </w:rPr>
                    <w:t>污染物</w:t>
                  </w:r>
                </w:p>
              </w:tc>
              <w:tc>
                <w:tcPr>
                  <w:tcW w:w="1493" w:type="pct"/>
                  <w:gridSpan w:val="4"/>
                  <w:tcBorders>
                    <w:top w:val="single" w:color="auto" w:sz="12" w:space="0"/>
                    <w:bottom w:val="single" w:color="auto" w:sz="4" w:space="0"/>
                  </w:tcBorders>
                  <w:shd w:val="clear" w:color="auto" w:fill="auto"/>
                  <w:vAlign w:val="center"/>
                </w:tcPr>
                <w:p w14:paraId="1E33D88C">
                  <w:pPr>
                    <w:adjustRightInd w:val="0"/>
                    <w:snapToGrid w:val="0"/>
                    <w:jc w:val="center"/>
                    <w:rPr>
                      <w:rFonts w:hint="eastAsia" w:eastAsia="宋体"/>
                      <w:b/>
                      <w:color w:val="auto"/>
                      <w:sz w:val="18"/>
                      <w:szCs w:val="18"/>
                      <w:lang w:eastAsia="zh-CN"/>
                    </w:rPr>
                  </w:pPr>
                  <w:r>
                    <w:rPr>
                      <w:b/>
                      <w:color w:val="auto"/>
                      <w:sz w:val="18"/>
                      <w:szCs w:val="18"/>
                    </w:rPr>
                    <w:t>污染物</w:t>
                  </w:r>
                  <w:r>
                    <w:rPr>
                      <w:rFonts w:hint="eastAsia"/>
                      <w:b/>
                      <w:color w:val="auto"/>
                      <w:sz w:val="18"/>
                      <w:szCs w:val="18"/>
                      <w:lang w:eastAsia="zh-CN"/>
                    </w:rPr>
                    <w:t>接管量</w:t>
                  </w:r>
                </w:p>
              </w:tc>
              <w:tc>
                <w:tcPr>
                  <w:tcW w:w="927" w:type="pct"/>
                  <w:gridSpan w:val="2"/>
                  <w:tcBorders>
                    <w:top w:val="single" w:color="auto" w:sz="12" w:space="0"/>
                    <w:bottom w:val="single" w:color="auto" w:sz="4" w:space="0"/>
                  </w:tcBorders>
                  <w:shd w:val="clear" w:color="auto" w:fill="auto"/>
                  <w:vAlign w:val="center"/>
                </w:tcPr>
                <w:p w14:paraId="04FEC89C">
                  <w:pPr>
                    <w:adjustRightInd w:val="0"/>
                    <w:snapToGrid w:val="0"/>
                    <w:jc w:val="center"/>
                    <w:rPr>
                      <w:b/>
                      <w:color w:val="auto"/>
                      <w:sz w:val="18"/>
                      <w:szCs w:val="18"/>
                    </w:rPr>
                  </w:pPr>
                  <w:r>
                    <w:rPr>
                      <w:b/>
                      <w:color w:val="auto"/>
                      <w:sz w:val="18"/>
                      <w:szCs w:val="18"/>
                    </w:rPr>
                    <w:t>治理措施</w:t>
                  </w:r>
                </w:p>
              </w:tc>
              <w:tc>
                <w:tcPr>
                  <w:tcW w:w="1420" w:type="pct"/>
                  <w:gridSpan w:val="4"/>
                  <w:tcBorders>
                    <w:top w:val="single" w:color="auto" w:sz="12" w:space="0"/>
                    <w:bottom w:val="single" w:color="auto" w:sz="4" w:space="0"/>
                  </w:tcBorders>
                  <w:shd w:val="clear" w:color="auto" w:fill="auto"/>
                  <w:vAlign w:val="center"/>
                </w:tcPr>
                <w:p w14:paraId="08499BCF">
                  <w:pPr>
                    <w:adjustRightInd w:val="0"/>
                    <w:snapToGrid w:val="0"/>
                    <w:jc w:val="center"/>
                    <w:rPr>
                      <w:rFonts w:hint="eastAsia" w:eastAsia="宋体"/>
                      <w:b/>
                      <w:color w:val="auto"/>
                      <w:sz w:val="18"/>
                      <w:szCs w:val="18"/>
                      <w:lang w:eastAsia="zh-CN"/>
                    </w:rPr>
                  </w:pPr>
                  <w:r>
                    <w:rPr>
                      <w:rFonts w:ascii="Times New Roman" w:hAnsi="Times New Roman" w:eastAsia="宋体" w:cs="Times New Roman"/>
                      <w:b/>
                      <w:color w:val="auto"/>
                      <w:sz w:val="18"/>
                      <w:szCs w:val="18"/>
                    </w:rPr>
                    <w:t>污染物</w:t>
                  </w:r>
                  <w:r>
                    <w:rPr>
                      <w:rFonts w:hint="eastAsia" w:ascii="Times New Roman" w:hAnsi="Times New Roman" w:eastAsia="宋体" w:cs="Times New Roman"/>
                      <w:b/>
                      <w:color w:val="auto"/>
                      <w:sz w:val="18"/>
                      <w:szCs w:val="18"/>
                      <w:lang w:eastAsia="zh-CN"/>
                    </w:rPr>
                    <w:t>外排量</w:t>
                  </w:r>
                </w:p>
              </w:tc>
              <w:tc>
                <w:tcPr>
                  <w:tcW w:w="215" w:type="pct"/>
                  <w:vMerge w:val="restart"/>
                  <w:tcBorders>
                    <w:top w:val="single" w:color="auto" w:sz="12" w:space="0"/>
                    <w:bottom w:val="single" w:color="auto" w:sz="12" w:space="0"/>
                  </w:tcBorders>
                  <w:shd w:val="clear" w:color="auto" w:fill="auto"/>
                  <w:vAlign w:val="center"/>
                </w:tcPr>
                <w:p w14:paraId="5D06269D">
                  <w:pPr>
                    <w:adjustRightInd w:val="0"/>
                    <w:snapToGrid w:val="0"/>
                    <w:jc w:val="center"/>
                    <w:rPr>
                      <w:b/>
                      <w:color w:val="auto"/>
                      <w:sz w:val="18"/>
                      <w:szCs w:val="18"/>
                    </w:rPr>
                  </w:pPr>
                  <w:r>
                    <w:rPr>
                      <w:b/>
                      <w:color w:val="auto"/>
                      <w:sz w:val="18"/>
                      <w:szCs w:val="18"/>
                    </w:rPr>
                    <w:t>排放时间/h</w:t>
                  </w:r>
                </w:p>
              </w:tc>
            </w:tr>
            <w:tr w14:paraId="1AE95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tcBorders>
                    <w:top w:val="single" w:color="auto" w:sz="4" w:space="0"/>
                    <w:bottom w:val="single" w:color="auto" w:sz="4" w:space="0"/>
                  </w:tcBorders>
                  <w:shd w:val="clear" w:color="auto" w:fill="auto"/>
                  <w:vAlign w:val="center"/>
                </w:tcPr>
                <w:p w14:paraId="1E9C8B8E">
                  <w:pPr>
                    <w:adjustRightInd w:val="0"/>
                    <w:snapToGrid w:val="0"/>
                    <w:jc w:val="center"/>
                    <w:rPr>
                      <w:b/>
                      <w:color w:val="auto"/>
                      <w:sz w:val="18"/>
                      <w:szCs w:val="18"/>
                    </w:rPr>
                  </w:pPr>
                </w:p>
              </w:tc>
              <w:tc>
                <w:tcPr>
                  <w:tcW w:w="235" w:type="pct"/>
                  <w:vMerge w:val="continue"/>
                  <w:shd w:val="clear" w:color="auto" w:fill="auto"/>
                  <w:vAlign w:val="center"/>
                </w:tcPr>
                <w:p w14:paraId="5A7CF58A">
                  <w:pPr>
                    <w:adjustRightInd w:val="0"/>
                    <w:snapToGrid w:val="0"/>
                    <w:jc w:val="center"/>
                    <w:rPr>
                      <w:b/>
                      <w:color w:val="auto"/>
                      <w:sz w:val="18"/>
                      <w:szCs w:val="18"/>
                    </w:rPr>
                  </w:pPr>
                </w:p>
              </w:tc>
              <w:tc>
                <w:tcPr>
                  <w:tcW w:w="406" w:type="pct"/>
                  <w:vMerge w:val="continue"/>
                  <w:tcBorders>
                    <w:top w:val="single" w:color="auto" w:sz="4" w:space="0"/>
                    <w:bottom w:val="single" w:color="auto" w:sz="4" w:space="0"/>
                  </w:tcBorders>
                  <w:shd w:val="clear" w:color="auto" w:fill="auto"/>
                  <w:vAlign w:val="center"/>
                </w:tcPr>
                <w:p w14:paraId="7592892C">
                  <w:pPr>
                    <w:adjustRightInd w:val="0"/>
                    <w:snapToGrid w:val="0"/>
                    <w:jc w:val="center"/>
                    <w:rPr>
                      <w:b/>
                      <w:color w:val="auto"/>
                      <w:sz w:val="18"/>
                      <w:szCs w:val="18"/>
                    </w:rPr>
                  </w:pPr>
                </w:p>
              </w:tc>
              <w:tc>
                <w:tcPr>
                  <w:tcW w:w="213" w:type="pct"/>
                  <w:tcBorders>
                    <w:top w:val="single" w:color="auto" w:sz="4" w:space="0"/>
                    <w:bottom w:val="single" w:color="auto" w:sz="4" w:space="0"/>
                  </w:tcBorders>
                  <w:shd w:val="clear" w:color="auto" w:fill="auto"/>
                  <w:vAlign w:val="center"/>
                </w:tcPr>
                <w:p w14:paraId="1D578007">
                  <w:pPr>
                    <w:adjustRightInd w:val="0"/>
                    <w:snapToGrid w:val="0"/>
                    <w:jc w:val="center"/>
                    <w:rPr>
                      <w:b/>
                      <w:color w:val="auto"/>
                      <w:sz w:val="18"/>
                      <w:szCs w:val="18"/>
                    </w:rPr>
                  </w:pPr>
                  <w:r>
                    <w:rPr>
                      <w:b/>
                      <w:color w:val="auto"/>
                      <w:sz w:val="18"/>
                      <w:szCs w:val="18"/>
                    </w:rPr>
                    <w:t>核算方法</w:t>
                  </w:r>
                </w:p>
              </w:tc>
              <w:tc>
                <w:tcPr>
                  <w:tcW w:w="430" w:type="pct"/>
                  <w:tcBorders>
                    <w:top w:val="single" w:color="auto" w:sz="4" w:space="0"/>
                    <w:bottom w:val="single" w:color="auto" w:sz="4" w:space="0"/>
                  </w:tcBorders>
                  <w:shd w:val="clear" w:color="auto" w:fill="auto"/>
                  <w:vAlign w:val="center"/>
                </w:tcPr>
                <w:p w14:paraId="1BDCF22B">
                  <w:pPr>
                    <w:adjustRightInd w:val="0"/>
                    <w:snapToGrid w:val="0"/>
                    <w:jc w:val="center"/>
                    <w:rPr>
                      <w:b/>
                      <w:color w:val="auto"/>
                      <w:sz w:val="18"/>
                      <w:szCs w:val="18"/>
                    </w:rPr>
                  </w:pPr>
                  <w:r>
                    <w:rPr>
                      <w:b/>
                      <w:color w:val="auto"/>
                      <w:sz w:val="18"/>
                      <w:szCs w:val="18"/>
                    </w:rPr>
                    <w:t>产生废水量（t/a）</w:t>
                  </w:r>
                </w:p>
              </w:tc>
              <w:tc>
                <w:tcPr>
                  <w:tcW w:w="369" w:type="pct"/>
                  <w:tcBorders>
                    <w:top w:val="single" w:color="auto" w:sz="4" w:space="0"/>
                    <w:bottom w:val="single" w:color="auto" w:sz="4" w:space="0"/>
                  </w:tcBorders>
                  <w:shd w:val="clear" w:color="auto" w:fill="auto"/>
                  <w:vAlign w:val="center"/>
                </w:tcPr>
                <w:p w14:paraId="58FD92E2">
                  <w:pPr>
                    <w:adjustRightInd w:val="0"/>
                    <w:snapToGrid w:val="0"/>
                    <w:jc w:val="center"/>
                    <w:rPr>
                      <w:b/>
                      <w:color w:val="auto"/>
                      <w:sz w:val="18"/>
                      <w:szCs w:val="18"/>
                    </w:rPr>
                  </w:pPr>
                  <w:r>
                    <w:rPr>
                      <w:b/>
                      <w:color w:val="auto"/>
                      <w:sz w:val="18"/>
                      <w:szCs w:val="18"/>
                    </w:rPr>
                    <w:t>产生浓度/（mg/L）</w:t>
                  </w:r>
                </w:p>
              </w:tc>
              <w:tc>
                <w:tcPr>
                  <w:tcW w:w="479" w:type="pct"/>
                  <w:tcBorders>
                    <w:top w:val="single" w:color="auto" w:sz="4" w:space="0"/>
                    <w:bottom w:val="single" w:color="auto" w:sz="4" w:space="0"/>
                  </w:tcBorders>
                  <w:shd w:val="clear" w:color="auto" w:fill="auto"/>
                  <w:vAlign w:val="center"/>
                </w:tcPr>
                <w:p w14:paraId="05D26079">
                  <w:pPr>
                    <w:adjustRightInd w:val="0"/>
                    <w:snapToGrid w:val="0"/>
                    <w:jc w:val="center"/>
                    <w:rPr>
                      <w:b/>
                      <w:color w:val="auto"/>
                      <w:sz w:val="18"/>
                      <w:szCs w:val="18"/>
                    </w:rPr>
                  </w:pPr>
                  <w:r>
                    <w:rPr>
                      <w:b/>
                      <w:color w:val="auto"/>
                      <w:sz w:val="18"/>
                      <w:szCs w:val="18"/>
                    </w:rPr>
                    <w:t>产生量/（t/a）</w:t>
                  </w:r>
                </w:p>
              </w:tc>
              <w:tc>
                <w:tcPr>
                  <w:tcW w:w="461" w:type="pct"/>
                  <w:tcBorders>
                    <w:top w:val="single" w:color="auto" w:sz="4" w:space="0"/>
                    <w:bottom w:val="single" w:color="auto" w:sz="4" w:space="0"/>
                  </w:tcBorders>
                  <w:shd w:val="clear" w:color="auto" w:fill="auto"/>
                  <w:vAlign w:val="center"/>
                </w:tcPr>
                <w:p w14:paraId="41281F1D">
                  <w:pPr>
                    <w:adjustRightInd w:val="0"/>
                    <w:snapToGrid w:val="0"/>
                    <w:jc w:val="center"/>
                    <w:rPr>
                      <w:b/>
                      <w:color w:val="auto"/>
                      <w:sz w:val="18"/>
                      <w:szCs w:val="18"/>
                    </w:rPr>
                  </w:pPr>
                  <w:r>
                    <w:rPr>
                      <w:b/>
                      <w:color w:val="auto"/>
                      <w:sz w:val="18"/>
                      <w:szCs w:val="18"/>
                    </w:rPr>
                    <w:t>工艺</w:t>
                  </w:r>
                </w:p>
              </w:tc>
              <w:tc>
                <w:tcPr>
                  <w:tcW w:w="466" w:type="pct"/>
                  <w:tcBorders>
                    <w:top w:val="single" w:color="auto" w:sz="4" w:space="0"/>
                    <w:bottom w:val="single" w:color="auto" w:sz="4" w:space="0"/>
                  </w:tcBorders>
                  <w:shd w:val="clear" w:color="auto" w:fill="auto"/>
                  <w:vAlign w:val="center"/>
                </w:tcPr>
                <w:p w14:paraId="1EF71325">
                  <w:pPr>
                    <w:adjustRightInd w:val="0"/>
                    <w:snapToGrid w:val="0"/>
                    <w:jc w:val="center"/>
                    <w:rPr>
                      <w:b/>
                      <w:color w:val="auto"/>
                      <w:sz w:val="18"/>
                      <w:szCs w:val="18"/>
                    </w:rPr>
                  </w:pPr>
                  <w:r>
                    <w:rPr>
                      <w:b/>
                      <w:color w:val="auto"/>
                      <w:sz w:val="18"/>
                      <w:szCs w:val="18"/>
                    </w:rPr>
                    <w:t>效率%</w:t>
                  </w:r>
                </w:p>
              </w:tc>
              <w:tc>
                <w:tcPr>
                  <w:tcW w:w="202" w:type="pct"/>
                  <w:tcBorders>
                    <w:top w:val="single" w:color="auto" w:sz="4" w:space="0"/>
                    <w:bottom w:val="single" w:color="auto" w:sz="4" w:space="0"/>
                  </w:tcBorders>
                  <w:shd w:val="clear" w:color="auto" w:fill="auto"/>
                  <w:vAlign w:val="center"/>
                </w:tcPr>
                <w:p w14:paraId="4636EC7D">
                  <w:pPr>
                    <w:adjustRightInd w:val="0"/>
                    <w:snapToGrid w:val="0"/>
                    <w:jc w:val="center"/>
                    <w:rPr>
                      <w:b/>
                      <w:color w:val="auto"/>
                      <w:sz w:val="18"/>
                      <w:szCs w:val="18"/>
                    </w:rPr>
                  </w:pPr>
                  <w:r>
                    <w:rPr>
                      <w:b/>
                      <w:color w:val="auto"/>
                      <w:sz w:val="18"/>
                      <w:szCs w:val="18"/>
                    </w:rPr>
                    <w:t>核算方法</w:t>
                  </w:r>
                </w:p>
              </w:tc>
              <w:tc>
                <w:tcPr>
                  <w:tcW w:w="413" w:type="pct"/>
                  <w:tcBorders>
                    <w:top w:val="single" w:color="auto" w:sz="4" w:space="0"/>
                    <w:bottom w:val="single" w:color="auto" w:sz="4" w:space="0"/>
                  </w:tcBorders>
                  <w:shd w:val="clear" w:color="auto" w:fill="auto"/>
                  <w:vAlign w:val="center"/>
                </w:tcPr>
                <w:p w14:paraId="47BE34C8">
                  <w:pPr>
                    <w:adjustRightInd w:val="0"/>
                    <w:snapToGrid w:val="0"/>
                    <w:jc w:val="center"/>
                    <w:rPr>
                      <w:b/>
                      <w:color w:val="auto"/>
                      <w:sz w:val="18"/>
                      <w:szCs w:val="18"/>
                    </w:rPr>
                  </w:pPr>
                  <w:r>
                    <w:rPr>
                      <w:b/>
                      <w:color w:val="auto"/>
                      <w:sz w:val="18"/>
                      <w:szCs w:val="18"/>
                    </w:rPr>
                    <w:t>排放废水量（t/a）</w:t>
                  </w:r>
                </w:p>
              </w:tc>
              <w:tc>
                <w:tcPr>
                  <w:tcW w:w="342" w:type="pct"/>
                  <w:tcBorders>
                    <w:top w:val="single" w:color="auto" w:sz="4" w:space="0"/>
                    <w:bottom w:val="single" w:color="auto" w:sz="4" w:space="0"/>
                  </w:tcBorders>
                  <w:shd w:val="clear" w:color="auto" w:fill="auto"/>
                  <w:vAlign w:val="center"/>
                </w:tcPr>
                <w:p w14:paraId="1306D877">
                  <w:pPr>
                    <w:adjustRightInd w:val="0"/>
                    <w:snapToGrid w:val="0"/>
                    <w:jc w:val="center"/>
                    <w:rPr>
                      <w:b/>
                      <w:color w:val="auto"/>
                      <w:sz w:val="18"/>
                      <w:szCs w:val="18"/>
                    </w:rPr>
                  </w:pPr>
                  <w:r>
                    <w:rPr>
                      <w:b/>
                      <w:color w:val="auto"/>
                      <w:sz w:val="18"/>
                      <w:szCs w:val="18"/>
                    </w:rPr>
                    <w:t>排放浓度（mg/L）</w:t>
                  </w:r>
                </w:p>
              </w:tc>
              <w:tc>
                <w:tcPr>
                  <w:tcW w:w="462" w:type="pct"/>
                  <w:tcBorders>
                    <w:top w:val="single" w:color="auto" w:sz="4" w:space="0"/>
                    <w:bottom w:val="single" w:color="auto" w:sz="4" w:space="0"/>
                  </w:tcBorders>
                  <w:shd w:val="clear" w:color="auto" w:fill="auto"/>
                  <w:vAlign w:val="center"/>
                </w:tcPr>
                <w:p w14:paraId="43234283">
                  <w:pPr>
                    <w:adjustRightInd w:val="0"/>
                    <w:snapToGrid w:val="0"/>
                    <w:jc w:val="center"/>
                    <w:rPr>
                      <w:b/>
                      <w:color w:val="auto"/>
                      <w:sz w:val="18"/>
                      <w:szCs w:val="18"/>
                    </w:rPr>
                  </w:pPr>
                  <w:r>
                    <w:rPr>
                      <w:b/>
                      <w:color w:val="auto"/>
                      <w:sz w:val="18"/>
                      <w:szCs w:val="18"/>
                    </w:rPr>
                    <w:t>排放量（t/a）</w:t>
                  </w:r>
                </w:p>
              </w:tc>
              <w:tc>
                <w:tcPr>
                  <w:tcW w:w="215" w:type="pct"/>
                  <w:vMerge w:val="continue"/>
                  <w:tcBorders>
                    <w:top w:val="single" w:color="auto" w:sz="4" w:space="0"/>
                    <w:bottom w:val="single" w:color="auto" w:sz="4" w:space="0"/>
                  </w:tcBorders>
                  <w:shd w:val="clear" w:color="auto" w:fill="auto"/>
                  <w:vAlign w:val="center"/>
                </w:tcPr>
                <w:p w14:paraId="0FD90A6D">
                  <w:pPr>
                    <w:adjustRightInd w:val="0"/>
                    <w:snapToGrid w:val="0"/>
                    <w:jc w:val="center"/>
                    <w:rPr>
                      <w:color w:val="auto"/>
                      <w:sz w:val="18"/>
                      <w:szCs w:val="18"/>
                    </w:rPr>
                  </w:pPr>
                </w:p>
              </w:tc>
            </w:tr>
            <w:tr w14:paraId="37835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restart"/>
                  <w:tcBorders>
                    <w:top w:val="single" w:color="auto" w:sz="4" w:space="0"/>
                  </w:tcBorders>
                  <w:shd w:val="clear" w:color="auto" w:fill="auto"/>
                  <w:vAlign w:val="center"/>
                </w:tcPr>
                <w:p w14:paraId="486E263C">
                  <w:pPr>
                    <w:adjustRightInd w:val="0"/>
                    <w:snapToGrid w:val="0"/>
                    <w:jc w:val="center"/>
                    <w:rPr>
                      <w:color w:val="auto"/>
                      <w:sz w:val="18"/>
                      <w:szCs w:val="18"/>
                    </w:rPr>
                  </w:pPr>
                  <w:r>
                    <w:rPr>
                      <w:color w:val="auto"/>
                      <w:sz w:val="18"/>
                      <w:szCs w:val="18"/>
                    </w:rPr>
                    <w:t>综合废水（生产废水+生活污水）</w:t>
                  </w:r>
                </w:p>
              </w:tc>
              <w:tc>
                <w:tcPr>
                  <w:tcW w:w="235" w:type="pct"/>
                  <w:vMerge w:val="restart"/>
                  <w:shd w:val="clear" w:color="auto" w:fill="auto"/>
                  <w:vAlign w:val="center"/>
                </w:tcPr>
                <w:p w14:paraId="23E65BB8">
                  <w:pPr>
                    <w:adjustRightInd w:val="0"/>
                    <w:snapToGrid w:val="0"/>
                    <w:jc w:val="center"/>
                    <w:rPr>
                      <w:color w:val="auto"/>
                      <w:sz w:val="18"/>
                      <w:szCs w:val="18"/>
                    </w:rPr>
                  </w:pPr>
                  <w:r>
                    <w:rPr>
                      <w:color w:val="auto"/>
                      <w:sz w:val="18"/>
                      <w:szCs w:val="18"/>
                    </w:rPr>
                    <w:t>生产废水、冲洗废水、生活用水</w:t>
                  </w:r>
                </w:p>
              </w:tc>
              <w:tc>
                <w:tcPr>
                  <w:tcW w:w="406" w:type="pct"/>
                  <w:tcBorders>
                    <w:top w:val="single" w:color="auto" w:sz="4" w:space="0"/>
                    <w:bottom w:val="single" w:color="auto" w:sz="4" w:space="0"/>
                  </w:tcBorders>
                  <w:shd w:val="clear" w:color="auto" w:fill="auto"/>
                  <w:vAlign w:val="center"/>
                </w:tcPr>
                <w:p w14:paraId="0B0E744D">
                  <w:pPr>
                    <w:adjustRightInd w:val="0"/>
                    <w:snapToGrid w:val="0"/>
                    <w:jc w:val="center"/>
                    <w:rPr>
                      <w:color w:val="auto"/>
                      <w:sz w:val="18"/>
                      <w:szCs w:val="18"/>
                    </w:rPr>
                  </w:pPr>
                  <w:r>
                    <w:rPr>
                      <w:color w:val="auto"/>
                      <w:sz w:val="18"/>
                      <w:szCs w:val="18"/>
                    </w:rPr>
                    <w:t>pH</w:t>
                  </w:r>
                </w:p>
              </w:tc>
              <w:tc>
                <w:tcPr>
                  <w:tcW w:w="213" w:type="pct"/>
                  <w:vMerge w:val="restart"/>
                  <w:tcBorders>
                    <w:top w:val="single" w:color="auto" w:sz="4" w:space="0"/>
                  </w:tcBorders>
                  <w:shd w:val="clear" w:color="auto" w:fill="auto"/>
                  <w:vAlign w:val="center"/>
                </w:tcPr>
                <w:p w14:paraId="0319465A">
                  <w:pPr>
                    <w:adjustRightInd w:val="0"/>
                    <w:snapToGrid w:val="0"/>
                    <w:jc w:val="center"/>
                    <w:rPr>
                      <w:color w:val="auto"/>
                      <w:sz w:val="18"/>
                      <w:szCs w:val="18"/>
                    </w:rPr>
                  </w:pPr>
                  <w:r>
                    <w:rPr>
                      <w:color w:val="auto"/>
                      <w:sz w:val="18"/>
                      <w:szCs w:val="18"/>
                    </w:rPr>
                    <w:t>系数法、类比法</w:t>
                  </w:r>
                </w:p>
              </w:tc>
              <w:tc>
                <w:tcPr>
                  <w:tcW w:w="430" w:type="pct"/>
                  <w:vMerge w:val="restart"/>
                  <w:tcBorders>
                    <w:top w:val="single" w:color="auto" w:sz="4" w:space="0"/>
                  </w:tcBorders>
                  <w:shd w:val="clear" w:color="auto" w:fill="auto"/>
                  <w:vAlign w:val="center"/>
                </w:tcPr>
                <w:p w14:paraId="621CA79F">
                  <w:pPr>
                    <w:jc w:val="center"/>
                    <w:rPr>
                      <w:rFonts w:hint="default"/>
                      <w:color w:val="auto"/>
                      <w:sz w:val="18"/>
                      <w:szCs w:val="18"/>
                      <w:lang w:val="en-US" w:eastAsia="zh-CN"/>
                    </w:rPr>
                  </w:pPr>
                  <w:r>
                    <w:rPr>
                      <w:rFonts w:hint="eastAsia"/>
                      <w:color w:val="auto"/>
                      <w:sz w:val="18"/>
                      <w:szCs w:val="18"/>
                      <w:lang w:val="en-US" w:eastAsia="zh-CN"/>
                    </w:rPr>
                    <w:t>46866</w:t>
                  </w:r>
                </w:p>
              </w:tc>
              <w:tc>
                <w:tcPr>
                  <w:tcW w:w="848" w:type="pct"/>
                  <w:gridSpan w:val="2"/>
                  <w:tcBorders>
                    <w:top w:val="single" w:color="auto" w:sz="4" w:space="0"/>
                    <w:bottom w:val="single" w:color="auto" w:sz="4" w:space="0"/>
                  </w:tcBorders>
                  <w:shd w:val="clear" w:color="auto" w:fill="auto"/>
                  <w:vAlign w:val="center"/>
                </w:tcPr>
                <w:p w14:paraId="57938766">
                  <w:pPr>
                    <w:jc w:val="center"/>
                    <w:rPr>
                      <w:rFonts w:hint="default" w:eastAsia="宋体"/>
                      <w:color w:val="auto"/>
                      <w:sz w:val="18"/>
                      <w:szCs w:val="18"/>
                      <w:lang w:val="en-US" w:eastAsia="zh-CN"/>
                    </w:rPr>
                  </w:pPr>
                  <w:r>
                    <w:rPr>
                      <w:rFonts w:hint="eastAsia"/>
                      <w:color w:val="auto"/>
                      <w:sz w:val="18"/>
                      <w:szCs w:val="18"/>
                      <w:lang w:val="en-US" w:eastAsia="zh-CN"/>
                    </w:rPr>
                    <w:t>7.2</w:t>
                  </w:r>
                </w:p>
              </w:tc>
              <w:tc>
                <w:tcPr>
                  <w:tcW w:w="461" w:type="pct"/>
                  <w:vMerge w:val="restart"/>
                  <w:tcBorders>
                    <w:top w:val="single" w:color="auto" w:sz="4" w:space="0"/>
                  </w:tcBorders>
                  <w:shd w:val="clear" w:color="auto" w:fill="auto"/>
                  <w:vAlign w:val="center"/>
                </w:tcPr>
                <w:p w14:paraId="19835FBC">
                  <w:pPr>
                    <w:adjustRightInd w:val="0"/>
                    <w:snapToGrid w:val="0"/>
                    <w:jc w:val="center"/>
                    <w:rPr>
                      <w:color w:val="auto"/>
                      <w:sz w:val="18"/>
                      <w:szCs w:val="18"/>
                    </w:rPr>
                  </w:pPr>
                  <w:r>
                    <w:rPr>
                      <w:color w:val="auto"/>
                      <w:sz w:val="18"/>
                      <w:szCs w:val="18"/>
                    </w:rPr>
                    <w:t>化粪池；隔油池；格栅+折流式沉淀池+调节池+混凝气浮池+水解酸化池+接触氧化池+二沉池</w:t>
                  </w:r>
                </w:p>
              </w:tc>
              <w:tc>
                <w:tcPr>
                  <w:tcW w:w="466" w:type="pct"/>
                  <w:tcBorders>
                    <w:top w:val="single" w:color="auto" w:sz="4" w:space="0"/>
                    <w:bottom w:val="single" w:color="auto" w:sz="4" w:space="0"/>
                  </w:tcBorders>
                  <w:shd w:val="clear" w:color="auto" w:fill="auto"/>
                  <w:vAlign w:val="center"/>
                </w:tcPr>
                <w:p w14:paraId="4F30A816">
                  <w:pPr>
                    <w:adjustRightInd w:val="0"/>
                    <w:snapToGrid w:val="0"/>
                    <w:jc w:val="center"/>
                    <w:rPr>
                      <w:color w:val="auto"/>
                      <w:sz w:val="18"/>
                      <w:szCs w:val="18"/>
                    </w:rPr>
                  </w:pPr>
                  <w:r>
                    <w:rPr>
                      <w:color w:val="auto"/>
                      <w:sz w:val="18"/>
                      <w:szCs w:val="18"/>
                    </w:rPr>
                    <w:t>/</w:t>
                  </w:r>
                </w:p>
              </w:tc>
              <w:tc>
                <w:tcPr>
                  <w:tcW w:w="202" w:type="pct"/>
                  <w:vMerge w:val="restart"/>
                  <w:tcBorders>
                    <w:top w:val="single" w:color="auto" w:sz="4" w:space="0"/>
                  </w:tcBorders>
                  <w:shd w:val="clear" w:color="auto" w:fill="auto"/>
                  <w:vAlign w:val="center"/>
                </w:tcPr>
                <w:p w14:paraId="6C3C3447">
                  <w:pPr>
                    <w:adjustRightInd w:val="0"/>
                    <w:snapToGrid w:val="0"/>
                    <w:jc w:val="center"/>
                    <w:rPr>
                      <w:color w:val="auto"/>
                      <w:sz w:val="18"/>
                      <w:szCs w:val="18"/>
                    </w:rPr>
                  </w:pPr>
                  <w:r>
                    <w:rPr>
                      <w:color w:val="auto"/>
                      <w:sz w:val="18"/>
                      <w:szCs w:val="18"/>
                    </w:rPr>
                    <w:t>/</w:t>
                  </w:r>
                </w:p>
              </w:tc>
              <w:tc>
                <w:tcPr>
                  <w:tcW w:w="413" w:type="pct"/>
                  <w:vMerge w:val="restart"/>
                  <w:tcBorders>
                    <w:top w:val="single" w:color="auto" w:sz="4" w:space="0"/>
                  </w:tcBorders>
                  <w:shd w:val="clear" w:color="auto" w:fill="auto"/>
                  <w:vAlign w:val="center"/>
                </w:tcPr>
                <w:p w14:paraId="6154050D">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46866</w:t>
                  </w:r>
                </w:p>
              </w:tc>
              <w:tc>
                <w:tcPr>
                  <w:tcW w:w="804" w:type="pct"/>
                  <w:gridSpan w:val="2"/>
                  <w:tcBorders>
                    <w:top w:val="single" w:color="auto" w:sz="4" w:space="0"/>
                    <w:bottom w:val="single" w:color="auto" w:sz="4" w:space="0"/>
                  </w:tcBorders>
                  <w:shd w:val="clear" w:color="auto" w:fill="auto"/>
                  <w:vAlign w:val="center"/>
                </w:tcPr>
                <w:p w14:paraId="534CD3CA">
                  <w:pPr>
                    <w:jc w:val="center"/>
                    <w:rPr>
                      <w:color w:val="auto"/>
                      <w:sz w:val="18"/>
                      <w:szCs w:val="18"/>
                    </w:rPr>
                  </w:pPr>
                  <w:r>
                    <w:rPr>
                      <w:rFonts w:hint="eastAsia"/>
                      <w:color w:val="auto"/>
                      <w:sz w:val="18"/>
                      <w:szCs w:val="18"/>
                      <w:lang w:val="en-US" w:eastAsia="zh-CN"/>
                    </w:rPr>
                    <w:t>7.2</w:t>
                  </w:r>
                </w:p>
              </w:tc>
              <w:tc>
                <w:tcPr>
                  <w:tcW w:w="215" w:type="pct"/>
                  <w:vMerge w:val="restart"/>
                  <w:tcBorders>
                    <w:top w:val="single" w:color="auto" w:sz="4" w:space="0"/>
                  </w:tcBorders>
                  <w:shd w:val="clear" w:color="auto" w:fill="auto"/>
                  <w:vAlign w:val="center"/>
                </w:tcPr>
                <w:p w14:paraId="39FB9FC1">
                  <w:pPr>
                    <w:adjustRightInd w:val="0"/>
                    <w:snapToGrid w:val="0"/>
                    <w:jc w:val="center"/>
                    <w:rPr>
                      <w:color w:val="auto"/>
                      <w:sz w:val="18"/>
                      <w:szCs w:val="18"/>
                    </w:rPr>
                  </w:pPr>
                  <w:r>
                    <w:rPr>
                      <w:color w:val="auto"/>
                      <w:sz w:val="18"/>
                      <w:szCs w:val="18"/>
                    </w:rPr>
                    <w:t>间歇排放</w:t>
                  </w:r>
                </w:p>
              </w:tc>
            </w:tr>
            <w:tr w14:paraId="49E9F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shd w:val="clear" w:color="auto" w:fill="auto"/>
                  <w:vAlign w:val="center"/>
                </w:tcPr>
                <w:p w14:paraId="34562B97">
                  <w:pPr>
                    <w:adjustRightInd w:val="0"/>
                    <w:snapToGrid w:val="0"/>
                    <w:jc w:val="center"/>
                    <w:rPr>
                      <w:color w:val="auto"/>
                      <w:sz w:val="18"/>
                      <w:szCs w:val="18"/>
                    </w:rPr>
                  </w:pPr>
                </w:p>
              </w:tc>
              <w:tc>
                <w:tcPr>
                  <w:tcW w:w="235" w:type="pct"/>
                  <w:vMerge w:val="continue"/>
                  <w:shd w:val="clear" w:color="auto" w:fill="auto"/>
                  <w:vAlign w:val="center"/>
                </w:tcPr>
                <w:p w14:paraId="72FE824F">
                  <w:pPr>
                    <w:adjustRightInd w:val="0"/>
                    <w:snapToGrid w:val="0"/>
                    <w:jc w:val="center"/>
                    <w:rPr>
                      <w:color w:val="auto"/>
                      <w:sz w:val="18"/>
                      <w:szCs w:val="18"/>
                    </w:rPr>
                  </w:pPr>
                </w:p>
              </w:tc>
              <w:tc>
                <w:tcPr>
                  <w:tcW w:w="406" w:type="pct"/>
                  <w:tcBorders>
                    <w:top w:val="single" w:color="auto" w:sz="4" w:space="0"/>
                    <w:bottom w:val="single" w:color="auto" w:sz="4" w:space="0"/>
                  </w:tcBorders>
                  <w:shd w:val="clear" w:color="auto" w:fill="auto"/>
                  <w:vAlign w:val="center"/>
                </w:tcPr>
                <w:p w14:paraId="57F00DCE">
                  <w:pPr>
                    <w:adjustRightInd w:val="0"/>
                    <w:snapToGrid w:val="0"/>
                    <w:jc w:val="center"/>
                    <w:rPr>
                      <w:color w:val="auto"/>
                      <w:sz w:val="18"/>
                      <w:szCs w:val="18"/>
                    </w:rPr>
                  </w:pPr>
                  <w:r>
                    <w:rPr>
                      <w:color w:val="auto"/>
                      <w:sz w:val="18"/>
                      <w:szCs w:val="18"/>
                    </w:rPr>
                    <w:t>COD</w:t>
                  </w:r>
                </w:p>
              </w:tc>
              <w:tc>
                <w:tcPr>
                  <w:tcW w:w="213" w:type="pct"/>
                  <w:vMerge w:val="continue"/>
                  <w:shd w:val="clear" w:color="auto" w:fill="auto"/>
                  <w:vAlign w:val="center"/>
                </w:tcPr>
                <w:p w14:paraId="23DAF0EF">
                  <w:pPr>
                    <w:adjustRightInd w:val="0"/>
                    <w:snapToGrid w:val="0"/>
                    <w:jc w:val="center"/>
                    <w:rPr>
                      <w:color w:val="auto"/>
                      <w:sz w:val="18"/>
                      <w:szCs w:val="18"/>
                    </w:rPr>
                  </w:pPr>
                </w:p>
              </w:tc>
              <w:tc>
                <w:tcPr>
                  <w:tcW w:w="430" w:type="pct"/>
                  <w:vMerge w:val="continue"/>
                  <w:shd w:val="clear" w:color="auto" w:fill="auto"/>
                  <w:vAlign w:val="center"/>
                </w:tcPr>
                <w:p w14:paraId="352E24C4">
                  <w:pPr>
                    <w:jc w:val="center"/>
                    <w:rPr>
                      <w:color w:val="auto"/>
                      <w:sz w:val="18"/>
                      <w:szCs w:val="18"/>
                    </w:rPr>
                  </w:pPr>
                </w:p>
              </w:tc>
              <w:tc>
                <w:tcPr>
                  <w:tcW w:w="369" w:type="pct"/>
                  <w:tcBorders>
                    <w:top w:val="single" w:color="auto" w:sz="4" w:space="0"/>
                    <w:bottom w:val="single" w:color="auto" w:sz="4" w:space="0"/>
                  </w:tcBorders>
                  <w:shd w:val="clear" w:color="auto" w:fill="auto"/>
                  <w:vAlign w:val="center"/>
                </w:tcPr>
                <w:p w14:paraId="06DC5FD5">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836.7</w:t>
                  </w:r>
                </w:p>
              </w:tc>
              <w:tc>
                <w:tcPr>
                  <w:tcW w:w="479" w:type="pct"/>
                  <w:tcBorders>
                    <w:top w:val="single" w:color="auto" w:sz="4" w:space="0"/>
                    <w:bottom w:val="single" w:color="auto" w:sz="4" w:space="0"/>
                  </w:tcBorders>
                  <w:shd w:val="clear" w:color="auto" w:fill="auto"/>
                  <w:vAlign w:val="center"/>
                </w:tcPr>
                <w:p w14:paraId="0979188B">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39.2124</w:t>
                  </w:r>
                </w:p>
              </w:tc>
              <w:tc>
                <w:tcPr>
                  <w:tcW w:w="461" w:type="pct"/>
                  <w:vMerge w:val="continue"/>
                  <w:shd w:val="clear" w:color="auto" w:fill="auto"/>
                  <w:vAlign w:val="center"/>
                </w:tcPr>
                <w:p w14:paraId="3A149F9D">
                  <w:pPr>
                    <w:jc w:val="center"/>
                    <w:rPr>
                      <w:color w:val="auto"/>
                      <w:sz w:val="18"/>
                      <w:szCs w:val="18"/>
                    </w:rPr>
                  </w:pPr>
                </w:p>
              </w:tc>
              <w:tc>
                <w:tcPr>
                  <w:tcW w:w="466" w:type="pct"/>
                  <w:tcBorders>
                    <w:top w:val="single" w:color="auto" w:sz="4" w:space="0"/>
                    <w:bottom w:val="single" w:color="auto" w:sz="4" w:space="0"/>
                  </w:tcBorders>
                  <w:shd w:val="clear" w:color="auto" w:fill="auto"/>
                  <w:vAlign w:val="center"/>
                </w:tcPr>
                <w:p w14:paraId="1ACD8D17">
                  <w:pPr>
                    <w:keepNext w:val="0"/>
                    <w:keepLines w:val="0"/>
                    <w:widowControl/>
                    <w:suppressLineNumbers w:val="0"/>
                    <w:jc w:val="center"/>
                    <w:textAlignment w:val="center"/>
                    <w:rPr>
                      <w:rFonts w:eastAsia="等线"/>
                      <w:color w:val="auto"/>
                      <w:sz w:val="18"/>
                      <w:szCs w:val="18"/>
                    </w:rPr>
                  </w:pPr>
                  <w:r>
                    <w:rPr>
                      <w:rFonts w:hint="eastAsia" w:cs="Times New Roman"/>
                      <w:i w:val="0"/>
                      <w:iCs w:val="0"/>
                      <w:color w:val="auto"/>
                      <w:kern w:val="0"/>
                      <w:sz w:val="18"/>
                      <w:szCs w:val="18"/>
                      <w:u w:val="none"/>
                      <w:lang w:val="en-US" w:eastAsia="zh-CN" w:bidi="ar"/>
                    </w:rPr>
                    <w:t>90.39</w:t>
                  </w:r>
                  <w:r>
                    <w:rPr>
                      <w:rFonts w:hint="default" w:ascii="Times New Roman" w:hAnsi="Times New Roman" w:eastAsia="宋体" w:cs="Times New Roman"/>
                      <w:i w:val="0"/>
                      <w:iCs w:val="0"/>
                      <w:color w:val="auto"/>
                      <w:kern w:val="0"/>
                      <w:sz w:val="18"/>
                      <w:szCs w:val="18"/>
                      <w:u w:val="none"/>
                      <w:lang w:val="en-US" w:eastAsia="zh-CN" w:bidi="ar"/>
                    </w:rPr>
                    <w:t>%</w:t>
                  </w:r>
                </w:p>
              </w:tc>
              <w:tc>
                <w:tcPr>
                  <w:tcW w:w="202" w:type="pct"/>
                  <w:vMerge w:val="continue"/>
                  <w:shd w:val="clear" w:color="auto" w:fill="auto"/>
                  <w:vAlign w:val="center"/>
                </w:tcPr>
                <w:p w14:paraId="6D654235">
                  <w:pPr>
                    <w:adjustRightInd w:val="0"/>
                    <w:snapToGrid w:val="0"/>
                    <w:jc w:val="center"/>
                    <w:rPr>
                      <w:color w:val="auto"/>
                      <w:sz w:val="18"/>
                      <w:szCs w:val="18"/>
                    </w:rPr>
                  </w:pPr>
                </w:p>
              </w:tc>
              <w:tc>
                <w:tcPr>
                  <w:tcW w:w="413" w:type="pct"/>
                  <w:vMerge w:val="continue"/>
                  <w:shd w:val="clear" w:color="auto" w:fill="auto"/>
                  <w:vAlign w:val="center"/>
                </w:tcPr>
                <w:p w14:paraId="30D088F7">
                  <w:pPr>
                    <w:jc w:val="center"/>
                    <w:rPr>
                      <w:color w:val="auto"/>
                      <w:sz w:val="18"/>
                      <w:szCs w:val="18"/>
                    </w:rPr>
                  </w:pPr>
                </w:p>
              </w:tc>
              <w:tc>
                <w:tcPr>
                  <w:tcW w:w="342" w:type="pct"/>
                  <w:tcBorders>
                    <w:top w:val="single" w:color="auto" w:sz="4" w:space="0"/>
                    <w:bottom w:val="single" w:color="auto" w:sz="4" w:space="0"/>
                  </w:tcBorders>
                  <w:shd w:val="clear" w:color="auto" w:fill="auto"/>
                  <w:vAlign w:val="center"/>
                </w:tcPr>
                <w:p w14:paraId="3D50ADE7">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80.4</w:t>
                  </w:r>
                </w:p>
              </w:tc>
              <w:tc>
                <w:tcPr>
                  <w:tcW w:w="462" w:type="pct"/>
                  <w:tcBorders>
                    <w:top w:val="single" w:color="auto" w:sz="4" w:space="0"/>
                    <w:bottom w:val="single" w:color="auto" w:sz="4" w:space="0"/>
                  </w:tcBorders>
                  <w:shd w:val="clear" w:color="auto" w:fill="auto"/>
                  <w:vAlign w:val="center"/>
                </w:tcPr>
                <w:p w14:paraId="27F246F9">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3.7683</w:t>
                  </w:r>
                </w:p>
              </w:tc>
              <w:tc>
                <w:tcPr>
                  <w:tcW w:w="215" w:type="pct"/>
                  <w:vMerge w:val="continue"/>
                  <w:shd w:val="clear" w:color="auto" w:fill="auto"/>
                  <w:vAlign w:val="center"/>
                </w:tcPr>
                <w:p w14:paraId="6C443F04">
                  <w:pPr>
                    <w:adjustRightInd w:val="0"/>
                    <w:snapToGrid w:val="0"/>
                    <w:jc w:val="center"/>
                    <w:rPr>
                      <w:color w:val="auto"/>
                      <w:sz w:val="18"/>
                      <w:szCs w:val="18"/>
                    </w:rPr>
                  </w:pPr>
                </w:p>
              </w:tc>
            </w:tr>
            <w:tr w14:paraId="57C2B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shd w:val="clear" w:color="auto" w:fill="auto"/>
                  <w:vAlign w:val="center"/>
                </w:tcPr>
                <w:p w14:paraId="15FB952A">
                  <w:pPr>
                    <w:adjustRightInd w:val="0"/>
                    <w:snapToGrid w:val="0"/>
                    <w:jc w:val="center"/>
                    <w:rPr>
                      <w:color w:val="auto"/>
                      <w:sz w:val="18"/>
                      <w:szCs w:val="18"/>
                    </w:rPr>
                  </w:pPr>
                </w:p>
              </w:tc>
              <w:tc>
                <w:tcPr>
                  <w:tcW w:w="235" w:type="pct"/>
                  <w:vMerge w:val="continue"/>
                  <w:shd w:val="clear" w:color="auto" w:fill="auto"/>
                  <w:vAlign w:val="center"/>
                </w:tcPr>
                <w:p w14:paraId="5C315CBB">
                  <w:pPr>
                    <w:adjustRightInd w:val="0"/>
                    <w:snapToGrid w:val="0"/>
                    <w:jc w:val="center"/>
                    <w:rPr>
                      <w:color w:val="auto"/>
                      <w:sz w:val="18"/>
                      <w:szCs w:val="18"/>
                    </w:rPr>
                  </w:pPr>
                </w:p>
              </w:tc>
              <w:tc>
                <w:tcPr>
                  <w:tcW w:w="406" w:type="pct"/>
                  <w:tcBorders>
                    <w:top w:val="single" w:color="auto" w:sz="4" w:space="0"/>
                    <w:bottom w:val="single" w:color="auto" w:sz="4" w:space="0"/>
                  </w:tcBorders>
                  <w:shd w:val="clear" w:color="auto" w:fill="auto"/>
                  <w:vAlign w:val="center"/>
                </w:tcPr>
                <w:p w14:paraId="1B163723">
                  <w:pPr>
                    <w:adjustRightInd w:val="0"/>
                    <w:snapToGrid w:val="0"/>
                    <w:jc w:val="center"/>
                    <w:rPr>
                      <w:color w:val="auto"/>
                      <w:sz w:val="18"/>
                      <w:szCs w:val="18"/>
                    </w:rPr>
                  </w:pPr>
                  <w:r>
                    <w:rPr>
                      <w:rFonts w:hint="eastAsia"/>
                      <w:color w:val="auto"/>
                      <w:sz w:val="18"/>
                      <w:szCs w:val="18"/>
                    </w:rPr>
                    <w:t>B</w:t>
                  </w:r>
                  <w:r>
                    <w:rPr>
                      <w:color w:val="auto"/>
                      <w:sz w:val="18"/>
                      <w:szCs w:val="18"/>
                    </w:rPr>
                    <w:t>OD</w:t>
                  </w:r>
                  <w:r>
                    <w:rPr>
                      <w:color w:val="auto"/>
                      <w:sz w:val="18"/>
                      <w:szCs w:val="18"/>
                      <w:vertAlign w:val="subscript"/>
                    </w:rPr>
                    <w:t>5</w:t>
                  </w:r>
                </w:p>
              </w:tc>
              <w:tc>
                <w:tcPr>
                  <w:tcW w:w="213" w:type="pct"/>
                  <w:vMerge w:val="continue"/>
                  <w:shd w:val="clear" w:color="auto" w:fill="auto"/>
                  <w:vAlign w:val="center"/>
                </w:tcPr>
                <w:p w14:paraId="720FED20">
                  <w:pPr>
                    <w:adjustRightInd w:val="0"/>
                    <w:snapToGrid w:val="0"/>
                    <w:jc w:val="center"/>
                    <w:rPr>
                      <w:color w:val="auto"/>
                      <w:sz w:val="18"/>
                      <w:szCs w:val="18"/>
                    </w:rPr>
                  </w:pPr>
                </w:p>
              </w:tc>
              <w:tc>
                <w:tcPr>
                  <w:tcW w:w="430" w:type="pct"/>
                  <w:vMerge w:val="continue"/>
                  <w:shd w:val="clear" w:color="auto" w:fill="auto"/>
                  <w:vAlign w:val="center"/>
                </w:tcPr>
                <w:p w14:paraId="1A506A2E">
                  <w:pPr>
                    <w:jc w:val="center"/>
                    <w:rPr>
                      <w:color w:val="auto"/>
                      <w:sz w:val="18"/>
                      <w:szCs w:val="18"/>
                    </w:rPr>
                  </w:pPr>
                </w:p>
              </w:tc>
              <w:tc>
                <w:tcPr>
                  <w:tcW w:w="369" w:type="pct"/>
                  <w:tcBorders>
                    <w:top w:val="single" w:color="auto" w:sz="4" w:space="0"/>
                    <w:bottom w:val="single" w:color="auto" w:sz="4" w:space="0"/>
                  </w:tcBorders>
                  <w:shd w:val="clear" w:color="auto" w:fill="auto"/>
                  <w:vAlign w:val="center"/>
                </w:tcPr>
                <w:p w14:paraId="5892B3C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381.6</w:t>
                  </w:r>
                </w:p>
              </w:tc>
              <w:tc>
                <w:tcPr>
                  <w:tcW w:w="479" w:type="pct"/>
                  <w:tcBorders>
                    <w:top w:val="single" w:color="auto" w:sz="4" w:space="0"/>
                    <w:bottom w:val="single" w:color="auto" w:sz="4" w:space="0"/>
                  </w:tcBorders>
                  <w:shd w:val="clear" w:color="auto" w:fill="auto"/>
                  <w:vAlign w:val="center"/>
                </w:tcPr>
                <w:p w14:paraId="6A6C0C61">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17.8818</w:t>
                  </w:r>
                </w:p>
              </w:tc>
              <w:tc>
                <w:tcPr>
                  <w:tcW w:w="461" w:type="pct"/>
                  <w:vMerge w:val="continue"/>
                  <w:shd w:val="clear" w:color="auto" w:fill="auto"/>
                  <w:vAlign w:val="center"/>
                </w:tcPr>
                <w:p w14:paraId="026CB14E">
                  <w:pPr>
                    <w:jc w:val="center"/>
                    <w:rPr>
                      <w:color w:val="auto"/>
                      <w:sz w:val="18"/>
                      <w:szCs w:val="18"/>
                    </w:rPr>
                  </w:pPr>
                </w:p>
              </w:tc>
              <w:tc>
                <w:tcPr>
                  <w:tcW w:w="466" w:type="pct"/>
                  <w:tcBorders>
                    <w:top w:val="single" w:color="auto" w:sz="4" w:space="0"/>
                    <w:bottom w:val="single" w:color="auto" w:sz="4" w:space="0"/>
                  </w:tcBorders>
                  <w:shd w:val="clear" w:color="auto" w:fill="auto"/>
                  <w:vAlign w:val="center"/>
                </w:tcPr>
                <w:p w14:paraId="48F55A3A">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77.14%</w:t>
                  </w:r>
                </w:p>
              </w:tc>
              <w:tc>
                <w:tcPr>
                  <w:tcW w:w="202" w:type="pct"/>
                  <w:vMerge w:val="continue"/>
                  <w:shd w:val="clear" w:color="auto" w:fill="auto"/>
                  <w:vAlign w:val="center"/>
                </w:tcPr>
                <w:p w14:paraId="7F0A04BB">
                  <w:pPr>
                    <w:adjustRightInd w:val="0"/>
                    <w:snapToGrid w:val="0"/>
                    <w:jc w:val="center"/>
                    <w:rPr>
                      <w:color w:val="auto"/>
                      <w:sz w:val="18"/>
                      <w:szCs w:val="18"/>
                    </w:rPr>
                  </w:pPr>
                </w:p>
              </w:tc>
              <w:tc>
                <w:tcPr>
                  <w:tcW w:w="413" w:type="pct"/>
                  <w:vMerge w:val="continue"/>
                  <w:shd w:val="clear" w:color="auto" w:fill="auto"/>
                  <w:vAlign w:val="center"/>
                </w:tcPr>
                <w:p w14:paraId="08F85129">
                  <w:pPr>
                    <w:jc w:val="center"/>
                    <w:rPr>
                      <w:color w:val="auto"/>
                      <w:sz w:val="18"/>
                      <w:szCs w:val="18"/>
                    </w:rPr>
                  </w:pPr>
                </w:p>
              </w:tc>
              <w:tc>
                <w:tcPr>
                  <w:tcW w:w="342" w:type="pct"/>
                  <w:tcBorders>
                    <w:top w:val="single" w:color="auto" w:sz="4" w:space="0"/>
                    <w:bottom w:val="single" w:color="auto" w:sz="4" w:space="0"/>
                  </w:tcBorders>
                  <w:shd w:val="clear" w:color="auto" w:fill="auto"/>
                  <w:vAlign w:val="center"/>
                </w:tcPr>
                <w:p w14:paraId="17100EE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87.2</w:t>
                  </w:r>
                </w:p>
              </w:tc>
              <w:tc>
                <w:tcPr>
                  <w:tcW w:w="462" w:type="pct"/>
                  <w:tcBorders>
                    <w:top w:val="single" w:color="auto" w:sz="4" w:space="0"/>
                    <w:bottom w:val="single" w:color="auto" w:sz="4" w:space="0"/>
                  </w:tcBorders>
                  <w:shd w:val="clear" w:color="auto" w:fill="auto"/>
                  <w:vAlign w:val="center"/>
                </w:tcPr>
                <w:p w14:paraId="2C83AD5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4.0878</w:t>
                  </w:r>
                </w:p>
              </w:tc>
              <w:tc>
                <w:tcPr>
                  <w:tcW w:w="215" w:type="pct"/>
                  <w:vMerge w:val="continue"/>
                  <w:shd w:val="clear" w:color="auto" w:fill="auto"/>
                  <w:vAlign w:val="center"/>
                </w:tcPr>
                <w:p w14:paraId="4F84F8EA">
                  <w:pPr>
                    <w:adjustRightInd w:val="0"/>
                    <w:snapToGrid w:val="0"/>
                    <w:jc w:val="center"/>
                    <w:rPr>
                      <w:color w:val="auto"/>
                      <w:sz w:val="18"/>
                      <w:szCs w:val="18"/>
                    </w:rPr>
                  </w:pPr>
                </w:p>
              </w:tc>
            </w:tr>
            <w:tr w14:paraId="6C64E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shd w:val="clear" w:color="auto" w:fill="auto"/>
                  <w:vAlign w:val="center"/>
                </w:tcPr>
                <w:p w14:paraId="536A2D1E">
                  <w:pPr>
                    <w:adjustRightInd w:val="0"/>
                    <w:snapToGrid w:val="0"/>
                    <w:jc w:val="center"/>
                    <w:rPr>
                      <w:color w:val="auto"/>
                      <w:sz w:val="18"/>
                      <w:szCs w:val="18"/>
                    </w:rPr>
                  </w:pPr>
                </w:p>
              </w:tc>
              <w:tc>
                <w:tcPr>
                  <w:tcW w:w="235" w:type="pct"/>
                  <w:vMerge w:val="continue"/>
                  <w:shd w:val="clear" w:color="auto" w:fill="auto"/>
                  <w:vAlign w:val="center"/>
                </w:tcPr>
                <w:p w14:paraId="45AB55B9">
                  <w:pPr>
                    <w:adjustRightInd w:val="0"/>
                    <w:snapToGrid w:val="0"/>
                    <w:jc w:val="center"/>
                    <w:rPr>
                      <w:color w:val="auto"/>
                      <w:sz w:val="18"/>
                      <w:szCs w:val="18"/>
                    </w:rPr>
                  </w:pPr>
                </w:p>
              </w:tc>
              <w:tc>
                <w:tcPr>
                  <w:tcW w:w="406" w:type="pct"/>
                  <w:tcBorders>
                    <w:top w:val="single" w:color="auto" w:sz="4" w:space="0"/>
                    <w:bottom w:val="single" w:color="auto" w:sz="4" w:space="0"/>
                  </w:tcBorders>
                  <w:shd w:val="clear" w:color="auto" w:fill="auto"/>
                  <w:vAlign w:val="center"/>
                </w:tcPr>
                <w:p w14:paraId="116F7EF6">
                  <w:pPr>
                    <w:adjustRightInd w:val="0"/>
                    <w:snapToGrid w:val="0"/>
                    <w:jc w:val="center"/>
                    <w:rPr>
                      <w:color w:val="auto"/>
                      <w:sz w:val="18"/>
                      <w:szCs w:val="18"/>
                    </w:rPr>
                  </w:pPr>
                  <w:r>
                    <w:rPr>
                      <w:color w:val="auto"/>
                      <w:sz w:val="18"/>
                      <w:szCs w:val="18"/>
                    </w:rPr>
                    <w:t>SS</w:t>
                  </w:r>
                </w:p>
              </w:tc>
              <w:tc>
                <w:tcPr>
                  <w:tcW w:w="213" w:type="pct"/>
                  <w:vMerge w:val="continue"/>
                  <w:shd w:val="clear" w:color="auto" w:fill="auto"/>
                  <w:vAlign w:val="center"/>
                </w:tcPr>
                <w:p w14:paraId="7F6F37A8">
                  <w:pPr>
                    <w:adjustRightInd w:val="0"/>
                    <w:snapToGrid w:val="0"/>
                    <w:jc w:val="center"/>
                    <w:rPr>
                      <w:color w:val="auto"/>
                      <w:sz w:val="18"/>
                      <w:szCs w:val="18"/>
                    </w:rPr>
                  </w:pPr>
                </w:p>
              </w:tc>
              <w:tc>
                <w:tcPr>
                  <w:tcW w:w="430" w:type="pct"/>
                  <w:vMerge w:val="continue"/>
                  <w:shd w:val="clear" w:color="auto" w:fill="auto"/>
                  <w:vAlign w:val="center"/>
                </w:tcPr>
                <w:p w14:paraId="7867040B">
                  <w:pPr>
                    <w:jc w:val="center"/>
                    <w:rPr>
                      <w:color w:val="auto"/>
                      <w:sz w:val="18"/>
                      <w:szCs w:val="18"/>
                    </w:rPr>
                  </w:pPr>
                </w:p>
              </w:tc>
              <w:tc>
                <w:tcPr>
                  <w:tcW w:w="369" w:type="pct"/>
                  <w:tcBorders>
                    <w:top w:val="single" w:color="auto" w:sz="4" w:space="0"/>
                    <w:bottom w:val="single" w:color="auto" w:sz="4" w:space="0"/>
                  </w:tcBorders>
                  <w:shd w:val="clear" w:color="auto" w:fill="auto"/>
                  <w:vAlign w:val="center"/>
                </w:tcPr>
                <w:p w14:paraId="4776A0E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196.8</w:t>
                  </w:r>
                </w:p>
              </w:tc>
              <w:tc>
                <w:tcPr>
                  <w:tcW w:w="479" w:type="pct"/>
                  <w:tcBorders>
                    <w:top w:val="single" w:color="auto" w:sz="4" w:space="0"/>
                    <w:bottom w:val="single" w:color="auto" w:sz="4" w:space="0"/>
                  </w:tcBorders>
                  <w:shd w:val="clear" w:color="auto" w:fill="auto"/>
                  <w:vAlign w:val="center"/>
                </w:tcPr>
                <w:p w14:paraId="55045020">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9.2226</w:t>
                  </w:r>
                </w:p>
              </w:tc>
              <w:tc>
                <w:tcPr>
                  <w:tcW w:w="461" w:type="pct"/>
                  <w:vMerge w:val="continue"/>
                  <w:shd w:val="clear" w:color="auto" w:fill="auto"/>
                  <w:vAlign w:val="center"/>
                </w:tcPr>
                <w:p w14:paraId="28B6552F">
                  <w:pPr>
                    <w:jc w:val="center"/>
                    <w:rPr>
                      <w:color w:val="auto"/>
                      <w:sz w:val="18"/>
                      <w:szCs w:val="18"/>
                    </w:rPr>
                  </w:pPr>
                </w:p>
              </w:tc>
              <w:tc>
                <w:tcPr>
                  <w:tcW w:w="466" w:type="pct"/>
                  <w:tcBorders>
                    <w:top w:val="single" w:color="auto" w:sz="4" w:space="0"/>
                    <w:bottom w:val="single" w:color="auto" w:sz="4" w:space="0"/>
                  </w:tcBorders>
                  <w:shd w:val="clear" w:color="auto" w:fill="auto"/>
                  <w:vAlign w:val="center"/>
                </w:tcPr>
                <w:p w14:paraId="0A3C9F89">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77.74%</w:t>
                  </w:r>
                </w:p>
              </w:tc>
              <w:tc>
                <w:tcPr>
                  <w:tcW w:w="202" w:type="pct"/>
                  <w:vMerge w:val="continue"/>
                  <w:shd w:val="clear" w:color="auto" w:fill="auto"/>
                  <w:vAlign w:val="center"/>
                </w:tcPr>
                <w:p w14:paraId="1B387294">
                  <w:pPr>
                    <w:adjustRightInd w:val="0"/>
                    <w:snapToGrid w:val="0"/>
                    <w:jc w:val="center"/>
                    <w:rPr>
                      <w:color w:val="auto"/>
                      <w:sz w:val="18"/>
                      <w:szCs w:val="18"/>
                    </w:rPr>
                  </w:pPr>
                </w:p>
              </w:tc>
              <w:tc>
                <w:tcPr>
                  <w:tcW w:w="413" w:type="pct"/>
                  <w:vMerge w:val="continue"/>
                  <w:shd w:val="clear" w:color="auto" w:fill="auto"/>
                  <w:vAlign w:val="center"/>
                </w:tcPr>
                <w:p w14:paraId="03E0635C">
                  <w:pPr>
                    <w:jc w:val="center"/>
                    <w:rPr>
                      <w:color w:val="auto"/>
                      <w:sz w:val="18"/>
                      <w:szCs w:val="18"/>
                    </w:rPr>
                  </w:pPr>
                </w:p>
              </w:tc>
              <w:tc>
                <w:tcPr>
                  <w:tcW w:w="342" w:type="pct"/>
                  <w:tcBorders>
                    <w:top w:val="single" w:color="auto" w:sz="4" w:space="0"/>
                    <w:bottom w:val="single" w:color="auto" w:sz="4" w:space="0"/>
                  </w:tcBorders>
                  <w:shd w:val="clear" w:color="auto" w:fill="auto"/>
                  <w:vAlign w:val="center"/>
                </w:tcPr>
                <w:p w14:paraId="58A3F6BF">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43.8</w:t>
                  </w:r>
                </w:p>
              </w:tc>
              <w:tc>
                <w:tcPr>
                  <w:tcW w:w="462" w:type="pct"/>
                  <w:tcBorders>
                    <w:top w:val="single" w:color="auto" w:sz="4" w:space="0"/>
                    <w:bottom w:val="single" w:color="auto" w:sz="4" w:space="0"/>
                  </w:tcBorders>
                  <w:shd w:val="clear" w:color="auto" w:fill="auto"/>
                  <w:vAlign w:val="center"/>
                </w:tcPr>
                <w:p w14:paraId="01D6728D">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2.0530</w:t>
                  </w:r>
                </w:p>
              </w:tc>
              <w:tc>
                <w:tcPr>
                  <w:tcW w:w="215" w:type="pct"/>
                  <w:vMerge w:val="continue"/>
                  <w:shd w:val="clear" w:color="auto" w:fill="auto"/>
                  <w:vAlign w:val="center"/>
                </w:tcPr>
                <w:p w14:paraId="506A40FC">
                  <w:pPr>
                    <w:adjustRightInd w:val="0"/>
                    <w:snapToGrid w:val="0"/>
                    <w:jc w:val="center"/>
                    <w:rPr>
                      <w:color w:val="auto"/>
                      <w:sz w:val="18"/>
                      <w:szCs w:val="18"/>
                    </w:rPr>
                  </w:pPr>
                </w:p>
              </w:tc>
            </w:tr>
            <w:tr w14:paraId="21409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shd w:val="clear" w:color="auto" w:fill="auto"/>
                  <w:vAlign w:val="center"/>
                </w:tcPr>
                <w:p w14:paraId="326794F6">
                  <w:pPr>
                    <w:adjustRightInd w:val="0"/>
                    <w:snapToGrid w:val="0"/>
                    <w:jc w:val="center"/>
                    <w:rPr>
                      <w:color w:val="auto"/>
                      <w:sz w:val="18"/>
                      <w:szCs w:val="18"/>
                    </w:rPr>
                  </w:pPr>
                </w:p>
              </w:tc>
              <w:tc>
                <w:tcPr>
                  <w:tcW w:w="235" w:type="pct"/>
                  <w:vMerge w:val="continue"/>
                  <w:shd w:val="clear" w:color="auto" w:fill="auto"/>
                  <w:vAlign w:val="center"/>
                </w:tcPr>
                <w:p w14:paraId="08531239">
                  <w:pPr>
                    <w:adjustRightInd w:val="0"/>
                    <w:snapToGrid w:val="0"/>
                    <w:jc w:val="center"/>
                    <w:rPr>
                      <w:color w:val="auto"/>
                      <w:sz w:val="18"/>
                      <w:szCs w:val="18"/>
                    </w:rPr>
                  </w:pPr>
                </w:p>
              </w:tc>
              <w:tc>
                <w:tcPr>
                  <w:tcW w:w="406" w:type="pct"/>
                  <w:tcBorders>
                    <w:top w:val="single" w:color="auto" w:sz="4" w:space="0"/>
                    <w:bottom w:val="single" w:color="auto" w:sz="4" w:space="0"/>
                  </w:tcBorders>
                  <w:shd w:val="clear" w:color="auto" w:fill="auto"/>
                  <w:vAlign w:val="center"/>
                </w:tcPr>
                <w:p w14:paraId="0C012F0A">
                  <w:pPr>
                    <w:adjustRightInd w:val="0"/>
                    <w:snapToGrid w:val="0"/>
                    <w:jc w:val="center"/>
                    <w:rPr>
                      <w:color w:val="auto"/>
                      <w:sz w:val="18"/>
                      <w:szCs w:val="18"/>
                    </w:rPr>
                  </w:pPr>
                  <w:r>
                    <w:rPr>
                      <w:color w:val="auto"/>
                      <w:sz w:val="18"/>
                      <w:szCs w:val="18"/>
                    </w:rPr>
                    <w:t>氨氮</w:t>
                  </w:r>
                </w:p>
              </w:tc>
              <w:tc>
                <w:tcPr>
                  <w:tcW w:w="213" w:type="pct"/>
                  <w:vMerge w:val="continue"/>
                  <w:shd w:val="clear" w:color="auto" w:fill="auto"/>
                  <w:vAlign w:val="center"/>
                </w:tcPr>
                <w:p w14:paraId="51885599">
                  <w:pPr>
                    <w:adjustRightInd w:val="0"/>
                    <w:snapToGrid w:val="0"/>
                    <w:jc w:val="center"/>
                    <w:rPr>
                      <w:color w:val="auto"/>
                      <w:sz w:val="18"/>
                      <w:szCs w:val="18"/>
                    </w:rPr>
                  </w:pPr>
                </w:p>
              </w:tc>
              <w:tc>
                <w:tcPr>
                  <w:tcW w:w="430" w:type="pct"/>
                  <w:vMerge w:val="continue"/>
                  <w:shd w:val="clear" w:color="auto" w:fill="auto"/>
                  <w:vAlign w:val="center"/>
                </w:tcPr>
                <w:p w14:paraId="7A35A1A3">
                  <w:pPr>
                    <w:jc w:val="center"/>
                    <w:rPr>
                      <w:color w:val="auto"/>
                      <w:sz w:val="18"/>
                      <w:szCs w:val="18"/>
                    </w:rPr>
                  </w:pPr>
                </w:p>
              </w:tc>
              <w:tc>
                <w:tcPr>
                  <w:tcW w:w="369" w:type="pct"/>
                  <w:tcBorders>
                    <w:top w:val="single" w:color="auto" w:sz="4" w:space="0"/>
                    <w:bottom w:val="single" w:color="auto" w:sz="4" w:space="0"/>
                  </w:tcBorders>
                  <w:shd w:val="clear" w:color="auto" w:fill="auto"/>
                  <w:vAlign w:val="center"/>
                </w:tcPr>
                <w:p w14:paraId="12D53B90">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53.1</w:t>
                  </w:r>
                </w:p>
              </w:tc>
              <w:tc>
                <w:tcPr>
                  <w:tcW w:w="479" w:type="pct"/>
                  <w:tcBorders>
                    <w:top w:val="single" w:color="auto" w:sz="4" w:space="0"/>
                    <w:bottom w:val="single" w:color="auto" w:sz="4" w:space="0"/>
                  </w:tcBorders>
                  <w:shd w:val="clear" w:color="auto" w:fill="auto"/>
                  <w:vAlign w:val="center"/>
                </w:tcPr>
                <w:p w14:paraId="4DDBED2F">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2.4870</w:t>
                  </w:r>
                </w:p>
              </w:tc>
              <w:tc>
                <w:tcPr>
                  <w:tcW w:w="461" w:type="pct"/>
                  <w:vMerge w:val="continue"/>
                  <w:shd w:val="clear" w:color="auto" w:fill="auto"/>
                  <w:vAlign w:val="center"/>
                </w:tcPr>
                <w:p w14:paraId="1AF01F9B">
                  <w:pPr>
                    <w:jc w:val="center"/>
                    <w:rPr>
                      <w:color w:val="auto"/>
                      <w:sz w:val="18"/>
                      <w:szCs w:val="18"/>
                    </w:rPr>
                  </w:pPr>
                </w:p>
              </w:tc>
              <w:tc>
                <w:tcPr>
                  <w:tcW w:w="466" w:type="pct"/>
                  <w:tcBorders>
                    <w:top w:val="single" w:color="auto" w:sz="4" w:space="0"/>
                    <w:bottom w:val="single" w:color="auto" w:sz="4" w:space="0"/>
                  </w:tcBorders>
                  <w:shd w:val="clear" w:color="auto" w:fill="auto"/>
                  <w:vAlign w:val="center"/>
                </w:tcPr>
                <w:p w14:paraId="6223939D">
                  <w:pPr>
                    <w:keepNext w:val="0"/>
                    <w:keepLines w:val="0"/>
                    <w:widowControl/>
                    <w:suppressLineNumbers w:val="0"/>
                    <w:jc w:val="center"/>
                    <w:textAlignment w:val="center"/>
                    <w:rPr>
                      <w:rFonts w:eastAsia="等线"/>
                      <w:color w:val="auto"/>
                      <w:sz w:val="18"/>
                      <w:szCs w:val="18"/>
                    </w:rPr>
                  </w:pPr>
                  <w:r>
                    <w:rPr>
                      <w:rFonts w:hint="eastAsia" w:cs="Times New Roman"/>
                      <w:i w:val="0"/>
                      <w:iCs w:val="0"/>
                      <w:color w:val="auto"/>
                      <w:kern w:val="0"/>
                      <w:sz w:val="18"/>
                      <w:szCs w:val="18"/>
                      <w:u w:val="none"/>
                      <w:lang w:val="en-US" w:eastAsia="zh-CN" w:bidi="ar"/>
                    </w:rPr>
                    <w:t>94.73</w:t>
                  </w:r>
                  <w:r>
                    <w:rPr>
                      <w:rFonts w:hint="default" w:ascii="Times New Roman" w:hAnsi="Times New Roman" w:eastAsia="宋体" w:cs="Times New Roman"/>
                      <w:i w:val="0"/>
                      <w:iCs w:val="0"/>
                      <w:color w:val="auto"/>
                      <w:kern w:val="0"/>
                      <w:sz w:val="18"/>
                      <w:szCs w:val="18"/>
                      <w:u w:val="none"/>
                      <w:lang w:val="en-US" w:eastAsia="zh-CN" w:bidi="ar"/>
                    </w:rPr>
                    <w:t>%</w:t>
                  </w:r>
                </w:p>
              </w:tc>
              <w:tc>
                <w:tcPr>
                  <w:tcW w:w="202" w:type="pct"/>
                  <w:vMerge w:val="continue"/>
                  <w:shd w:val="clear" w:color="auto" w:fill="auto"/>
                  <w:vAlign w:val="center"/>
                </w:tcPr>
                <w:p w14:paraId="3A149BBF">
                  <w:pPr>
                    <w:adjustRightInd w:val="0"/>
                    <w:snapToGrid w:val="0"/>
                    <w:jc w:val="center"/>
                    <w:rPr>
                      <w:color w:val="auto"/>
                      <w:sz w:val="18"/>
                      <w:szCs w:val="18"/>
                    </w:rPr>
                  </w:pPr>
                </w:p>
              </w:tc>
              <w:tc>
                <w:tcPr>
                  <w:tcW w:w="413" w:type="pct"/>
                  <w:vMerge w:val="continue"/>
                  <w:shd w:val="clear" w:color="auto" w:fill="auto"/>
                  <w:vAlign w:val="center"/>
                </w:tcPr>
                <w:p w14:paraId="5F39B662">
                  <w:pPr>
                    <w:jc w:val="center"/>
                    <w:rPr>
                      <w:color w:val="auto"/>
                      <w:sz w:val="18"/>
                      <w:szCs w:val="18"/>
                    </w:rPr>
                  </w:pPr>
                </w:p>
              </w:tc>
              <w:tc>
                <w:tcPr>
                  <w:tcW w:w="342" w:type="pct"/>
                  <w:tcBorders>
                    <w:top w:val="single" w:color="auto" w:sz="4" w:space="0"/>
                    <w:bottom w:val="single" w:color="auto" w:sz="4" w:space="0"/>
                  </w:tcBorders>
                  <w:shd w:val="clear" w:color="auto" w:fill="auto"/>
                  <w:vAlign w:val="center"/>
                </w:tcPr>
                <w:p w14:paraId="67E7318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2.8</w:t>
                  </w:r>
                </w:p>
              </w:tc>
              <w:tc>
                <w:tcPr>
                  <w:tcW w:w="462" w:type="pct"/>
                  <w:tcBorders>
                    <w:top w:val="single" w:color="auto" w:sz="4" w:space="0"/>
                    <w:bottom w:val="single" w:color="auto" w:sz="4" w:space="0"/>
                  </w:tcBorders>
                  <w:shd w:val="clear" w:color="auto" w:fill="auto"/>
                  <w:vAlign w:val="center"/>
                </w:tcPr>
                <w:p w14:paraId="143800B5">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0.1311</w:t>
                  </w:r>
                </w:p>
              </w:tc>
              <w:tc>
                <w:tcPr>
                  <w:tcW w:w="215" w:type="pct"/>
                  <w:vMerge w:val="continue"/>
                  <w:shd w:val="clear" w:color="auto" w:fill="auto"/>
                  <w:vAlign w:val="center"/>
                </w:tcPr>
                <w:p w14:paraId="5493069D">
                  <w:pPr>
                    <w:adjustRightInd w:val="0"/>
                    <w:snapToGrid w:val="0"/>
                    <w:jc w:val="center"/>
                    <w:rPr>
                      <w:color w:val="auto"/>
                      <w:sz w:val="18"/>
                      <w:szCs w:val="18"/>
                    </w:rPr>
                  </w:pPr>
                </w:p>
              </w:tc>
            </w:tr>
            <w:tr w14:paraId="37147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shd w:val="clear" w:color="auto" w:fill="auto"/>
                  <w:vAlign w:val="center"/>
                </w:tcPr>
                <w:p w14:paraId="7E9FCBC6">
                  <w:pPr>
                    <w:adjustRightInd w:val="0"/>
                    <w:snapToGrid w:val="0"/>
                    <w:jc w:val="center"/>
                    <w:rPr>
                      <w:color w:val="auto"/>
                      <w:sz w:val="18"/>
                      <w:szCs w:val="18"/>
                    </w:rPr>
                  </w:pPr>
                </w:p>
              </w:tc>
              <w:tc>
                <w:tcPr>
                  <w:tcW w:w="235" w:type="pct"/>
                  <w:vMerge w:val="continue"/>
                  <w:shd w:val="clear" w:color="auto" w:fill="auto"/>
                  <w:vAlign w:val="center"/>
                </w:tcPr>
                <w:p w14:paraId="68443369">
                  <w:pPr>
                    <w:adjustRightInd w:val="0"/>
                    <w:snapToGrid w:val="0"/>
                    <w:jc w:val="center"/>
                    <w:rPr>
                      <w:color w:val="auto"/>
                      <w:sz w:val="18"/>
                      <w:szCs w:val="18"/>
                    </w:rPr>
                  </w:pPr>
                </w:p>
              </w:tc>
              <w:tc>
                <w:tcPr>
                  <w:tcW w:w="406" w:type="pct"/>
                  <w:tcBorders>
                    <w:top w:val="single" w:color="auto" w:sz="4" w:space="0"/>
                    <w:bottom w:val="single" w:color="auto" w:sz="4" w:space="0"/>
                  </w:tcBorders>
                  <w:shd w:val="clear" w:color="auto" w:fill="auto"/>
                  <w:vAlign w:val="center"/>
                </w:tcPr>
                <w:p w14:paraId="5E77EA41">
                  <w:pPr>
                    <w:adjustRightInd w:val="0"/>
                    <w:snapToGrid w:val="0"/>
                    <w:jc w:val="center"/>
                    <w:rPr>
                      <w:color w:val="auto"/>
                      <w:sz w:val="18"/>
                      <w:szCs w:val="18"/>
                    </w:rPr>
                  </w:pPr>
                  <w:r>
                    <w:rPr>
                      <w:color w:val="auto"/>
                      <w:sz w:val="18"/>
                      <w:szCs w:val="18"/>
                    </w:rPr>
                    <w:t>总氮</w:t>
                  </w:r>
                </w:p>
              </w:tc>
              <w:tc>
                <w:tcPr>
                  <w:tcW w:w="213" w:type="pct"/>
                  <w:vMerge w:val="continue"/>
                  <w:shd w:val="clear" w:color="auto" w:fill="auto"/>
                  <w:vAlign w:val="center"/>
                </w:tcPr>
                <w:p w14:paraId="325462C6">
                  <w:pPr>
                    <w:adjustRightInd w:val="0"/>
                    <w:snapToGrid w:val="0"/>
                    <w:jc w:val="center"/>
                    <w:rPr>
                      <w:color w:val="auto"/>
                      <w:sz w:val="18"/>
                      <w:szCs w:val="18"/>
                    </w:rPr>
                  </w:pPr>
                </w:p>
              </w:tc>
              <w:tc>
                <w:tcPr>
                  <w:tcW w:w="430" w:type="pct"/>
                  <w:vMerge w:val="continue"/>
                  <w:shd w:val="clear" w:color="auto" w:fill="auto"/>
                  <w:vAlign w:val="center"/>
                </w:tcPr>
                <w:p w14:paraId="75AE0A6C">
                  <w:pPr>
                    <w:jc w:val="center"/>
                    <w:rPr>
                      <w:rFonts w:hint="default"/>
                      <w:color w:val="auto"/>
                      <w:sz w:val="18"/>
                      <w:szCs w:val="18"/>
                      <w:lang w:val="en-US"/>
                    </w:rPr>
                  </w:pPr>
                </w:p>
              </w:tc>
              <w:tc>
                <w:tcPr>
                  <w:tcW w:w="369" w:type="pct"/>
                  <w:tcBorders>
                    <w:top w:val="single" w:color="auto" w:sz="4" w:space="0"/>
                    <w:bottom w:val="single" w:color="auto" w:sz="4" w:space="0"/>
                  </w:tcBorders>
                  <w:shd w:val="clear" w:color="auto" w:fill="auto"/>
                  <w:vAlign w:val="center"/>
                </w:tcPr>
                <w:p w14:paraId="2DB54471">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101.3</w:t>
                  </w:r>
                </w:p>
              </w:tc>
              <w:tc>
                <w:tcPr>
                  <w:tcW w:w="479" w:type="pct"/>
                  <w:tcBorders>
                    <w:top w:val="single" w:color="auto" w:sz="4" w:space="0"/>
                    <w:bottom w:val="single" w:color="auto" w:sz="4" w:space="0"/>
                  </w:tcBorders>
                  <w:shd w:val="clear" w:color="auto" w:fill="auto"/>
                  <w:vAlign w:val="center"/>
                </w:tcPr>
                <w:p w14:paraId="446428CD">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4.7458</w:t>
                  </w:r>
                </w:p>
              </w:tc>
              <w:tc>
                <w:tcPr>
                  <w:tcW w:w="461" w:type="pct"/>
                  <w:vMerge w:val="continue"/>
                  <w:shd w:val="clear" w:color="auto" w:fill="auto"/>
                  <w:vAlign w:val="center"/>
                </w:tcPr>
                <w:p w14:paraId="0DDC9DBA">
                  <w:pPr>
                    <w:jc w:val="center"/>
                    <w:rPr>
                      <w:color w:val="auto"/>
                      <w:sz w:val="18"/>
                      <w:szCs w:val="18"/>
                    </w:rPr>
                  </w:pPr>
                </w:p>
              </w:tc>
              <w:tc>
                <w:tcPr>
                  <w:tcW w:w="466" w:type="pct"/>
                  <w:tcBorders>
                    <w:top w:val="single" w:color="auto" w:sz="4" w:space="0"/>
                    <w:bottom w:val="single" w:color="auto" w:sz="4" w:space="0"/>
                  </w:tcBorders>
                  <w:shd w:val="clear" w:color="auto" w:fill="auto"/>
                  <w:vAlign w:val="center"/>
                </w:tcPr>
                <w:p w14:paraId="6CC4420C">
                  <w:pPr>
                    <w:keepNext w:val="0"/>
                    <w:keepLines w:val="0"/>
                    <w:widowControl/>
                    <w:suppressLineNumbers w:val="0"/>
                    <w:jc w:val="center"/>
                    <w:textAlignment w:val="center"/>
                    <w:rPr>
                      <w:rFonts w:eastAsia="等线"/>
                      <w:color w:val="auto"/>
                      <w:sz w:val="18"/>
                      <w:szCs w:val="18"/>
                    </w:rPr>
                  </w:pPr>
                  <w:r>
                    <w:rPr>
                      <w:rFonts w:hint="eastAsia" w:cs="Times New Roman"/>
                      <w:i w:val="0"/>
                      <w:iCs w:val="0"/>
                      <w:color w:val="auto"/>
                      <w:kern w:val="0"/>
                      <w:sz w:val="18"/>
                      <w:szCs w:val="18"/>
                      <w:u w:val="none"/>
                      <w:lang w:val="en-US" w:eastAsia="zh-CN" w:bidi="ar"/>
                    </w:rPr>
                    <w:t>94.73</w:t>
                  </w:r>
                  <w:r>
                    <w:rPr>
                      <w:rFonts w:hint="default" w:ascii="Times New Roman" w:hAnsi="Times New Roman" w:eastAsia="宋体" w:cs="Times New Roman"/>
                      <w:i w:val="0"/>
                      <w:iCs w:val="0"/>
                      <w:color w:val="auto"/>
                      <w:kern w:val="0"/>
                      <w:sz w:val="18"/>
                      <w:szCs w:val="18"/>
                      <w:u w:val="none"/>
                      <w:lang w:val="en-US" w:eastAsia="zh-CN" w:bidi="ar"/>
                    </w:rPr>
                    <w:t>%</w:t>
                  </w:r>
                </w:p>
              </w:tc>
              <w:tc>
                <w:tcPr>
                  <w:tcW w:w="202" w:type="pct"/>
                  <w:vMerge w:val="continue"/>
                  <w:shd w:val="clear" w:color="auto" w:fill="auto"/>
                  <w:vAlign w:val="center"/>
                </w:tcPr>
                <w:p w14:paraId="0E71F870">
                  <w:pPr>
                    <w:adjustRightInd w:val="0"/>
                    <w:snapToGrid w:val="0"/>
                    <w:jc w:val="center"/>
                    <w:rPr>
                      <w:color w:val="auto"/>
                      <w:sz w:val="18"/>
                      <w:szCs w:val="18"/>
                    </w:rPr>
                  </w:pPr>
                </w:p>
              </w:tc>
              <w:tc>
                <w:tcPr>
                  <w:tcW w:w="413" w:type="pct"/>
                  <w:vMerge w:val="continue"/>
                  <w:shd w:val="clear" w:color="auto" w:fill="auto"/>
                  <w:vAlign w:val="center"/>
                </w:tcPr>
                <w:p w14:paraId="77671DC6">
                  <w:pPr>
                    <w:jc w:val="center"/>
                    <w:rPr>
                      <w:color w:val="auto"/>
                      <w:sz w:val="18"/>
                      <w:szCs w:val="18"/>
                    </w:rPr>
                  </w:pPr>
                </w:p>
              </w:tc>
              <w:tc>
                <w:tcPr>
                  <w:tcW w:w="342" w:type="pct"/>
                  <w:tcBorders>
                    <w:top w:val="single" w:color="auto" w:sz="4" w:space="0"/>
                    <w:bottom w:val="single" w:color="auto" w:sz="4" w:space="0"/>
                  </w:tcBorders>
                  <w:shd w:val="clear" w:color="auto" w:fill="auto"/>
                  <w:vAlign w:val="center"/>
                </w:tcPr>
                <w:p w14:paraId="54AFFB5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5.3</w:t>
                  </w:r>
                </w:p>
              </w:tc>
              <w:tc>
                <w:tcPr>
                  <w:tcW w:w="462" w:type="pct"/>
                  <w:tcBorders>
                    <w:top w:val="single" w:color="auto" w:sz="4" w:space="0"/>
                    <w:bottom w:val="single" w:color="auto" w:sz="4" w:space="0"/>
                  </w:tcBorders>
                  <w:shd w:val="clear" w:color="auto" w:fill="auto"/>
                  <w:vAlign w:val="center"/>
                </w:tcPr>
                <w:p w14:paraId="386346D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0.2501</w:t>
                  </w:r>
                </w:p>
              </w:tc>
              <w:tc>
                <w:tcPr>
                  <w:tcW w:w="215" w:type="pct"/>
                  <w:vMerge w:val="continue"/>
                  <w:shd w:val="clear" w:color="auto" w:fill="auto"/>
                  <w:vAlign w:val="center"/>
                </w:tcPr>
                <w:p w14:paraId="329A7A82">
                  <w:pPr>
                    <w:adjustRightInd w:val="0"/>
                    <w:snapToGrid w:val="0"/>
                    <w:jc w:val="center"/>
                    <w:rPr>
                      <w:color w:val="auto"/>
                      <w:sz w:val="18"/>
                      <w:szCs w:val="18"/>
                    </w:rPr>
                  </w:pPr>
                </w:p>
              </w:tc>
            </w:tr>
            <w:tr w14:paraId="65D32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shd w:val="clear" w:color="auto" w:fill="auto"/>
                  <w:vAlign w:val="center"/>
                </w:tcPr>
                <w:p w14:paraId="53D1FFA9">
                  <w:pPr>
                    <w:adjustRightInd w:val="0"/>
                    <w:snapToGrid w:val="0"/>
                    <w:jc w:val="center"/>
                    <w:rPr>
                      <w:color w:val="auto"/>
                      <w:sz w:val="18"/>
                      <w:szCs w:val="18"/>
                    </w:rPr>
                  </w:pPr>
                </w:p>
              </w:tc>
              <w:tc>
                <w:tcPr>
                  <w:tcW w:w="235" w:type="pct"/>
                  <w:vMerge w:val="continue"/>
                  <w:shd w:val="clear" w:color="auto" w:fill="auto"/>
                  <w:vAlign w:val="center"/>
                </w:tcPr>
                <w:p w14:paraId="002963A0">
                  <w:pPr>
                    <w:adjustRightInd w:val="0"/>
                    <w:snapToGrid w:val="0"/>
                    <w:jc w:val="center"/>
                    <w:rPr>
                      <w:color w:val="auto"/>
                      <w:sz w:val="18"/>
                      <w:szCs w:val="18"/>
                    </w:rPr>
                  </w:pPr>
                </w:p>
              </w:tc>
              <w:tc>
                <w:tcPr>
                  <w:tcW w:w="406" w:type="pct"/>
                  <w:tcBorders>
                    <w:top w:val="single" w:color="auto" w:sz="4" w:space="0"/>
                    <w:bottom w:val="single" w:color="auto" w:sz="4" w:space="0"/>
                  </w:tcBorders>
                  <w:shd w:val="clear" w:color="auto" w:fill="auto"/>
                  <w:vAlign w:val="center"/>
                </w:tcPr>
                <w:p w14:paraId="6D8418FD">
                  <w:pPr>
                    <w:adjustRightInd w:val="0"/>
                    <w:snapToGrid w:val="0"/>
                    <w:jc w:val="center"/>
                    <w:rPr>
                      <w:color w:val="auto"/>
                      <w:sz w:val="18"/>
                      <w:szCs w:val="18"/>
                    </w:rPr>
                  </w:pPr>
                  <w:r>
                    <w:rPr>
                      <w:color w:val="auto"/>
                      <w:sz w:val="18"/>
                      <w:szCs w:val="18"/>
                    </w:rPr>
                    <w:t>总磷</w:t>
                  </w:r>
                </w:p>
              </w:tc>
              <w:tc>
                <w:tcPr>
                  <w:tcW w:w="213" w:type="pct"/>
                  <w:vMerge w:val="continue"/>
                  <w:shd w:val="clear" w:color="auto" w:fill="auto"/>
                  <w:vAlign w:val="center"/>
                </w:tcPr>
                <w:p w14:paraId="7F49B93D">
                  <w:pPr>
                    <w:adjustRightInd w:val="0"/>
                    <w:snapToGrid w:val="0"/>
                    <w:jc w:val="center"/>
                    <w:rPr>
                      <w:color w:val="auto"/>
                      <w:sz w:val="18"/>
                      <w:szCs w:val="18"/>
                    </w:rPr>
                  </w:pPr>
                </w:p>
              </w:tc>
              <w:tc>
                <w:tcPr>
                  <w:tcW w:w="430" w:type="pct"/>
                  <w:vMerge w:val="continue"/>
                  <w:shd w:val="clear" w:color="auto" w:fill="auto"/>
                  <w:vAlign w:val="center"/>
                </w:tcPr>
                <w:p w14:paraId="43E80237">
                  <w:pPr>
                    <w:jc w:val="center"/>
                    <w:rPr>
                      <w:color w:val="auto"/>
                      <w:sz w:val="18"/>
                      <w:szCs w:val="18"/>
                    </w:rPr>
                  </w:pPr>
                </w:p>
              </w:tc>
              <w:tc>
                <w:tcPr>
                  <w:tcW w:w="369" w:type="pct"/>
                  <w:tcBorders>
                    <w:top w:val="single" w:color="auto" w:sz="4" w:space="0"/>
                    <w:bottom w:val="single" w:color="auto" w:sz="4" w:space="0"/>
                  </w:tcBorders>
                  <w:shd w:val="clear" w:color="auto" w:fill="auto"/>
                  <w:vAlign w:val="center"/>
                </w:tcPr>
                <w:p w14:paraId="4B62EA09">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13.3</w:t>
                  </w:r>
                </w:p>
              </w:tc>
              <w:tc>
                <w:tcPr>
                  <w:tcW w:w="479" w:type="pct"/>
                  <w:tcBorders>
                    <w:top w:val="single" w:color="auto" w:sz="4" w:space="0"/>
                    <w:bottom w:val="single" w:color="auto" w:sz="4" w:space="0"/>
                  </w:tcBorders>
                  <w:shd w:val="clear" w:color="auto" w:fill="auto"/>
                  <w:vAlign w:val="center"/>
                </w:tcPr>
                <w:p w14:paraId="336DB319">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0.6249</w:t>
                  </w:r>
                </w:p>
              </w:tc>
              <w:tc>
                <w:tcPr>
                  <w:tcW w:w="461" w:type="pct"/>
                  <w:vMerge w:val="continue"/>
                  <w:shd w:val="clear" w:color="auto" w:fill="auto"/>
                  <w:vAlign w:val="center"/>
                </w:tcPr>
                <w:p w14:paraId="316DFA4F">
                  <w:pPr>
                    <w:jc w:val="center"/>
                    <w:rPr>
                      <w:color w:val="auto"/>
                      <w:sz w:val="18"/>
                      <w:szCs w:val="18"/>
                    </w:rPr>
                  </w:pPr>
                </w:p>
              </w:tc>
              <w:tc>
                <w:tcPr>
                  <w:tcW w:w="466" w:type="pct"/>
                  <w:tcBorders>
                    <w:top w:val="single" w:color="auto" w:sz="4" w:space="0"/>
                    <w:bottom w:val="single" w:color="auto" w:sz="4" w:space="0"/>
                  </w:tcBorders>
                  <w:shd w:val="clear" w:color="auto" w:fill="auto"/>
                  <w:vAlign w:val="center"/>
                </w:tcPr>
                <w:p w14:paraId="09081C53">
                  <w:pPr>
                    <w:keepNext w:val="0"/>
                    <w:keepLines w:val="0"/>
                    <w:widowControl/>
                    <w:suppressLineNumbers w:val="0"/>
                    <w:jc w:val="center"/>
                    <w:textAlignment w:val="center"/>
                    <w:rPr>
                      <w:rFonts w:hint="eastAsia"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96.05</w:t>
                  </w:r>
                  <w:r>
                    <w:rPr>
                      <w:rFonts w:hint="default" w:cs="Times New Roman"/>
                      <w:i w:val="0"/>
                      <w:iCs w:val="0"/>
                      <w:color w:val="auto"/>
                      <w:kern w:val="0"/>
                      <w:sz w:val="18"/>
                      <w:szCs w:val="18"/>
                      <w:u w:val="none"/>
                      <w:lang w:val="en-US" w:eastAsia="zh-CN" w:bidi="ar"/>
                    </w:rPr>
                    <w:t>%</w:t>
                  </w:r>
                </w:p>
              </w:tc>
              <w:tc>
                <w:tcPr>
                  <w:tcW w:w="202" w:type="pct"/>
                  <w:vMerge w:val="continue"/>
                  <w:shd w:val="clear" w:color="auto" w:fill="auto"/>
                  <w:vAlign w:val="center"/>
                </w:tcPr>
                <w:p w14:paraId="6C63C0B5">
                  <w:pPr>
                    <w:adjustRightInd w:val="0"/>
                    <w:snapToGrid w:val="0"/>
                    <w:jc w:val="center"/>
                    <w:rPr>
                      <w:color w:val="auto"/>
                      <w:sz w:val="18"/>
                      <w:szCs w:val="18"/>
                    </w:rPr>
                  </w:pPr>
                </w:p>
              </w:tc>
              <w:tc>
                <w:tcPr>
                  <w:tcW w:w="413" w:type="pct"/>
                  <w:vMerge w:val="continue"/>
                  <w:shd w:val="clear" w:color="auto" w:fill="auto"/>
                  <w:vAlign w:val="center"/>
                </w:tcPr>
                <w:p w14:paraId="2042A30E">
                  <w:pPr>
                    <w:jc w:val="center"/>
                    <w:rPr>
                      <w:color w:val="auto"/>
                      <w:sz w:val="18"/>
                      <w:szCs w:val="18"/>
                    </w:rPr>
                  </w:pPr>
                </w:p>
              </w:tc>
              <w:tc>
                <w:tcPr>
                  <w:tcW w:w="342" w:type="pct"/>
                  <w:tcBorders>
                    <w:top w:val="single" w:color="auto" w:sz="4" w:space="0"/>
                    <w:bottom w:val="single" w:color="auto" w:sz="4" w:space="0"/>
                  </w:tcBorders>
                  <w:shd w:val="clear" w:color="auto" w:fill="auto"/>
                  <w:vAlign w:val="center"/>
                </w:tcPr>
                <w:p w14:paraId="1CC2ABF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0.5</w:t>
                  </w:r>
                </w:p>
              </w:tc>
              <w:tc>
                <w:tcPr>
                  <w:tcW w:w="462" w:type="pct"/>
                  <w:tcBorders>
                    <w:top w:val="single" w:color="auto" w:sz="4" w:space="0"/>
                    <w:bottom w:val="single" w:color="auto" w:sz="4" w:space="0"/>
                  </w:tcBorders>
                  <w:shd w:val="clear" w:color="auto" w:fill="auto"/>
                  <w:vAlign w:val="center"/>
                </w:tcPr>
                <w:p w14:paraId="0B9FD62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0.0247</w:t>
                  </w:r>
                </w:p>
              </w:tc>
              <w:tc>
                <w:tcPr>
                  <w:tcW w:w="215" w:type="pct"/>
                  <w:vMerge w:val="continue"/>
                  <w:shd w:val="clear" w:color="auto" w:fill="auto"/>
                  <w:vAlign w:val="center"/>
                </w:tcPr>
                <w:p w14:paraId="1590324B">
                  <w:pPr>
                    <w:adjustRightInd w:val="0"/>
                    <w:snapToGrid w:val="0"/>
                    <w:jc w:val="center"/>
                    <w:rPr>
                      <w:color w:val="auto"/>
                      <w:sz w:val="18"/>
                      <w:szCs w:val="18"/>
                    </w:rPr>
                  </w:pPr>
                </w:p>
              </w:tc>
            </w:tr>
            <w:tr w14:paraId="41FD9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shd w:val="clear" w:color="auto" w:fill="auto"/>
                  <w:vAlign w:val="center"/>
                </w:tcPr>
                <w:p w14:paraId="581F6DEC">
                  <w:pPr>
                    <w:adjustRightInd w:val="0"/>
                    <w:snapToGrid w:val="0"/>
                    <w:jc w:val="center"/>
                    <w:rPr>
                      <w:color w:val="auto"/>
                      <w:sz w:val="18"/>
                      <w:szCs w:val="18"/>
                    </w:rPr>
                  </w:pPr>
                </w:p>
              </w:tc>
              <w:tc>
                <w:tcPr>
                  <w:tcW w:w="235" w:type="pct"/>
                  <w:vMerge w:val="continue"/>
                  <w:shd w:val="clear" w:color="auto" w:fill="auto"/>
                  <w:vAlign w:val="center"/>
                </w:tcPr>
                <w:p w14:paraId="72021BDB">
                  <w:pPr>
                    <w:adjustRightInd w:val="0"/>
                    <w:snapToGrid w:val="0"/>
                    <w:jc w:val="center"/>
                    <w:rPr>
                      <w:color w:val="auto"/>
                      <w:sz w:val="18"/>
                      <w:szCs w:val="18"/>
                    </w:rPr>
                  </w:pPr>
                </w:p>
              </w:tc>
              <w:tc>
                <w:tcPr>
                  <w:tcW w:w="406" w:type="pct"/>
                  <w:tcBorders>
                    <w:top w:val="single" w:color="auto" w:sz="4" w:space="0"/>
                    <w:bottom w:val="single" w:color="auto" w:sz="4" w:space="0"/>
                  </w:tcBorders>
                  <w:shd w:val="clear" w:color="auto" w:fill="auto"/>
                  <w:vAlign w:val="center"/>
                </w:tcPr>
                <w:p w14:paraId="45D6B516">
                  <w:pPr>
                    <w:adjustRightInd w:val="0"/>
                    <w:snapToGrid w:val="0"/>
                    <w:jc w:val="center"/>
                    <w:rPr>
                      <w:color w:val="auto"/>
                      <w:sz w:val="18"/>
                      <w:szCs w:val="18"/>
                    </w:rPr>
                  </w:pPr>
                  <w:r>
                    <w:rPr>
                      <w:color w:val="auto"/>
                      <w:sz w:val="18"/>
                      <w:szCs w:val="18"/>
                    </w:rPr>
                    <w:t>动植物油</w:t>
                  </w:r>
                </w:p>
              </w:tc>
              <w:tc>
                <w:tcPr>
                  <w:tcW w:w="213" w:type="pct"/>
                  <w:vMerge w:val="continue"/>
                  <w:shd w:val="clear" w:color="auto" w:fill="auto"/>
                  <w:vAlign w:val="center"/>
                </w:tcPr>
                <w:p w14:paraId="58B8838D">
                  <w:pPr>
                    <w:adjustRightInd w:val="0"/>
                    <w:snapToGrid w:val="0"/>
                    <w:jc w:val="center"/>
                    <w:rPr>
                      <w:color w:val="auto"/>
                      <w:sz w:val="18"/>
                      <w:szCs w:val="18"/>
                    </w:rPr>
                  </w:pPr>
                </w:p>
              </w:tc>
              <w:tc>
                <w:tcPr>
                  <w:tcW w:w="430" w:type="pct"/>
                  <w:vMerge w:val="continue"/>
                  <w:shd w:val="clear" w:color="auto" w:fill="auto"/>
                  <w:vAlign w:val="center"/>
                </w:tcPr>
                <w:p w14:paraId="0CB1CA91">
                  <w:pPr>
                    <w:jc w:val="center"/>
                    <w:rPr>
                      <w:color w:val="auto"/>
                      <w:sz w:val="18"/>
                      <w:szCs w:val="18"/>
                    </w:rPr>
                  </w:pPr>
                </w:p>
              </w:tc>
              <w:tc>
                <w:tcPr>
                  <w:tcW w:w="369" w:type="pct"/>
                  <w:tcBorders>
                    <w:top w:val="single" w:color="auto" w:sz="4" w:space="0"/>
                    <w:bottom w:val="single" w:color="auto" w:sz="4" w:space="0"/>
                  </w:tcBorders>
                  <w:shd w:val="clear" w:color="auto" w:fill="auto"/>
                  <w:vAlign w:val="center"/>
                </w:tcPr>
                <w:p w14:paraId="37B62F9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19.0</w:t>
                  </w:r>
                </w:p>
              </w:tc>
              <w:tc>
                <w:tcPr>
                  <w:tcW w:w="479" w:type="pct"/>
                  <w:tcBorders>
                    <w:top w:val="single" w:color="auto" w:sz="4" w:space="0"/>
                    <w:bottom w:val="single" w:color="auto" w:sz="4" w:space="0"/>
                  </w:tcBorders>
                  <w:shd w:val="clear" w:color="auto" w:fill="auto"/>
                  <w:vAlign w:val="center"/>
                </w:tcPr>
                <w:p w14:paraId="08DABFCC">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0.8891</w:t>
                  </w:r>
                </w:p>
              </w:tc>
              <w:tc>
                <w:tcPr>
                  <w:tcW w:w="461" w:type="pct"/>
                  <w:vMerge w:val="continue"/>
                  <w:shd w:val="clear" w:color="auto" w:fill="auto"/>
                  <w:vAlign w:val="center"/>
                </w:tcPr>
                <w:p w14:paraId="476600DE">
                  <w:pPr>
                    <w:jc w:val="center"/>
                    <w:rPr>
                      <w:color w:val="auto"/>
                      <w:sz w:val="18"/>
                      <w:szCs w:val="18"/>
                    </w:rPr>
                  </w:pPr>
                </w:p>
              </w:tc>
              <w:tc>
                <w:tcPr>
                  <w:tcW w:w="466" w:type="pct"/>
                  <w:tcBorders>
                    <w:top w:val="single" w:color="auto" w:sz="4" w:space="0"/>
                    <w:bottom w:val="single" w:color="auto" w:sz="4" w:space="0"/>
                  </w:tcBorders>
                  <w:shd w:val="clear" w:color="auto" w:fill="auto"/>
                  <w:vAlign w:val="center"/>
                </w:tcPr>
                <w:p w14:paraId="7F9D30B5">
                  <w:pPr>
                    <w:keepNext w:val="0"/>
                    <w:keepLines w:val="0"/>
                    <w:widowControl/>
                    <w:suppressLineNumbers w:val="0"/>
                    <w:jc w:val="center"/>
                    <w:textAlignment w:val="center"/>
                    <w:rPr>
                      <w:rFonts w:hint="eastAsia"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98.16</w:t>
                  </w:r>
                  <w:r>
                    <w:rPr>
                      <w:rFonts w:hint="default" w:cs="Times New Roman"/>
                      <w:i w:val="0"/>
                      <w:iCs w:val="0"/>
                      <w:color w:val="auto"/>
                      <w:kern w:val="0"/>
                      <w:sz w:val="18"/>
                      <w:szCs w:val="18"/>
                      <w:u w:val="none"/>
                      <w:lang w:val="en-US" w:eastAsia="zh-CN" w:bidi="ar"/>
                    </w:rPr>
                    <w:t>%</w:t>
                  </w:r>
                </w:p>
              </w:tc>
              <w:tc>
                <w:tcPr>
                  <w:tcW w:w="202" w:type="pct"/>
                  <w:vMerge w:val="continue"/>
                  <w:shd w:val="clear" w:color="auto" w:fill="auto"/>
                  <w:vAlign w:val="center"/>
                </w:tcPr>
                <w:p w14:paraId="16145303">
                  <w:pPr>
                    <w:adjustRightInd w:val="0"/>
                    <w:snapToGrid w:val="0"/>
                    <w:jc w:val="center"/>
                    <w:rPr>
                      <w:color w:val="auto"/>
                      <w:sz w:val="18"/>
                      <w:szCs w:val="18"/>
                    </w:rPr>
                  </w:pPr>
                </w:p>
              </w:tc>
              <w:tc>
                <w:tcPr>
                  <w:tcW w:w="413" w:type="pct"/>
                  <w:vMerge w:val="continue"/>
                  <w:shd w:val="clear" w:color="auto" w:fill="auto"/>
                  <w:vAlign w:val="center"/>
                </w:tcPr>
                <w:p w14:paraId="481B6797">
                  <w:pPr>
                    <w:jc w:val="center"/>
                    <w:rPr>
                      <w:color w:val="auto"/>
                      <w:sz w:val="18"/>
                      <w:szCs w:val="18"/>
                    </w:rPr>
                  </w:pPr>
                </w:p>
              </w:tc>
              <w:tc>
                <w:tcPr>
                  <w:tcW w:w="342" w:type="pct"/>
                  <w:tcBorders>
                    <w:top w:val="single" w:color="auto" w:sz="4" w:space="0"/>
                    <w:bottom w:val="single" w:color="auto" w:sz="4" w:space="0"/>
                  </w:tcBorders>
                  <w:shd w:val="clear" w:color="auto" w:fill="auto"/>
                  <w:vAlign w:val="center"/>
                </w:tcPr>
                <w:p w14:paraId="0BC52090">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0.3</w:t>
                  </w:r>
                </w:p>
              </w:tc>
              <w:tc>
                <w:tcPr>
                  <w:tcW w:w="462" w:type="pct"/>
                  <w:tcBorders>
                    <w:top w:val="single" w:color="auto" w:sz="4" w:space="0"/>
                    <w:bottom w:val="single" w:color="auto" w:sz="4" w:space="0"/>
                  </w:tcBorders>
                  <w:shd w:val="clear" w:color="auto" w:fill="auto"/>
                  <w:vAlign w:val="center"/>
                </w:tcPr>
                <w:p w14:paraId="4ACCE349">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0.0191</w:t>
                  </w:r>
                </w:p>
              </w:tc>
              <w:tc>
                <w:tcPr>
                  <w:tcW w:w="215" w:type="pct"/>
                  <w:vMerge w:val="continue"/>
                  <w:shd w:val="clear" w:color="auto" w:fill="auto"/>
                  <w:vAlign w:val="center"/>
                </w:tcPr>
                <w:p w14:paraId="14D1F9B2">
                  <w:pPr>
                    <w:adjustRightInd w:val="0"/>
                    <w:snapToGrid w:val="0"/>
                    <w:jc w:val="center"/>
                    <w:rPr>
                      <w:color w:val="auto"/>
                      <w:szCs w:val="21"/>
                    </w:rPr>
                  </w:pPr>
                </w:p>
              </w:tc>
            </w:tr>
            <w:tr w14:paraId="58EE5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shd w:val="clear" w:color="auto" w:fill="auto"/>
                  <w:vAlign w:val="center"/>
                </w:tcPr>
                <w:p w14:paraId="2D815D76">
                  <w:pPr>
                    <w:adjustRightInd w:val="0"/>
                    <w:snapToGrid w:val="0"/>
                    <w:jc w:val="center"/>
                    <w:rPr>
                      <w:color w:val="auto"/>
                      <w:sz w:val="18"/>
                      <w:szCs w:val="18"/>
                    </w:rPr>
                  </w:pPr>
                </w:p>
              </w:tc>
              <w:tc>
                <w:tcPr>
                  <w:tcW w:w="235" w:type="pct"/>
                  <w:vMerge w:val="continue"/>
                  <w:shd w:val="clear" w:color="auto" w:fill="auto"/>
                  <w:vAlign w:val="center"/>
                </w:tcPr>
                <w:p w14:paraId="2C39BFF0">
                  <w:pPr>
                    <w:adjustRightInd w:val="0"/>
                    <w:snapToGrid w:val="0"/>
                    <w:jc w:val="center"/>
                    <w:rPr>
                      <w:color w:val="auto"/>
                      <w:sz w:val="18"/>
                      <w:szCs w:val="18"/>
                    </w:rPr>
                  </w:pPr>
                </w:p>
              </w:tc>
              <w:tc>
                <w:tcPr>
                  <w:tcW w:w="406" w:type="pct"/>
                  <w:tcBorders>
                    <w:top w:val="single" w:color="auto" w:sz="4" w:space="0"/>
                    <w:bottom w:val="single" w:color="auto" w:sz="4" w:space="0"/>
                  </w:tcBorders>
                  <w:shd w:val="clear" w:color="auto" w:fill="auto"/>
                  <w:vAlign w:val="center"/>
                </w:tcPr>
                <w:p w14:paraId="668EE131">
                  <w:pPr>
                    <w:adjustRightInd w:val="0"/>
                    <w:snapToGrid w:val="0"/>
                    <w:jc w:val="center"/>
                    <w:rPr>
                      <w:color w:val="auto"/>
                      <w:sz w:val="18"/>
                      <w:szCs w:val="18"/>
                    </w:rPr>
                  </w:pPr>
                  <w:r>
                    <w:rPr>
                      <w:color w:val="auto"/>
                      <w:sz w:val="18"/>
                      <w:szCs w:val="18"/>
                    </w:rPr>
                    <w:t>LAS</w:t>
                  </w:r>
                </w:p>
              </w:tc>
              <w:tc>
                <w:tcPr>
                  <w:tcW w:w="213" w:type="pct"/>
                  <w:vMerge w:val="continue"/>
                  <w:shd w:val="clear" w:color="auto" w:fill="auto"/>
                  <w:vAlign w:val="center"/>
                </w:tcPr>
                <w:p w14:paraId="5A2C2508">
                  <w:pPr>
                    <w:adjustRightInd w:val="0"/>
                    <w:snapToGrid w:val="0"/>
                    <w:jc w:val="center"/>
                    <w:rPr>
                      <w:color w:val="auto"/>
                      <w:sz w:val="18"/>
                      <w:szCs w:val="18"/>
                    </w:rPr>
                  </w:pPr>
                </w:p>
              </w:tc>
              <w:tc>
                <w:tcPr>
                  <w:tcW w:w="430" w:type="pct"/>
                  <w:vMerge w:val="continue"/>
                  <w:shd w:val="clear" w:color="auto" w:fill="auto"/>
                  <w:vAlign w:val="center"/>
                </w:tcPr>
                <w:p w14:paraId="4340F77C">
                  <w:pPr>
                    <w:jc w:val="center"/>
                    <w:rPr>
                      <w:color w:val="auto"/>
                      <w:sz w:val="18"/>
                      <w:szCs w:val="18"/>
                    </w:rPr>
                  </w:pPr>
                </w:p>
              </w:tc>
              <w:tc>
                <w:tcPr>
                  <w:tcW w:w="369" w:type="pct"/>
                  <w:tcBorders>
                    <w:top w:val="single" w:color="auto" w:sz="4" w:space="0"/>
                    <w:bottom w:val="single" w:color="auto" w:sz="4" w:space="0"/>
                  </w:tcBorders>
                  <w:shd w:val="clear" w:color="auto" w:fill="auto"/>
                  <w:vAlign w:val="center"/>
                </w:tcPr>
                <w:p w14:paraId="5BF370B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20.3</w:t>
                  </w:r>
                </w:p>
              </w:tc>
              <w:tc>
                <w:tcPr>
                  <w:tcW w:w="479" w:type="pct"/>
                  <w:tcBorders>
                    <w:top w:val="single" w:color="auto" w:sz="4" w:space="0"/>
                    <w:bottom w:val="single" w:color="auto" w:sz="4" w:space="0"/>
                  </w:tcBorders>
                  <w:shd w:val="clear" w:color="auto" w:fill="auto"/>
                  <w:vAlign w:val="center"/>
                </w:tcPr>
                <w:p w14:paraId="1327F3C7">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0.9492</w:t>
                  </w:r>
                </w:p>
              </w:tc>
              <w:tc>
                <w:tcPr>
                  <w:tcW w:w="461" w:type="pct"/>
                  <w:vMerge w:val="continue"/>
                  <w:shd w:val="clear" w:color="auto" w:fill="auto"/>
                  <w:vAlign w:val="center"/>
                </w:tcPr>
                <w:p w14:paraId="016D1C62">
                  <w:pPr>
                    <w:jc w:val="center"/>
                    <w:rPr>
                      <w:color w:val="auto"/>
                      <w:sz w:val="18"/>
                      <w:szCs w:val="18"/>
                    </w:rPr>
                  </w:pPr>
                </w:p>
              </w:tc>
              <w:tc>
                <w:tcPr>
                  <w:tcW w:w="466" w:type="pct"/>
                  <w:tcBorders>
                    <w:top w:val="single" w:color="auto" w:sz="4" w:space="0"/>
                    <w:bottom w:val="single" w:color="auto" w:sz="4" w:space="0"/>
                  </w:tcBorders>
                  <w:shd w:val="clear" w:color="auto" w:fill="auto"/>
                  <w:vAlign w:val="center"/>
                </w:tcPr>
                <w:p w14:paraId="0E7534F7">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w:t>
                  </w:r>
                  <w:r>
                    <w:rPr>
                      <w:rFonts w:hint="eastAsia" w:cs="Times New Roman"/>
                      <w:i w:val="0"/>
                      <w:iCs w:val="0"/>
                      <w:color w:val="auto"/>
                      <w:kern w:val="0"/>
                      <w:sz w:val="18"/>
                      <w:szCs w:val="18"/>
                      <w:u w:val="none"/>
                      <w:lang w:val="en-US" w:eastAsia="zh-CN" w:bidi="ar"/>
                    </w:rPr>
                    <w:t>5</w:t>
                  </w:r>
                  <w:r>
                    <w:rPr>
                      <w:rFonts w:hint="default" w:ascii="Times New Roman" w:hAnsi="Times New Roman" w:eastAsia="宋体" w:cs="Times New Roman"/>
                      <w:i w:val="0"/>
                      <w:iCs w:val="0"/>
                      <w:color w:val="auto"/>
                      <w:kern w:val="0"/>
                      <w:sz w:val="18"/>
                      <w:szCs w:val="18"/>
                      <w:u w:val="none"/>
                      <w:lang w:val="en-US" w:eastAsia="zh-CN" w:bidi="ar"/>
                    </w:rPr>
                    <w:t>.60%</w:t>
                  </w:r>
                </w:p>
              </w:tc>
              <w:tc>
                <w:tcPr>
                  <w:tcW w:w="202" w:type="pct"/>
                  <w:vMerge w:val="continue"/>
                  <w:shd w:val="clear" w:color="auto" w:fill="auto"/>
                  <w:vAlign w:val="center"/>
                </w:tcPr>
                <w:p w14:paraId="72338987">
                  <w:pPr>
                    <w:adjustRightInd w:val="0"/>
                    <w:snapToGrid w:val="0"/>
                    <w:jc w:val="center"/>
                    <w:rPr>
                      <w:color w:val="auto"/>
                      <w:sz w:val="18"/>
                      <w:szCs w:val="18"/>
                    </w:rPr>
                  </w:pPr>
                </w:p>
              </w:tc>
              <w:tc>
                <w:tcPr>
                  <w:tcW w:w="413" w:type="pct"/>
                  <w:vMerge w:val="continue"/>
                  <w:shd w:val="clear" w:color="auto" w:fill="auto"/>
                  <w:vAlign w:val="center"/>
                </w:tcPr>
                <w:p w14:paraId="53A0D96B">
                  <w:pPr>
                    <w:jc w:val="center"/>
                    <w:rPr>
                      <w:color w:val="auto"/>
                      <w:sz w:val="18"/>
                      <w:szCs w:val="18"/>
                    </w:rPr>
                  </w:pPr>
                </w:p>
              </w:tc>
              <w:tc>
                <w:tcPr>
                  <w:tcW w:w="342" w:type="pct"/>
                  <w:tcBorders>
                    <w:top w:val="single" w:color="auto" w:sz="4" w:space="0"/>
                    <w:bottom w:val="single" w:color="auto" w:sz="4" w:space="0"/>
                  </w:tcBorders>
                  <w:shd w:val="clear" w:color="auto" w:fill="auto"/>
                  <w:vAlign w:val="center"/>
                </w:tcPr>
                <w:p w14:paraId="4758E47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0.9</w:t>
                  </w:r>
                </w:p>
              </w:tc>
              <w:tc>
                <w:tcPr>
                  <w:tcW w:w="462" w:type="pct"/>
                  <w:tcBorders>
                    <w:top w:val="single" w:color="auto" w:sz="4" w:space="0"/>
                    <w:bottom w:val="single" w:color="auto" w:sz="4" w:space="0"/>
                  </w:tcBorders>
                  <w:shd w:val="clear" w:color="auto" w:fill="auto"/>
                  <w:vAlign w:val="center"/>
                </w:tcPr>
                <w:p w14:paraId="77C44B8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0.0418</w:t>
                  </w:r>
                </w:p>
              </w:tc>
              <w:tc>
                <w:tcPr>
                  <w:tcW w:w="215" w:type="pct"/>
                  <w:vMerge w:val="continue"/>
                  <w:shd w:val="clear" w:color="auto" w:fill="auto"/>
                  <w:vAlign w:val="center"/>
                </w:tcPr>
                <w:p w14:paraId="049F8DDF">
                  <w:pPr>
                    <w:adjustRightInd w:val="0"/>
                    <w:snapToGrid w:val="0"/>
                    <w:jc w:val="center"/>
                    <w:rPr>
                      <w:color w:val="auto"/>
                      <w:szCs w:val="21"/>
                    </w:rPr>
                  </w:pPr>
                </w:p>
              </w:tc>
            </w:tr>
            <w:tr w14:paraId="789B5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1" w:type="pct"/>
                  <w:vMerge w:val="continue"/>
                  <w:shd w:val="clear" w:color="auto" w:fill="auto"/>
                  <w:vAlign w:val="center"/>
                </w:tcPr>
                <w:p w14:paraId="76C964AC">
                  <w:pPr>
                    <w:adjustRightInd w:val="0"/>
                    <w:snapToGrid w:val="0"/>
                    <w:jc w:val="center"/>
                    <w:rPr>
                      <w:color w:val="auto"/>
                      <w:sz w:val="18"/>
                      <w:szCs w:val="18"/>
                    </w:rPr>
                  </w:pPr>
                </w:p>
              </w:tc>
              <w:tc>
                <w:tcPr>
                  <w:tcW w:w="235" w:type="pct"/>
                  <w:vMerge w:val="continue"/>
                  <w:shd w:val="clear" w:color="auto" w:fill="auto"/>
                  <w:vAlign w:val="center"/>
                </w:tcPr>
                <w:p w14:paraId="70480258">
                  <w:pPr>
                    <w:adjustRightInd w:val="0"/>
                    <w:snapToGrid w:val="0"/>
                    <w:jc w:val="center"/>
                    <w:rPr>
                      <w:color w:val="auto"/>
                      <w:sz w:val="18"/>
                      <w:szCs w:val="18"/>
                    </w:rPr>
                  </w:pPr>
                </w:p>
              </w:tc>
              <w:tc>
                <w:tcPr>
                  <w:tcW w:w="406" w:type="pct"/>
                  <w:tcBorders>
                    <w:top w:val="single" w:color="auto" w:sz="4" w:space="0"/>
                    <w:bottom w:val="single" w:color="auto" w:sz="12" w:space="0"/>
                  </w:tcBorders>
                  <w:shd w:val="clear" w:color="auto" w:fill="auto"/>
                  <w:vAlign w:val="center"/>
                </w:tcPr>
                <w:p w14:paraId="636F99B7">
                  <w:pPr>
                    <w:adjustRightInd w:val="0"/>
                    <w:snapToGrid w:val="0"/>
                    <w:jc w:val="center"/>
                    <w:rPr>
                      <w:rFonts w:hint="eastAsia" w:eastAsia="宋体"/>
                      <w:color w:val="auto"/>
                      <w:sz w:val="18"/>
                      <w:szCs w:val="18"/>
                      <w:lang w:eastAsia="zh-CN"/>
                    </w:rPr>
                  </w:pPr>
                  <w:r>
                    <w:rPr>
                      <w:rFonts w:hint="eastAsia" w:cs="Times New Roman"/>
                      <w:color w:val="auto"/>
                      <w:sz w:val="18"/>
                      <w:szCs w:val="18"/>
                      <w:lang w:val="en-US" w:eastAsia="zh-CN"/>
                    </w:rPr>
                    <w:t>全盐量</w:t>
                  </w:r>
                </w:p>
              </w:tc>
              <w:tc>
                <w:tcPr>
                  <w:tcW w:w="213" w:type="pct"/>
                  <w:vMerge w:val="continue"/>
                  <w:shd w:val="clear" w:color="auto" w:fill="auto"/>
                  <w:vAlign w:val="center"/>
                </w:tcPr>
                <w:p w14:paraId="1499863F">
                  <w:pPr>
                    <w:adjustRightInd w:val="0"/>
                    <w:snapToGrid w:val="0"/>
                    <w:jc w:val="center"/>
                    <w:rPr>
                      <w:color w:val="auto"/>
                      <w:sz w:val="18"/>
                      <w:szCs w:val="18"/>
                    </w:rPr>
                  </w:pPr>
                </w:p>
              </w:tc>
              <w:tc>
                <w:tcPr>
                  <w:tcW w:w="430" w:type="pct"/>
                  <w:vMerge w:val="continue"/>
                  <w:shd w:val="clear" w:color="auto" w:fill="auto"/>
                  <w:vAlign w:val="center"/>
                </w:tcPr>
                <w:p w14:paraId="5E4C6DE4">
                  <w:pPr>
                    <w:jc w:val="center"/>
                    <w:rPr>
                      <w:color w:val="auto"/>
                      <w:sz w:val="18"/>
                      <w:szCs w:val="18"/>
                    </w:rPr>
                  </w:pPr>
                </w:p>
              </w:tc>
              <w:tc>
                <w:tcPr>
                  <w:tcW w:w="369" w:type="pct"/>
                  <w:tcBorders>
                    <w:top w:val="single" w:color="auto" w:sz="4" w:space="0"/>
                    <w:bottom w:val="single" w:color="auto" w:sz="12" w:space="0"/>
                  </w:tcBorders>
                  <w:shd w:val="clear" w:color="auto" w:fill="auto"/>
                  <w:vAlign w:val="center"/>
                </w:tcPr>
                <w:p w14:paraId="0AFF79C0">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479" w:type="pct"/>
                  <w:tcBorders>
                    <w:top w:val="single" w:color="auto" w:sz="4" w:space="0"/>
                    <w:bottom w:val="single" w:color="auto" w:sz="12" w:space="0"/>
                  </w:tcBorders>
                  <w:shd w:val="clear" w:color="auto" w:fill="auto"/>
                  <w:vAlign w:val="center"/>
                </w:tcPr>
                <w:p w14:paraId="5C53F1F6">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1.6800</w:t>
                  </w:r>
                </w:p>
              </w:tc>
              <w:tc>
                <w:tcPr>
                  <w:tcW w:w="461" w:type="pct"/>
                  <w:vMerge w:val="continue"/>
                  <w:shd w:val="clear" w:color="auto" w:fill="auto"/>
                  <w:vAlign w:val="center"/>
                </w:tcPr>
                <w:p w14:paraId="2887EA62">
                  <w:pPr>
                    <w:jc w:val="center"/>
                    <w:rPr>
                      <w:color w:val="auto"/>
                      <w:sz w:val="18"/>
                      <w:szCs w:val="18"/>
                    </w:rPr>
                  </w:pPr>
                </w:p>
              </w:tc>
              <w:tc>
                <w:tcPr>
                  <w:tcW w:w="466" w:type="pct"/>
                  <w:tcBorders>
                    <w:top w:val="single" w:color="auto" w:sz="4" w:space="0"/>
                    <w:bottom w:val="single" w:color="auto" w:sz="12" w:space="0"/>
                  </w:tcBorders>
                  <w:shd w:val="clear" w:color="auto" w:fill="auto"/>
                  <w:vAlign w:val="center"/>
                </w:tcPr>
                <w:p w14:paraId="05D4FB2E">
                  <w:pPr>
                    <w:widowControl/>
                    <w:jc w:val="center"/>
                    <w:rPr>
                      <w:rFonts w:hint="eastAsia" w:eastAsia="等线"/>
                      <w:color w:val="auto"/>
                      <w:sz w:val="18"/>
                      <w:szCs w:val="18"/>
                      <w:lang w:val="en-US" w:eastAsia="zh-CN"/>
                    </w:rPr>
                  </w:pPr>
                  <w:r>
                    <w:rPr>
                      <w:rFonts w:hint="eastAsia" w:eastAsia="等线"/>
                      <w:color w:val="auto"/>
                      <w:sz w:val="18"/>
                      <w:szCs w:val="18"/>
                      <w:lang w:val="en-US" w:eastAsia="zh-CN"/>
                    </w:rPr>
                    <w:t>0</w:t>
                  </w:r>
                </w:p>
              </w:tc>
              <w:tc>
                <w:tcPr>
                  <w:tcW w:w="202" w:type="pct"/>
                  <w:vMerge w:val="continue"/>
                  <w:shd w:val="clear" w:color="auto" w:fill="auto"/>
                  <w:vAlign w:val="center"/>
                </w:tcPr>
                <w:p w14:paraId="60A02A0E">
                  <w:pPr>
                    <w:adjustRightInd w:val="0"/>
                    <w:snapToGrid w:val="0"/>
                    <w:jc w:val="center"/>
                    <w:rPr>
                      <w:color w:val="auto"/>
                      <w:sz w:val="18"/>
                      <w:szCs w:val="18"/>
                    </w:rPr>
                  </w:pPr>
                </w:p>
              </w:tc>
              <w:tc>
                <w:tcPr>
                  <w:tcW w:w="413" w:type="pct"/>
                  <w:vMerge w:val="continue"/>
                  <w:shd w:val="clear" w:color="auto" w:fill="auto"/>
                  <w:vAlign w:val="center"/>
                </w:tcPr>
                <w:p w14:paraId="567593B5">
                  <w:pPr>
                    <w:jc w:val="center"/>
                    <w:rPr>
                      <w:color w:val="auto"/>
                      <w:sz w:val="18"/>
                      <w:szCs w:val="18"/>
                    </w:rPr>
                  </w:pPr>
                </w:p>
              </w:tc>
              <w:tc>
                <w:tcPr>
                  <w:tcW w:w="342" w:type="pct"/>
                  <w:tcBorders>
                    <w:top w:val="single" w:color="auto" w:sz="4" w:space="0"/>
                    <w:bottom w:val="single" w:color="auto" w:sz="12" w:space="0"/>
                  </w:tcBorders>
                  <w:shd w:val="clear" w:color="auto" w:fill="auto"/>
                  <w:vAlign w:val="center"/>
                </w:tcPr>
                <w:p w14:paraId="119C886A">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35</w:t>
                  </w:r>
                </w:p>
              </w:tc>
              <w:tc>
                <w:tcPr>
                  <w:tcW w:w="462" w:type="pct"/>
                  <w:tcBorders>
                    <w:top w:val="single" w:color="auto" w:sz="4" w:space="0"/>
                    <w:bottom w:val="single" w:color="auto" w:sz="12" w:space="0"/>
                  </w:tcBorders>
                  <w:shd w:val="clear" w:color="auto" w:fill="auto"/>
                  <w:vAlign w:val="center"/>
                </w:tcPr>
                <w:p w14:paraId="6515EAC0">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1.6800</w:t>
                  </w:r>
                </w:p>
              </w:tc>
              <w:tc>
                <w:tcPr>
                  <w:tcW w:w="215" w:type="pct"/>
                  <w:vMerge w:val="continue"/>
                  <w:shd w:val="clear" w:color="auto" w:fill="auto"/>
                  <w:vAlign w:val="center"/>
                </w:tcPr>
                <w:p w14:paraId="3A42BE62">
                  <w:pPr>
                    <w:adjustRightInd w:val="0"/>
                    <w:snapToGrid w:val="0"/>
                    <w:jc w:val="center"/>
                    <w:rPr>
                      <w:color w:val="auto"/>
                      <w:szCs w:val="21"/>
                    </w:rPr>
                  </w:pPr>
                </w:p>
              </w:tc>
            </w:tr>
          </w:tbl>
          <w:p w14:paraId="75ED9987">
            <w:pPr>
              <w:spacing w:before="240" w:beforeLines="100"/>
              <w:ind w:firstLine="482" w:firstLineChars="200"/>
              <w:jc w:val="center"/>
              <w:rPr>
                <w:b/>
                <w:color w:val="auto"/>
                <w:sz w:val="24"/>
              </w:rPr>
            </w:pPr>
            <w:r>
              <w:rPr>
                <w:b/>
                <w:color w:val="auto"/>
                <w:sz w:val="24"/>
              </w:rPr>
              <w:t>表4-1</w:t>
            </w:r>
            <w:r>
              <w:rPr>
                <w:rFonts w:hint="eastAsia"/>
                <w:b/>
                <w:color w:val="auto"/>
                <w:sz w:val="24"/>
                <w:lang w:val="en-US" w:eastAsia="zh-CN"/>
              </w:rPr>
              <w:t>2</w:t>
            </w:r>
            <w:r>
              <w:rPr>
                <w:b/>
                <w:color w:val="auto"/>
                <w:sz w:val="24"/>
              </w:rPr>
              <w:t xml:space="preserve"> 涟水经济开发区西区污水处理厂废水污染源源强核算结果及相关参数一览表</w:t>
            </w:r>
          </w:p>
          <w:tbl>
            <w:tblPr>
              <w:tblStyle w:val="32"/>
              <w:tblW w:w="85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087"/>
              <w:gridCol w:w="877"/>
              <w:gridCol w:w="908"/>
              <w:gridCol w:w="819"/>
              <w:gridCol w:w="474"/>
              <w:gridCol w:w="815"/>
              <w:gridCol w:w="959"/>
              <w:gridCol w:w="978"/>
              <w:gridCol w:w="509"/>
            </w:tblGrid>
            <w:tr w14:paraId="24063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restart"/>
                  <w:tcBorders>
                    <w:top w:val="single" w:color="auto" w:sz="12" w:space="0"/>
                    <w:bottom w:val="single" w:color="auto" w:sz="4" w:space="0"/>
                  </w:tcBorders>
                  <w:shd w:val="clear" w:color="auto" w:fill="auto"/>
                  <w:vAlign w:val="center"/>
                </w:tcPr>
                <w:p w14:paraId="2E9ECB45">
                  <w:pPr>
                    <w:adjustRightInd w:val="0"/>
                    <w:snapToGrid w:val="0"/>
                    <w:jc w:val="center"/>
                    <w:rPr>
                      <w:b/>
                      <w:color w:val="auto"/>
                      <w:sz w:val="18"/>
                      <w:szCs w:val="18"/>
                    </w:rPr>
                  </w:pPr>
                  <w:r>
                    <w:rPr>
                      <w:b/>
                      <w:color w:val="auto"/>
                      <w:sz w:val="18"/>
                      <w:szCs w:val="18"/>
                    </w:rPr>
                    <w:t>工序</w:t>
                  </w:r>
                </w:p>
              </w:tc>
              <w:tc>
                <w:tcPr>
                  <w:tcW w:w="636" w:type="pct"/>
                  <w:vMerge w:val="restart"/>
                  <w:tcBorders>
                    <w:top w:val="single" w:color="auto" w:sz="12" w:space="0"/>
                    <w:bottom w:val="single" w:color="auto" w:sz="4" w:space="0"/>
                  </w:tcBorders>
                  <w:shd w:val="clear" w:color="auto" w:fill="auto"/>
                  <w:vAlign w:val="center"/>
                </w:tcPr>
                <w:p w14:paraId="3F03CBA2">
                  <w:pPr>
                    <w:adjustRightInd w:val="0"/>
                    <w:snapToGrid w:val="0"/>
                    <w:jc w:val="center"/>
                    <w:rPr>
                      <w:b/>
                      <w:color w:val="auto"/>
                      <w:sz w:val="18"/>
                      <w:szCs w:val="18"/>
                    </w:rPr>
                  </w:pPr>
                  <w:r>
                    <w:rPr>
                      <w:b/>
                      <w:color w:val="auto"/>
                      <w:sz w:val="18"/>
                      <w:szCs w:val="18"/>
                    </w:rPr>
                    <w:t>污染物</w:t>
                  </w:r>
                </w:p>
              </w:tc>
              <w:tc>
                <w:tcPr>
                  <w:tcW w:w="1523" w:type="pct"/>
                  <w:gridSpan w:val="3"/>
                  <w:tcBorders>
                    <w:top w:val="single" w:color="auto" w:sz="12" w:space="0"/>
                    <w:bottom w:val="single" w:color="auto" w:sz="4" w:space="0"/>
                  </w:tcBorders>
                  <w:shd w:val="clear" w:color="auto" w:fill="auto"/>
                  <w:vAlign w:val="center"/>
                </w:tcPr>
                <w:p w14:paraId="56AE9E55">
                  <w:pPr>
                    <w:adjustRightInd w:val="0"/>
                    <w:snapToGrid w:val="0"/>
                    <w:jc w:val="center"/>
                    <w:rPr>
                      <w:b/>
                      <w:color w:val="auto"/>
                      <w:sz w:val="18"/>
                      <w:szCs w:val="18"/>
                    </w:rPr>
                  </w:pPr>
                  <w:r>
                    <w:rPr>
                      <w:b/>
                      <w:color w:val="auto"/>
                      <w:sz w:val="18"/>
                      <w:szCs w:val="18"/>
                    </w:rPr>
                    <w:t>进入污水处理厂污染物情况</w:t>
                  </w:r>
                </w:p>
              </w:tc>
              <w:tc>
                <w:tcPr>
                  <w:tcW w:w="1887" w:type="pct"/>
                  <w:gridSpan w:val="4"/>
                  <w:tcBorders>
                    <w:top w:val="single" w:color="auto" w:sz="12" w:space="0"/>
                    <w:bottom w:val="single" w:color="auto" w:sz="4" w:space="0"/>
                  </w:tcBorders>
                  <w:shd w:val="clear" w:color="auto" w:fill="auto"/>
                  <w:vAlign w:val="center"/>
                </w:tcPr>
                <w:p w14:paraId="24BF6538">
                  <w:pPr>
                    <w:adjustRightInd w:val="0"/>
                    <w:snapToGrid w:val="0"/>
                    <w:jc w:val="center"/>
                    <w:rPr>
                      <w:b/>
                      <w:color w:val="auto"/>
                      <w:sz w:val="18"/>
                      <w:szCs w:val="18"/>
                    </w:rPr>
                  </w:pPr>
                  <w:r>
                    <w:rPr>
                      <w:b/>
                      <w:color w:val="auto"/>
                      <w:sz w:val="18"/>
                      <w:szCs w:val="18"/>
                    </w:rPr>
                    <w:t>污染物排放</w:t>
                  </w:r>
                </w:p>
              </w:tc>
              <w:tc>
                <w:tcPr>
                  <w:tcW w:w="298" w:type="pct"/>
                  <w:vMerge w:val="restart"/>
                  <w:tcBorders>
                    <w:top w:val="single" w:color="auto" w:sz="12" w:space="0"/>
                    <w:bottom w:val="single" w:color="auto" w:sz="4" w:space="0"/>
                  </w:tcBorders>
                  <w:shd w:val="clear" w:color="auto" w:fill="auto"/>
                  <w:vAlign w:val="center"/>
                </w:tcPr>
                <w:p w14:paraId="58E67AE0">
                  <w:pPr>
                    <w:adjustRightInd w:val="0"/>
                    <w:snapToGrid w:val="0"/>
                    <w:jc w:val="center"/>
                    <w:rPr>
                      <w:b/>
                      <w:bCs/>
                      <w:color w:val="auto"/>
                      <w:sz w:val="18"/>
                      <w:szCs w:val="18"/>
                    </w:rPr>
                  </w:pPr>
                  <w:r>
                    <w:rPr>
                      <w:b/>
                      <w:bCs/>
                      <w:color w:val="auto"/>
                      <w:sz w:val="18"/>
                      <w:szCs w:val="18"/>
                    </w:rPr>
                    <w:t>排放时间/h</w:t>
                  </w:r>
                </w:p>
              </w:tc>
            </w:tr>
            <w:tr w14:paraId="3DB4C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tcBorders>
                    <w:top w:val="single" w:color="auto" w:sz="4" w:space="0"/>
                    <w:bottom w:val="single" w:color="auto" w:sz="12" w:space="0"/>
                  </w:tcBorders>
                  <w:shd w:val="clear" w:color="auto" w:fill="auto"/>
                  <w:vAlign w:val="center"/>
                </w:tcPr>
                <w:p w14:paraId="14FC0B61">
                  <w:pPr>
                    <w:adjustRightInd w:val="0"/>
                    <w:snapToGrid w:val="0"/>
                    <w:jc w:val="center"/>
                    <w:rPr>
                      <w:b/>
                      <w:color w:val="auto"/>
                      <w:sz w:val="18"/>
                      <w:szCs w:val="18"/>
                    </w:rPr>
                  </w:pPr>
                </w:p>
              </w:tc>
              <w:tc>
                <w:tcPr>
                  <w:tcW w:w="636" w:type="pct"/>
                  <w:vMerge w:val="continue"/>
                  <w:tcBorders>
                    <w:top w:val="single" w:color="auto" w:sz="4" w:space="0"/>
                    <w:bottom w:val="single" w:color="auto" w:sz="12" w:space="0"/>
                  </w:tcBorders>
                  <w:shd w:val="clear" w:color="auto" w:fill="auto"/>
                  <w:vAlign w:val="center"/>
                </w:tcPr>
                <w:p w14:paraId="140412C7">
                  <w:pPr>
                    <w:adjustRightInd w:val="0"/>
                    <w:snapToGrid w:val="0"/>
                    <w:jc w:val="center"/>
                    <w:rPr>
                      <w:b/>
                      <w:color w:val="auto"/>
                      <w:sz w:val="18"/>
                      <w:szCs w:val="18"/>
                    </w:rPr>
                  </w:pPr>
                </w:p>
              </w:tc>
              <w:tc>
                <w:tcPr>
                  <w:tcW w:w="513" w:type="pct"/>
                  <w:tcBorders>
                    <w:top w:val="single" w:color="auto" w:sz="4" w:space="0"/>
                    <w:bottom w:val="single" w:color="auto" w:sz="12" w:space="0"/>
                  </w:tcBorders>
                  <w:shd w:val="clear" w:color="auto" w:fill="auto"/>
                  <w:vAlign w:val="center"/>
                </w:tcPr>
                <w:p w14:paraId="176BD30D">
                  <w:pPr>
                    <w:adjustRightInd w:val="0"/>
                    <w:snapToGrid w:val="0"/>
                    <w:jc w:val="center"/>
                    <w:rPr>
                      <w:b/>
                      <w:color w:val="auto"/>
                      <w:sz w:val="18"/>
                      <w:szCs w:val="18"/>
                    </w:rPr>
                  </w:pPr>
                  <w:r>
                    <w:rPr>
                      <w:b/>
                      <w:color w:val="auto"/>
                      <w:sz w:val="18"/>
                      <w:szCs w:val="18"/>
                    </w:rPr>
                    <w:t>产生废水量/（t/a）</w:t>
                  </w:r>
                </w:p>
              </w:tc>
              <w:tc>
                <w:tcPr>
                  <w:tcW w:w="531" w:type="pct"/>
                  <w:tcBorders>
                    <w:top w:val="single" w:color="auto" w:sz="4" w:space="0"/>
                    <w:bottom w:val="single" w:color="auto" w:sz="12" w:space="0"/>
                  </w:tcBorders>
                  <w:shd w:val="clear" w:color="auto" w:fill="auto"/>
                  <w:vAlign w:val="center"/>
                </w:tcPr>
                <w:p w14:paraId="4366ED80">
                  <w:pPr>
                    <w:adjustRightInd w:val="0"/>
                    <w:snapToGrid w:val="0"/>
                    <w:jc w:val="center"/>
                    <w:rPr>
                      <w:b/>
                      <w:color w:val="auto"/>
                      <w:sz w:val="18"/>
                      <w:szCs w:val="18"/>
                    </w:rPr>
                  </w:pPr>
                  <w:r>
                    <w:rPr>
                      <w:b/>
                      <w:color w:val="auto"/>
                      <w:sz w:val="18"/>
                      <w:szCs w:val="18"/>
                    </w:rPr>
                    <w:t>产生浓度/（mg/L）</w:t>
                  </w:r>
                </w:p>
              </w:tc>
              <w:tc>
                <w:tcPr>
                  <w:tcW w:w="477" w:type="pct"/>
                  <w:tcBorders>
                    <w:top w:val="single" w:color="auto" w:sz="4" w:space="0"/>
                    <w:bottom w:val="single" w:color="auto" w:sz="12" w:space="0"/>
                  </w:tcBorders>
                  <w:shd w:val="clear" w:color="auto" w:fill="auto"/>
                  <w:vAlign w:val="center"/>
                </w:tcPr>
                <w:p w14:paraId="1159441C">
                  <w:pPr>
                    <w:adjustRightInd w:val="0"/>
                    <w:snapToGrid w:val="0"/>
                    <w:jc w:val="center"/>
                    <w:rPr>
                      <w:b/>
                      <w:color w:val="auto"/>
                      <w:sz w:val="18"/>
                      <w:szCs w:val="18"/>
                    </w:rPr>
                  </w:pPr>
                  <w:r>
                    <w:rPr>
                      <w:b/>
                      <w:color w:val="auto"/>
                      <w:sz w:val="18"/>
                      <w:szCs w:val="18"/>
                    </w:rPr>
                    <w:t>产生量/（t/a）</w:t>
                  </w:r>
                </w:p>
              </w:tc>
              <w:tc>
                <w:tcPr>
                  <w:tcW w:w="277" w:type="pct"/>
                  <w:tcBorders>
                    <w:top w:val="single" w:color="auto" w:sz="4" w:space="0"/>
                    <w:bottom w:val="single" w:color="auto" w:sz="12" w:space="0"/>
                  </w:tcBorders>
                  <w:shd w:val="clear" w:color="auto" w:fill="auto"/>
                  <w:vAlign w:val="center"/>
                </w:tcPr>
                <w:p w14:paraId="13EB1A5E">
                  <w:pPr>
                    <w:adjustRightInd w:val="0"/>
                    <w:snapToGrid w:val="0"/>
                    <w:jc w:val="center"/>
                    <w:rPr>
                      <w:b/>
                      <w:color w:val="auto"/>
                      <w:sz w:val="18"/>
                      <w:szCs w:val="18"/>
                    </w:rPr>
                  </w:pPr>
                  <w:r>
                    <w:rPr>
                      <w:b/>
                      <w:color w:val="auto"/>
                      <w:sz w:val="18"/>
                      <w:szCs w:val="18"/>
                    </w:rPr>
                    <w:t>核算方法</w:t>
                  </w:r>
                </w:p>
              </w:tc>
              <w:tc>
                <w:tcPr>
                  <w:tcW w:w="477" w:type="pct"/>
                  <w:tcBorders>
                    <w:top w:val="single" w:color="auto" w:sz="4" w:space="0"/>
                    <w:bottom w:val="single" w:color="auto" w:sz="12" w:space="0"/>
                  </w:tcBorders>
                  <w:shd w:val="clear" w:color="auto" w:fill="auto"/>
                  <w:vAlign w:val="center"/>
                </w:tcPr>
                <w:p w14:paraId="17B930B8">
                  <w:pPr>
                    <w:adjustRightInd w:val="0"/>
                    <w:snapToGrid w:val="0"/>
                    <w:jc w:val="center"/>
                    <w:rPr>
                      <w:b/>
                      <w:color w:val="auto"/>
                      <w:sz w:val="18"/>
                      <w:szCs w:val="18"/>
                    </w:rPr>
                  </w:pPr>
                  <w:r>
                    <w:rPr>
                      <w:b/>
                      <w:color w:val="auto"/>
                      <w:sz w:val="18"/>
                      <w:szCs w:val="18"/>
                    </w:rPr>
                    <w:t>排放废水量（t/a）</w:t>
                  </w:r>
                </w:p>
              </w:tc>
              <w:tc>
                <w:tcPr>
                  <w:tcW w:w="561" w:type="pct"/>
                  <w:tcBorders>
                    <w:top w:val="single" w:color="auto" w:sz="4" w:space="0"/>
                    <w:bottom w:val="single" w:color="auto" w:sz="12" w:space="0"/>
                  </w:tcBorders>
                  <w:shd w:val="clear" w:color="auto" w:fill="auto"/>
                  <w:vAlign w:val="center"/>
                </w:tcPr>
                <w:p w14:paraId="3BC38A06">
                  <w:pPr>
                    <w:adjustRightInd w:val="0"/>
                    <w:snapToGrid w:val="0"/>
                    <w:jc w:val="center"/>
                    <w:rPr>
                      <w:b/>
                      <w:color w:val="auto"/>
                      <w:sz w:val="18"/>
                      <w:szCs w:val="18"/>
                    </w:rPr>
                  </w:pPr>
                  <w:r>
                    <w:rPr>
                      <w:b/>
                      <w:color w:val="auto"/>
                      <w:sz w:val="18"/>
                      <w:szCs w:val="18"/>
                    </w:rPr>
                    <w:t>排放浓度（mg/L）</w:t>
                  </w:r>
                </w:p>
              </w:tc>
              <w:tc>
                <w:tcPr>
                  <w:tcW w:w="570" w:type="pct"/>
                  <w:tcBorders>
                    <w:top w:val="single" w:color="auto" w:sz="4" w:space="0"/>
                    <w:bottom w:val="single" w:color="auto" w:sz="12" w:space="0"/>
                  </w:tcBorders>
                  <w:shd w:val="clear" w:color="auto" w:fill="auto"/>
                  <w:vAlign w:val="center"/>
                </w:tcPr>
                <w:p w14:paraId="72995AD5">
                  <w:pPr>
                    <w:adjustRightInd w:val="0"/>
                    <w:snapToGrid w:val="0"/>
                    <w:jc w:val="center"/>
                    <w:rPr>
                      <w:b/>
                      <w:color w:val="auto"/>
                      <w:sz w:val="18"/>
                      <w:szCs w:val="18"/>
                    </w:rPr>
                  </w:pPr>
                  <w:r>
                    <w:rPr>
                      <w:b/>
                      <w:color w:val="auto"/>
                      <w:sz w:val="18"/>
                      <w:szCs w:val="18"/>
                    </w:rPr>
                    <w:t>排放量（t/a）</w:t>
                  </w:r>
                </w:p>
              </w:tc>
              <w:tc>
                <w:tcPr>
                  <w:tcW w:w="298" w:type="pct"/>
                  <w:vMerge w:val="continue"/>
                  <w:tcBorders>
                    <w:bottom w:val="single" w:color="auto" w:sz="12" w:space="0"/>
                  </w:tcBorders>
                  <w:shd w:val="clear" w:color="auto" w:fill="auto"/>
                  <w:vAlign w:val="center"/>
                </w:tcPr>
                <w:p w14:paraId="098920A9">
                  <w:pPr>
                    <w:adjustRightInd w:val="0"/>
                    <w:snapToGrid w:val="0"/>
                    <w:jc w:val="center"/>
                    <w:rPr>
                      <w:color w:val="auto"/>
                      <w:sz w:val="18"/>
                      <w:szCs w:val="18"/>
                    </w:rPr>
                  </w:pPr>
                </w:p>
              </w:tc>
            </w:tr>
            <w:tr w14:paraId="61464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restart"/>
                  <w:tcBorders>
                    <w:top w:val="single" w:color="auto" w:sz="12" w:space="0"/>
                  </w:tcBorders>
                  <w:shd w:val="clear" w:color="auto" w:fill="auto"/>
                  <w:vAlign w:val="center"/>
                </w:tcPr>
                <w:p w14:paraId="437890B9">
                  <w:pPr>
                    <w:adjustRightInd w:val="0"/>
                    <w:snapToGrid w:val="0"/>
                    <w:jc w:val="center"/>
                    <w:rPr>
                      <w:color w:val="auto"/>
                      <w:sz w:val="21"/>
                      <w:szCs w:val="21"/>
                    </w:rPr>
                  </w:pPr>
                  <w:r>
                    <w:rPr>
                      <w:color w:val="auto"/>
                      <w:sz w:val="21"/>
                      <w:szCs w:val="21"/>
                    </w:rPr>
                    <w:t>综合废水（生产废水+生活污水）</w:t>
                  </w:r>
                </w:p>
              </w:tc>
              <w:tc>
                <w:tcPr>
                  <w:tcW w:w="636" w:type="pct"/>
                  <w:tcBorders>
                    <w:top w:val="single" w:color="auto" w:sz="12" w:space="0"/>
                  </w:tcBorders>
                  <w:shd w:val="clear" w:color="auto" w:fill="auto"/>
                  <w:vAlign w:val="center"/>
                </w:tcPr>
                <w:p w14:paraId="10640ED9">
                  <w:pPr>
                    <w:adjustRightInd w:val="0"/>
                    <w:snapToGrid w:val="0"/>
                    <w:jc w:val="center"/>
                    <w:rPr>
                      <w:color w:val="auto"/>
                      <w:sz w:val="21"/>
                      <w:szCs w:val="21"/>
                    </w:rPr>
                  </w:pPr>
                  <w:r>
                    <w:rPr>
                      <w:color w:val="auto"/>
                      <w:sz w:val="21"/>
                      <w:szCs w:val="21"/>
                    </w:rPr>
                    <w:t>COD</w:t>
                  </w:r>
                </w:p>
              </w:tc>
              <w:tc>
                <w:tcPr>
                  <w:tcW w:w="513" w:type="pct"/>
                  <w:vMerge w:val="restart"/>
                  <w:tcBorders>
                    <w:top w:val="single" w:color="auto" w:sz="12" w:space="0"/>
                  </w:tcBorders>
                  <w:shd w:val="clear" w:color="auto" w:fill="auto"/>
                  <w:vAlign w:val="center"/>
                </w:tcPr>
                <w:p w14:paraId="4DE2D28C">
                  <w:pPr>
                    <w:adjustRightInd w:val="0"/>
                    <w:snapToGrid w:val="0"/>
                    <w:jc w:val="center"/>
                    <w:rPr>
                      <w:color w:val="auto"/>
                      <w:sz w:val="21"/>
                      <w:szCs w:val="21"/>
                    </w:rPr>
                  </w:pPr>
                  <w:r>
                    <w:rPr>
                      <w:rFonts w:hint="eastAsia"/>
                      <w:color w:val="auto"/>
                      <w:sz w:val="21"/>
                      <w:szCs w:val="21"/>
                      <w:lang w:val="en-US" w:eastAsia="zh-CN"/>
                    </w:rPr>
                    <w:t>46866</w:t>
                  </w:r>
                </w:p>
              </w:tc>
              <w:tc>
                <w:tcPr>
                  <w:tcW w:w="909" w:type="dxa"/>
                  <w:tcBorders>
                    <w:top w:val="single" w:color="auto" w:sz="12" w:space="0"/>
                  </w:tcBorders>
                  <w:shd w:val="clear" w:color="auto" w:fill="auto"/>
                  <w:vAlign w:val="center"/>
                </w:tcPr>
                <w:p w14:paraId="4C914C0E">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80.4</w:t>
                  </w:r>
                </w:p>
              </w:tc>
              <w:tc>
                <w:tcPr>
                  <w:tcW w:w="816" w:type="dxa"/>
                  <w:tcBorders>
                    <w:top w:val="single" w:color="auto" w:sz="12" w:space="0"/>
                  </w:tcBorders>
                  <w:shd w:val="clear" w:color="auto" w:fill="auto"/>
                  <w:vAlign w:val="center"/>
                </w:tcPr>
                <w:p w14:paraId="6C783DBC">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3.7683</w:t>
                  </w:r>
                </w:p>
              </w:tc>
              <w:tc>
                <w:tcPr>
                  <w:tcW w:w="277" w:type="pct"/>
                  <w:vMerge w:val="restart"/>
                  <w:tcBorders>
                    <w:top w:val="single" w:color="auto" w:sz="12" w:space="0"/>
                  </w:tcBorders>
                  <w:shd w:val="clear" w:color="auto" w:fill="auto"/>
                  <w:vAlign w:val="center"/>
                </w:tcPr>
                <w:p w14:paraId="3DAF60FA">
                  <w:pPr>
                    <w:adjustRightInd w:val="0"/>
                    <w:snapToGrid w:val="0"/>
                    <w:jc w:val="center"/>
                    <w:rPr>
                      <w:color w:val="auto"/>
                      <w:sz w:val="21"/>
                      <w:szCs w:val="21"/>
                    </w:rPr>
                  </w:pPr>
                  <w:r>
                    <w:rPr>
                      <w:color w:val="auto"/>
                      <w:sz w:val="21"/>
                      <w:szCs w:val="21"/>
                    </w:rPr>
                    <w:t>/</w:t>
                  </w:r>
                </w:p>
              </w:tc>
              <w:tc>
                <w:tcPr>
                  <w:tcW w:w="477" w:type="pct"/>
                  <w:vMerge w:val="restart"/>
                  <w:tcBorders>
                    <w:top w:val="single" w:color="auto" w:sz="12" w:space="0"/>
                  </w:tcBorders>
                  <w:shd w:val="clear" w:color="auto" w:fill="auto"/>
                  <w:vAlign w:val="center"/>
                </w:tcPr>
                <w:p w14:paraId="54CA30D5">
                  <w:pPr>
                    <w:adjustRightInd w:val="0"/>
                    <w:snapToGrid w:val="0"/>
                    <w:jc w:val="center"/>
                    <w:rPr>
                      <w:rFonts w:hint="default"/>
                      <w:color w:val="auto"/>
                      <w:sz w:val="21"/>
                      <w:szCs w:val="21"/>
                      <w:lang w:val="en-US"/>
                    </w:rPr>
                  </w:pPr>
                  <w:r>
                    <w:rPr>
                      <w:rFonts w:hint="eastAsia"/>
                      <w:color w:val="auto"/>
                      <w:sz w:val="21"/>
                      <w:szCs w:val="21"/>
                      <w:lang w:val="en-US" w:eastAsia="zh-CN"/>
                    </w:rPr>
                    <w:t>46866</w:t>
                  </w:r>
                </w:p>
              </w:tc>
              <w:tc>
                <w:tcPr>
                  <w:tcW w:w="561" w:type="pct"/>
                  <w:tcBorders>
                    <w:top w:val="single" w:color="auto" w:sz="12" w:space="0"/>
                  </w:tcBorders>
                  <w:shd w:val="clear" w:color="auto" w:fill="auto"/>
                  <w:vAlign w:val="center"/>
                </w:tcPr>
                <w:p w14:paraId="0F68FCAA">
                  <w:pPr>
                    <w:widowControl/>
                    <w:jc w:val="center"/>
                    <w:rPr>
                      <w:rFonts w:eastAsia="等线"/>
                      <w:color w:val="auto"/>
                      <w:sz w:val="21"/>
                      <w:szCs w:val="21"/>
                    </w:rPr>
                  </w:pPr>
                  <w:r>
                    <w:rPr>
                      <w:rFonts w:eastAsia="等线"/>
                      <w:color w:val="auto"/>
                      <w:sz w:val="21"/>
                      <w:szCs w:val="21"/>
                    </w:rPr>
                    <w:t>50</w:t>
                  </w:r>
                </w:p>
              </w:tc>
              <w:tc>
                <w:tcPr>
                  <w:tcW w:w="975" w:type="dxa"/>
                  <w:tcBorders>
                    <w:top w:val="single" w:color="auto" w:sz="12" w:space="0"/>
                  </w:tcBorders>
                  <w:shd w:val="clear" w:color="auto" w:fill="auto"/>
                  <w:vAlign w:val="center"/>
                </w:tcPr>
                <w:p w14:paraId="663BAED0">
                  <w:pPr>
                    <w:keepNext w:val="0"/>
                    <w:keepLines w:val="0"/>
                    <w:widowControl/>
                    <w:suppressLineNumbers w:val="0"/>
                    <w:jc w:val="center"/>
                    <w:textAlignment w:val="center"/>
                    <w:rPr>
                      <w:rFonts w:eastAsia="等线"/>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2.3433</w:t>
                  </w:r>
                </w:p>
              </w:tc>
              <w:tc>
                <w:tcPr>
                  <w:tcW w:w="298" w:type="pct"/>
                  <w:vMerge w:val="restart"/>
                  <w:tcBorders>
                    <w:top w:val="single" w:color="auto" w:sz="12" w:space="0"/>
                  </w:tcBorders>
                  <w:shd w:val="clear" w:color="auto" w:fill="auto"/>
                  <w:vAlign w:val="center"/>
                </w:tcPr>
                <w:p w14:paraId="2993A063">
                  <w:pPr>
                    <w:adjustRightInd w:val="0"/>
                    <w:snapToGrid w:val="0"/>
                    <w:jc w:val="center"/>
                    <w:rPr>
                      <w:color w:val="auto"/>
                      <w:sz w:val="21"/>
                      <w:szCs w:val="21"/>
                    </w:rPr>
                  </w:pPr>
                  <w:r>
                    <w:rPr>
                      <w:color w:val="auto"/>
                      <w:sz w:val="21"/>
                      <w:szCs w:val="21"/>
                    </w:rPr>
                    <w:t>间歇排放</w:t>
                  </w:r>
                </w:p>
              </w:tc>
            </w:tr>
            <w:tr w14:paraId="1D7C6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686D7356">
                  <w:pPr>
                    <w:adjustRightInd w:val="0"/>
                    <w:snapToGrid w:val="0"/>
                    <w:jc w:val="center"/>
                    <w:rPr>
                      <w:color w:val="auto"/>
                      <w:sz w:val="21"/>
                      <w:szCs w:val="21"/>
                    </w:rPr>
                  </w:pPr>
                </w:p>
              </w:tc>
              <w:tc>
                <w:tcPr>
                  <w:tcW w:w="636" w:type="pct"/>
                  <w:shd w:val="clear" w:color="auto" w:fill="auto"/>
                  <w:vAlign w:val="center"/>
                </w:tcPr>
                <w:p w14:paraId="1E88732E">
                  <w:pPr>
                    <w:adjustRightInd w:val="0"/>
                    <w:snapToGrid w:val="0"/>
                    <w:jc w:val="center"/>
                    <w:rPr>
                      <w:color w:val="auto"/>
                      <w:sz w:val="21"/>
                      <w:szCs w:val="21"/>
                    </w:rPr>
                  </w:pPr>
                  <w:r>
                    <w:rPr>
                      <w:rFonts w:hint="eastAsia"/>
                      <w:color w:val="auto"/>
                      <w:sz w:val="21"/>
                      <w:szCs w:val="21"/>
                    </w:rPr>
                    <w:t>B</w:t>
                  </w:r>
                  <w:r>
                    <w:rPr>
                      <w:color w:val="auto"/>
                      <w:sz w:val="21"/>
                      <w:szCs w:val="21"/>
                    </w:rPr>
                    <w:t>OD</w:t>
                  </w:r>
                  <w:r>
                    <w:rPr>
                      <w:color w:val="auto"/>
                      <w:sz w:val="21"/>
                      <w:szCs w:val="21"/>
                      <w:vertAlign w:val="subscript"/>
                    </w:rPr>
                    <w:t>5</w:t>
                  </w:r>
                </w:p>
              </w:tc>
              <w:tc>
                <w:tcPr>
                  <w:tcW w:w="513" w:type="pct"/>
                  <w:vMerge w:val="continue"/>
                  <w:shd w:val="clear" w:color="auto" w:fill="auto"/>
                  <w:vAlign w:val="center"/>
                </w:tcPr>
                <w:p w14:paraId="502C6A38">
                  <w:pPr>
                    <w:adjustRightInd w:val="0"/>
                    <w:snapToGrid w:val="0"/>
                    <w:jc w:val="center"/>
                    <w:rPr>
                      <w:color w:val="auto"/>
                      <w:sz w:val="21"/>
                      <w:szCs w:val="21"/>
                    </w:rPr>
                  </w:pPr>
                </w:p>
              </w:tc>
              <w:tc>
                <w:tcPr>
                  <w:tcW w:w="909" w:type="dxa"/>
                  <w:shd w:val="clear" w:color="auto" w:fill="auto"/>
                  <w:vAlign w:val="center"/>
                </w:tcPr>
                <w:p w14:paraId="7646EA7E">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87.2</w:t>
                  </w:r>
                </w:p>
              </w:tc>
              <w:tc>
                <w:tcPr>
                  <w:tcW w:w="816" w:type="dxa"/>
                  <w:shd w:val="clear" w:color="auto" w:fill="auto"/>
                  <w:vAlign w:val="center"/>
                </w:tcPr>
                <w:p w14:paraId="57CB8B88">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4.0878</w:t>
                  </w:r>
                </w:p>
              </w:tc>
              <w:tc>
                <w:tcPr>
                  <w:tcW w:w="277" w:type="pct"/>
                  <w:vMerge w:val="continue"/>
                  <w:shd w:val="clear" w:color="auto" w:fill="auto"/>
                  <w:vAlign w:val="center"/>
                </w:tcPr>
                <w:p w14:paraId="53F95B6E">
                  <w:pPr>
                    <w:adjustRightInd w:val="0"/>
                    <w:snapToGrid w:val="0"/>
                    <w:jc w:val="center"/>
                    <w:rPr>
                      <w:color w:val="auto"/>
                      <w:sz w:val="21"/>
                      <w:szCs w:val="21"/>
                    </w:rPr>
                  </w:pPr>
                </w:p>
              </w:tc>
              <w:tc>
                <w:tcPr>
                  <w:tcW w:w="477" w:type="pct"/>
                  <w:vMerge w:val="continue"/>
                  <w:shd w:val="clear" w:color="auto" w:fill="auto"/>
                  <w:vAlign w:val="center"/>
                </w:tcPr>
                <w:p w14:paraId="0CB9C14F">
                  <w:pPr>
                    <w:adjustRightInd w:val="0"/>
                    <w:snapToGrid w:val="0"/>
                    <w:jc w:val="center"/>
                    <w:rPr>
                      <w:color w:val="auto"/>
                      <w:sz w:val="21"/>
                      <w:szCs w:val="21"/>
                    </w:rPr>
                  </w:pPr>
                </w:p>
              </w:tc>
              <w:tc>
                <w:tcPr>
                  <w:tcW w:w="561" w:type="pct"/>
                  <w:shd w:val="clear" w:color="auto" w:fill="auto"/>
                  <w:vAlign w:val="center"/>
                </w:tcPr>
                <w:p w14:paraId="772D3226">
                  <w:pPr>
                    <w:jc w:val="center"/>
                    <w:rPr>
                      <w:rFonts w:eastAsia="等线"/>
                      <w:color w:val="auto"/>
                      <w:sz w:val="21"/>
                      <w:szCs w:val="21"/>
                    </w:rPr>
                  </w:pPr>
                  <w:r>
                    <w:rPr>
                      <w:rFonts w:hint="eastAsia" w:eastAsia="等线"/>
                      <w:color w:val="auto"/>
                      <w:sz w:val="21"/>
                      <w:szCs w:val="21"/>
                    </w:rPr>
                    <w:t>1</w:t>
                  </w:r>
                  <w:r>
                    <w:rPr>
                      <w:rFonts w:eastAsia="等线"/>
                      <w:color w:val="auto"/>
                      <w:sz w:val="21"/>
                      <w:szCs w:val="21"/>
                    </w:rPr>
                    <w:t>0</w:t>
                  </w:r>
                </w:p>
              </w:tc>
              <w:tc>
                <w:tcPr>
                  <w:tcW w:w="975" w:type="dxa"/>
                  <w:shd w:val="clear" w:color="auto" w:fill="auto"/>
                  <w:vAlign w:val="center"/>
                </w:tcPr>
                <w:p w14:paraId="48B627CA">
                  <w:pPr>
                    <w:keepNext w:val="0"/>
                    <w:keepLines w:val="0"/>
                    <w:widowControl/>
                    <w:suppressLineNumbers w:val="0"/>
                    <w:jc w:val="center"/>
                    <w:textAlignment w:val="center"/>
                    <w:rPr>
                      <w:rFonts w:eastAsia="等线"/>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0.4687</w:t>
                  </w:r>
                </w:p>
              </w:tc>
              <w:tc>
                <w:tcPr>
                  <w:tcW w:w="298" w:type="pct"/>
                  <w:vMerge w:val="continue"/>
                  <w:shd w:val="clear" w:color="auto" w:fill="auto"/>
                  <w:vAlign w:val="center"/>
                </w:tcPr>
                <w:p w14:paraId="4650E3BF">
                  <w:pPr>
                    <w:adjustRightInd w:val="0"/>
                    <w:snapToGrid w:val="0"/>
                    <w:jc w:val="center"/>
                    <w:rPr>
                      <w:color w:val="auto"/>
                      <w:sz w:val="21"/>
                      <w:szCs w:val="21"/>
                    </w:rPr>
                  </w:pPr>
                </w:p>
              </w:tc>
            </w:tr>
            <w:tr w14:paraId="61BAC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58C3176C">
                  <w:pPr>
                    <w:adjustRightInd w:val="0"/>
                    <w:snapToGrid w:val="0"/>
                    <w:jc w:val="center"/>
                    <w:rPr>
                      <w:color w:val="auto"/>
                      <w:sz w:val="21"/>
                      <w:szCs w:val="21"/>
                    </w:rPr>
                  </w:pPr>
                </w:p>
              </w:tc>
              <w:tc>
                <w:tcPr>
                  <w:tcW w:w="636" w:type="pct"/>
                  <w:shd w:val="clear" w:color="auto" w:fill="auto"/>
                  <w:vAlign w:val="center"/>
                </w:tcPr>
                <w:p w14:paraId="344CA171">
                  <w:pPr>
                    <w:adjustRightInd w:val="0"/>
                    <w:snapToGrid w:val="0"/>
                    <w:jc w:val="center"/>
                    <w:rPr>
                      <w:color w:val="auto"/>
                      <w:sz w:val="21"/>
                      <w:szCs w:val="21"/>
                    </w:rPr>
                  </w:pPr>
                  <w:r>
                    <w:rPr>
                      <w:color w:val="auto"/>
                      <w:sz w:val="21"/>
                      <w:szCs w:val="21"/>
                    </w:rPr>
                    <w:t>SS</w:t>
                  </w:r>
                </w:p>
              </w:tc>
              <w:tc>
                <w:tcPr>
                  <w:tcW w:w="513" w:type="pct"/>
                  <w:vMerge w:val="continue"/>
                  <w:shd w:val="clear" w:color="auto" w:fill="auto"/>
                  <w:vAlign w:val="center"/>
                </w:tcPr>
                <w:p w14:paraId="16B3552E">
                  <w:pPr>
                    <w:adjustRightInd w:val="0"/>
                    <w:snapToGrid w:val="0"/>
                    <w:jc w:val="center"/>
                    <w:rPr>
                      <w:color w:val="auto"/>
                      <w:sz w:val="21"/>
                      <w:szCs w:val="21"/>
                    </w:rPr>
                  </w:pPr>
                </w:p>
              </w:tc>
              <w:tc>
                <w:tcPr>
                  <w:tcW w:w="909" w:type="dxa"/>
                  <w:shd w:val="clear" w:color="auto" w:fill="auto"/>
                  <w:vAlign w:val="center"/>
                </w:tcPr>
                <w:p w14:paraId="676A62E8">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43.8</w:t>
                  </w:r>
                </w:p>
              </w:tc>
              <w:tc>
                <w:tcPr>
                  <w:tcW w:w="816" w:type="dxa"/>
                  <w:shd w:val="clear" w:color="auto" w:fill="auto"/>
                  <w:vAlign w:val="center"/>
                </w:tcPr>
                <w:p w14:paraId="447869DD">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2.0530</w:t>
                  </w:r>
                </w:p>
              </w:tc>
              <w:tc>
                <w:tcPr>
                  <w:tcW w:w="277" w:type="pct"/>
                  <w:vMerge w:val="continue"/>
                  <w:shd w:val="clear" w:color="auto" w:fill="auto"/>
                  <w:vAlign w:val="center"/>
                </w:tcPr>
                <w:p w14:paraId="25B1F5F3">
                  <w:pPr>
                    <w:adjustRightInd w:val="0"/>
                    <w:snapToGrid w:val="0"/>
                    <w:jc w:val="center"/>
                    <w:rPr>
                      <w:color w:val="auto"/>
                      <w:sz w:val="21"/>
                      <w:szCs w:val="21"/>
                    </w:rPr>
                  </w:pPr>
                </w:p>
              </w:tc>
              <w:tc>
                <w:tcPr>
                  <w:tcW w:w="477" w:type="pct"/>
                  <w:vMerge w:val="continue"/>
                  <w:shd w:val="clear" w:color="auto" w:fill="auto"/>
                  <w:vAlign w:val="center"/>
                </w:tcPr>
                <w:p w14:paraId="4E9E24AB">
                  <w:pPr>
                    <w:adjustRightInd w:val="0"/>
                    <w:snapToGrid w:val="0"/>
                    <w:jc w:val="center"/>
                    <w:rPr>
                      <w:color w:val="auto"/>
                      <w:sz w:val="21"/>
                      <w:szCs w:val="21"/>
                    </w:rPr>
                  </w:pPr>
                </w:p>
              </w:tc>
              <w:tc>
                <w:tcPr>
                  <w:tcW w:w="561" w:type="pct"/>
                  <w:shd w:val="clear" w:color="auto" w:fill="auto"/>
                  <w:vAlign w:val="center"/>
                </w:tcPr>
                <w:p w14:paraId="42D5D61E">
                  <w:pPr>
                    <w:jc w:val="center"/>
                    <w:rPr>
                      <w:rFonts w:eastAsia="等线"/>
                      <w:color w:val="auto"/>
                      <w:sz w:val="21"/>
                      <w:szCs w:val="21"/>
                    </w:rPr>
                  </w:pPr>
                  <w:r>
                    <w:rPr>
                      <w:rFonts w:eastAsia="等线"/>
                      <w:color w:val="auto"/>
                      <w:sz w:val="21"/>
                      <w:szCs w:val="21"/>
                    </w:rPr>
                    <w:t>10</w:t>
                  </w:r>
                </w:p>
              </w:tc>
              <w:tc>
                <w:tcPr>
                  <w:tcW w:w="975" w:type="dxa"/>
                  <w:shd w:val="clear" w:color="auto" w:fill="auto"/>
                  <w:vAlign w:val="center"/>
                </w:tcPr>
                <w:p w14:paraId="743CD200">
                  <w:pPr>
                    <w:keepNext w:val="0"/>
                    <w:keepLines w:val="0"/>
                    <w:widowControl/>
                    <w:suppressLineNumbers w:val="0"/>
                    <w:jc w:val="center"/>
                    <w:textAlignment w:val="center"/>
                    <w:rPr>
                      <w:rFonts w:eastAsia="等线"/>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0.4687</w:t>
                  </w:r>
                </w:p>
              </w:tc>
              <w:tc>
                <w:tcPr>
                  <w:tcW w:w="298" w:type="pct"/>
                  <w:vMerge w:val="continue"/>
                  <w:shd w:val="clear" w:color="auto" w:fill="auto"/>
                  <w:vAlign w:val="center"/>
                </w:tcPr>
                <w:p w14:paraId="6541FE34">
                  <w:pPr>
                    <w:adjustRightInd w:val="0"/>
                    <w:snapToGrid w:val="0"/>
                    <w:jc w:val="center"/>
                    <w:rPr>
                      <w:color w:val="auto"/>
                      <w:sz w:val="21"/>
                      <w:szCs w:val="21"/>
                    </w:rPr>
                  </w:pPr>
                </w:p>
              </w:tc>
            </w:tr>
            <w:tr w14:paraId="46E03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484DD058">
                  <w:pPr>
                    <w:adjustRightInd w:val="0"/>
                    <w:snapToGrid w:val="0"/>
                    <w:jc w:val="center"/>
                    <w:rPr>
                      <w:color w:val="auto"/>
                      <w:sz w:val="21"/>
                      <w:szCs w:val="21"/>
                    </w:rPr>
                  </w:pPr>
                </w:p>
              </w:tc>
              <w:tc>
                <w:tcPr>
                  <w:tcW w:w="636" w:type="pct"/>
                  <w:shd w:val="clear" w:color="auto" w:fill="auto"/>
                  <w:vAlign w:val="center"/>
                </w:tcPr>
                <w:p w14:paraId="74CADFAA">
                  <w:pPr>
                    <w:adjustRightInd w:val="0"/>
                    <w:snapToGrid w:val="0"/>
                    <w:jc w:val="center"/>
                    <w:rPr>
                      <w:color w:val="auto"/>
                      <w:sz w:val="21"/>
                      <w:szCs w:val="21"/>
                    </w:rPr>
                  </w:pPr>
                  <w:r>
                    <w:rPr>
                      <w:color w:val="auto"/>
                      <w:sz w:val="21"/>
                      <w:szCs w:val="21"/>
                    </w:rPr>
                    <w:t>氨氮</w:t>
                  </w:r>
                </w:p>
              </w:tc>
              <w:tc>
                <w:tcPr>
                  <w:tcW w:w="513" w:type="pct"/>
                  <w:vMerge w:val="continue"/>
                  <w:shd w:val="clear" w:color="auto" w:fill="auto"/>
                  <w:vAlign w:val="center"/>
                </w:tcPr>
                <w:p w14:paraId="6C85605F">
                  <w:pPr>
                    <w:adjustRightInd w:val="0"/>
                    <w:snapToGrid w:val="0"/>
                    <w:jc w:val="center"/>
                    <w:rPr>
                      <w:color w:val="auto"/>
                      <w:sz w:val="21"/>
                      <w:szCs w:val="21"/>
                    </w:rPr>
                  </w:pPr>
                </w:p>
              </w:tc>
              <w:tc>
                <w:tcPr>
                  <w:tcW w:w="909" w:type="dxa"/>
                  <w:shd w:val="clear" w:color="auto" w:fill="auto"/>
                  <w:vAlign w:val="center"/>
                </w:tcPr>
                <w:p w14:paraId="36670214">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2.8</w:t>
                  </w:r>
                </w:p>
              </w:tc>
              <w:tc>
                <w:tcPr>
                  <w:tcW w:w="816" w:type="dxa"/>
                  <w:shd w:val="clear" w:color="auto" w:fill="auto"/>
                  <w:vAlign w:val="center"/>
                </w:tcPr>
                <w:p w14:paraId="2D890EEB">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0.1311</w:t>
                  </w:r>
                </w:p>
              </w:tc>
              <w:tc>
                <w:tcPr>
                  <w:tcW w:w="277" w:type="pct"/>
                  <w:vMerge w:val="continue"/>
                  <w:shd w:val="clear" w:color="auto" w:fill="auto"/>
                  <w:vAlign w:val="center"/>
                </w:tcPr>
                <w:p w14:paraId="2F7FDF95">
                  <w:pPr>
                    <w:adjustRightInd w:val="0"/>
                    <w:snapToGrid w:val="0"/>
                    <w:jc w:val="center"/>
                    <w:rPr>
                      <w:color w:val="auto"/>
                      <w:sz w:val="21"/>
                      <w:szCs w:val="21"/>
                    </w:rPr>
                  </w:pPr>
                </w:p>
              </w:tc>
              <w:tc>
                <w:tcPr>
                  <w:tcW w:w="477" w:type="pct"/>
                  <w:vMerge w:val="continue"/>
                  <w:shd w:val="clear" w:color="auto" w:fill="auto"/>
                  <w:vAlign w:val="center"/>
                </w:tcPr>
                <w:p w14:paraId="0D3D2618">
                  <w:pPr>
                    <w:adjustRightInd w:val="0"/>
                    <w:snapToGrid w:val="0"/>
                    <w:jc w:val="center"/>
                    <w:rPr>
                      <w:color w:val="auto"/>
                      <w:sz w:val="21"/>
                      <w:szCs w:val="21"/>
                    </w:rPr>
                  </w:pPr>
                </w:p>
              </w:tc>
              <w:tc>
                <w:tcPr>
                  <w:tcW w:w="561" w:type="pct"/>
                  <w:shd w:val="clear" w:color="auto" w:fill="auto"/>
                  <w:vAlign w:val="center"/>
                </w:tcPr>
                <w:p w14:paraId="08A334B6">
                  <w:pPr>
                    <w:jc w:val="center"/>
                    <w:rPr>
                      <w:rFonts w:hint="default" w:eastAsia="等线"/>
                      <w:color w:val="auto"/>
                      <w:sz w:val="21"/>
                      <w:szCs w:val="21"/>
                      <w:lang w:val="en-US" w:eastAsia="zh-CN"/>
                    </w:rPr>
                  </w:pPr>
                  <w:r>
                    <w:rPr>
                      <w:rFonts w:hint="eastAsia" w:eastAsia="等线"/>
                      <w:color w:val="auto"/>
                      <w:sz w:val="21"/>
                      <w:szCs w:val="21"/>
                      <w:lang w:val="en-US" w:eastAsia="zh-CN"/>
                    </w:rPr>
                    <w:t>2</w:t>
                  </w:r>
                </w:p>
              </w:tc>
              <w:tc>
                <w:tcPr>
                  <w:tcW w:w="975" w:type="dxa"/>
                  <w:shd w:val="clear" w:color="auto" w:fill="auto"/>
                  <w:vAlign w:val="center"/>
                </w:tcPr>
                <w:p w14:paraId="53B18A9F">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0.0937</w:t>
                  </w:r>
                </w:p>
              </w:tc>
              <w:tc>
                <w:tcPr>
                  <w:tcW w:w="298" w:type="pct"/>
                  <w:vMerge w:val="continue"/>
                  <w:shd w:val="clear" w:color="auto" w:fill="auto"/>
                  <w:vAlign w:val="center"/>
                </w:tcPr>
                <w:p w14:paraId="30577F88">
                  <w:pPr>
                    <w:adjustRightInd w:val="0"/>
                    <w:snapToGrid w:val="0"/>
                    <w:jc w:val="center"/>
                    <w:rPr>
                      <w:color w:val="auto"/>
                      <w:sz w:val="21"/>
                      <w:szCs w:val="21"/>
                    </w:rPr>
                  </w:pPr>
                </w:p>
              </w:tc>
            </w:tr>
            <w:tr w14:paraId="06E94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4A15FA9E">
                  <w:pPr>
                    <w:adjustRightInd w:val="0"/>
                    <w:snapToGrid w:val="0"/>
                    <w:jc w:val="center"/>
                    <w:rPr>
                      <w:color w:val="auto"/>
                      <w:sz w:val="21"/>
                      <w:szCs w:val="21"/>
                    </w:rPr>
                  </w:pPr>
                </w:p>
              </w:tc>
              <w:tc>
                <w:tcPr>
                  <w:tcW w:w="636" w:type="pct"/>
                  <w:shd w:val="clear" w:color="auto" w:fill="auto"/>
                  <w:vAlign w:val="center"/>
                </w:tcPr>
                <w:p w14:paraId="5A90B594">
                  <w:pPr>
                    <w:adjustRightInd w:val="0"/>
                    <w:snapToGrid w:val="0"/>
                    <w:jc w:val="center"/>
                    <w:rPr>
                      <w:color w:val="auto"/>
                      <w:sz w:val="21"/>
                      <w:szCs w:val="21"/>
                    </w:rPr>
                  </w:pPr>
                  <w:r>
                    <w:rPr>
                      <w:color w:val="auto"/>
                      <w:sz w:val="21"/>
                      <w:szCs w:val="21"/>
                    </w:rPr>
                    <w:t>总氮</w:t>
                  </w:r>
                </w:p>
              </w:tc>
              <w:tc>
                <w:tcPr>
                  <w:tcW w:w="513" w:type="pct"/>
                  <w:vMerge w:val="continue"/>
                  <w:shd w:val="clear" w:color="auto" w:fill="auto"/>
                  <w:vAlign w:val="center"/>
                </w:tcPr>
                <w:p w14:paraId="422BC296">
                  <w:pPr>
                    <w:adjustRightInd w:val="0"/>
                    <w:snapToGrid w:val="0"/>
                    <w:jc w:val="center"/>
                    <w:rPr>
                      <w:color w:val="auto"/>
                      <w:sz w:val="21"/>
                      <w:szCs w:val="21"/>
                    </w:rPr>
                  </w:pPr>
                </w:p>
              </w:tc>
              <w:tc>
                <w:tcPr>
                  <w:tcW w:w="909" w:type="dxa"/>
                  <w:shd w:val="clear" w:color="auto" w:fill="auto"/>
                  <w:vAlign w:val="center"/>
                </w:tcPr>
                <w:p w14:paraId="2D89071E">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5.3</w:t>
                  </w:r>
                </w:p>
              </w:tc>
              <w:tc>
                <w:tcPr>
                  <w:tcW w:w="816" w:type="dxa"/>
                  <w:shd w:val="clear" w:color="auto" w:fill="auto"/>
                  <w:vAlign w:val="center"/>
                </w:tcPr>
                <w:p w14:paraId="0D622FBF">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0.2501</w:t>
                  </w:r>
                </w:p>
              </w:tc>
              <w:tc>
                <w:tcPr>
                  <w:tcW w:w="277" w:type="pct"/>
                  <w:vMerge w:val="continue"/>
                  <w:shd w:val="clear" w:color="auto" w:fill="auto"/>
                  <w:vAlign w:val="center"/>
                </w:tcPr>
                <w:p w14:paraId="098F7BA9">
                  <w:pPr>
                    <w:adjustRightInd w:val="0"/>
                    <w:snapToGrid w:val="0"/>
                    <w:jc w:val="center"/>
                    <w:rPr>
                      <w:color w:val="auto"/>
                      <w:sz w:val="21"/>
                      <w:szCs w:val="21"/>
                    </w:rPr>
                  </w:pPr>
                </w:p>
              </w:tc>
              <w:tc>
                <w:tcPr>
                  <w:tcW w:w="477" w:type="pct"/>
                  <w:vMerge w:val="continue"/>
                  <w:shd w:val="clear" w:color="auto" w:fill="auto"/>
                  <w:vAlign w:val="center"/>
                </w:tcPr>
                <w:p w14:paraId="2AE10EC6">
                  <w:pPr>
                    <w:adjustRightInd w:val="0"/>
                    <w:snapToGrid w:val="0"/>
                    <w:jc w:val="center"/>
                    <w:rPr>
                      <w:color w:val="auto"/>
                      <w:sz w:val="21"/>
                      <w:szCs w:val="21"/>
                    </w:rPr>
                  </w:pPr>
                </w:p>
              </w:tc>
              <w:tc>
                <w:tcPr>
                  <w:tcW w:w="561" w:type="pct"/>
                  <w:shd w:val="clear" w:color="auto" w:fill="auto"/>
                  <w:vAlign w:val="center"/>
                </w:tcPr>
                <w:p w14:paraId="79F48760">
                  <w:pPr>
                    <w:jc w:val="center"/>
                    <w:rPr>
                      <w:rFonts w:hint="default" w:eastAsia="等线"/>
                      <w:color w:val="auto"/>
                      <w:sz w:val="21"/>
                      <w:szCs w:val="21"/>
                      <w:lang w:val="en-US" w:eastAsia="zh-CN"/>
                    </w:rPr>
                  </w:pPr>
                  <w:r>
                    <w:rPr>
                      <w:rFonts w:hint="eastAsia" w:eastAsia="等线"/>
                      <w:color w:val="auto"/>
                      <w:sz w:val="21"/>
                      <w:szCs w:val="21"/>
                      <w:lang w:val="en-US" w:eastAsia="zh-CN"/>
                    </w:rPr>
                    <w:t>3</w:t>
                  </w:r>
                </w:p>
              </w:tc>
              <w:tc>
                <w:tcPr>
                  <w:tcW w:w="975" w:type="dxa"/>
                  <w:shd w:val="clear" w:color="auto" w:fill="auto"/>
                  <w:vAlign w:val="center"/>
                </w:tcPr>
                <w:p w14:paraId="6D5E207B">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0.1406</w:t>
                  </w:r>
                </w:p>
              </w:tc>
              <w:tc>
                <w:tcPr>
                  <w:tcW w:w="298" w:type="pct"/>
                  <w:vMerge w:val="continue"/>
                  <w:shd w:val="clear" w:color="auto" w:fill="auto"/>
                  <w:vAlign w:val="center"/>
                </w:tcPr>
                <w:p w14:paraId="3D134093">
                  <w:pPr>
                    <w:adjustRightInd w:val="0"/>
                    <w:snapToGrid w:val="0"/>
                    <w:jc w:val="center"/>
                    <w:rPr>
                      <w:color w:val="auto"/>
                      <w:sz w:val="21"/>
                      <w:szCs w:val="21"/>
                    </w:rPr>
                  </w:pPr>
                </w:p>
              </w:tc>
            </w:tr>
            <w:tr w14:paraId="572CA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50207068">
                  <w:pPr>
                    <w:adjustRightInd w:val="0"/>
                    <w:snapToGrid w:val="0"/>
                    <w:jc w:val="center"/>
                    <w:rPr>
                      <w:color w:val="auto"/>
                      <w:sz w:val="21"/>
                      <w:szCs w:val="21"/>
                    </w:rPr>
                  </w:pPr>
                </w:p>
              </w:tc>
              <w:tc>
                <w:tcPr>
                  <w:tcW w:w="636" w:type="pct"/>
                  <w:shd w:val="clear" w:color="auto" w:fill="auto"/>
                  <w:vAlign w:val="center"/>
                </w:tcPr>
                <w:p w14:paraId="40CD247D">
                  <w:pPr>
                    <w:adjustRightInd w:val="0"/>
                    <w:snapToGrid w:val="0"/>
                    <w:jc w:val="center"/>
                    <w:rPr>
                      <w:color w:val="auto"/>
                      <w:sz w:val="21"/>
                      <w:szCs w:val="21"/>
                    </w:rPr>
                  </w:pPr>
                  <w:r>
                    <w:rPr>
                      <w:color w:val="auto"/>
                      <w:sz w:val="21"/>
                      <w:szCs w:val="21"/>
                    </w:rPr>
                    <w:t>总磷</w:t>
                  </w:r>
                </w:p>
              </w:tc>
              <w:tc>
                <w:tcPr>
                  <w:tcW w:w="513" w:type="pct"/>
                  <w:vMerge w:val="continue"/>
                  <w:shd w:val="clear" w:color="auto" w:fill="auto"/>
                  <w:vAlign w:val="center"/>
                </w:tcPr>
                <w:p w14:paraId="031862CB">
                  <w:pPr>
                    <w:adjustRightInd w:val="0"/>
                    <w:snapToGrid w:val="0"/>
                    <w:jc w:val="center"/>
                    <w:rPr>
                      <w:color w:val="auto"/>
                      <w:sz w:val="21"/>
                      <w:szCs w:val="21"/>
                    </w:rPr>
                  </w:pPr>
                </w:p>
              </w:tc>
              <w:tc>
                <w:tcPr>
                  <w:tcW w:w="909" w:type="dxa"/>
                  <w:shd w:val="clear" w:color="auto" w:fill="auto"/>
                  <w:vAlign w:val="center"/>
                </w:tcPr>
                <w:p w14:paraId="7DB3DB7A">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0.5</w:t>
                  </w:r>
                </w:p>
              </w:tc>
              <w:tc>
                <w:tcPr>
                  <w:tcW w:w="816" w:type="dxa"/>
                  <w:shd w:val="clear" w:color="auto" w:fill="auto"/>
                  <w:vAlign w:val="center"/>
                </w:tcPr>
                <w:p w14:paraId="516736CC">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0.0247</w:t>
                  </w:r>
                </w:p>
              </w:tc>
              <w:tc>
                <w:tcPr>
                  <w:tcW w:w="277" w:type="pct"/>
                  <w:vMerge w:val="continue"/>
                  <w:shd w:val="clear" w:color="auto" w:fill="auto"/>
                  <w:vAlign w:val="center"/>
                </w:tcPr>
                <w:p w14:paraId="2422EB05">
                  <w:pPr>
                    <w:adjustRightInd w:val="0"/>
                    <w:snapToGrid w:val="0"/>
                    <w:jc w:val="center"/>
                    <w:rPr>
                      <w:color w:val="auto"/>
                      <w:sz w:val="21"/>
                      <w:szCs w:val="21"/>
                    </w:rPr>
                  </w:pPr>
                </w:p>
              </w:tc>
              <w:tc>
                <w:tcPr>
                  <w:tcW w:w="477" w:type="pct"/>
                  <w:vMerge w:val="continue"/>
                  <w:shd w:val="clear" w:color="auto" w:fill="auto"/>
                  <w:vAlign w:val="center"/>
                </w:tcPr>
                <w:p w14:paraId="000108D9">
                  <w:pPr>
                    <w:adjustRightInd w:val="0"/>
                    <w:snapToGrid w:val="0"/>
                    <w:jc w:val="center"/>
                    <w:rPr>
                      <w:color w:val="auto"/>
                      <w:sz w:val="21"/>
                      <w:szCs w:val="21"/>
                    </w:rPr>
                  </w:pPr>
                </w:p>
              </w:tc>
              <w:tc>
                <w:tcPr>
                  <w:tcW w:w="561" w:type="pct"/>
                  <w:shd w:val="clear" w:color="auto" w:fill="auto"/>
                  <w:vAlign w:val="center"/>
                </w:tcPr>
                <w:p w14:paraId="2EA98CA5">
                  <w:pPr>
                    <w:jc w:val="center"/>
                    <w:rPr>
                      <w:rFonts w:hint="default" w:eastAsia="等线"/>
                      <w:color w:val="auto"/>
                      <w:sz w:val="21"/>
                      <w:szCs w:val="21"/>
                      <w:lang w:val="en-US" w:eastAsia="zh-CN"/>
                    </w:rPr>
                  </w:pPr>
                  <w:r>
                    <w:rPr>
                      <w:rFonts w:hint="eastAsia" w:eastAsia="等线"/>
                      <w:color w:val="auto"/>
                      <w:sz w:val="21"/>
                      <w:szCs w:val="21"/>
                      <w:lang w:val="en-US" w:eastAsia="zh-CN"/>
                    </w:rPr>
                    <w:t>0.27</w:t>
                  </w:r>
                </w:p>
              </w:tc>
              <w:tc>
                <w:tcPr>
                  <w:tcW w:w="975" w:type="dxa"/>
                  <w:shd w:val="clear" w:color="auto" w:fill="auto"/>
                  <w:vAlign w:val="center"/>
                </w:tcPr>
                <w:p w14:paraId="76D39263">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0.0127</w:t>
                  </w:r>
                </w:p>
              </w:tc>
              <w:tc>
                <w:tcPr>
                  <w:tcW w:w="298" w:type="pct"/>
                  <w:vMerge w:val="continue"/>
                  <w:shd w:val="clear" w:color="auto" w:fill="auto"/>
                  <w:vAlign w:val="center"/>
                </w:tcPr>
                <w:p w14:paraId="622AF2C3">
                  <w:pPr>
                    <w:adjustRightInd w:val="0"/>
                    <w:snapToGrid w:val="0"/>
                    <w:jc w:val="center"/>
                    <w:rPr>
                      <w:color w:val="auto"/>
                      <w:sz w:val="21"/>
                      <w:szCs w:val="21"/>
                    </w:rPr>
                  </w:pPr>
                </w:p>
              </w:tc>
            </w:tr>
            <w:tr w14:paraId="68A2B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0581E33D">
                  <w:pPr>
                    <w:adjustRightInd w:val="0"/>
                    <w:snapToGrid w:val="0"/>
                    <w:jc w:val="center"/>
                    <w:rPr>
                      <w:color w:val="auto"/>
                      <w:sz w:val="21"/>
                      <w:szCs w:val="21"/>
                    </w:rPr>
                  </w:pPr>
                </w:p>
              </w:tc>
              <w:tc>
                <w:tcPr>
                  <w:tcW w:w="636" w:type="pct"/>
                  <w:shd w:val="clear" w:color="auto" w:fill="auto"/>
                  <w:vAlign w:val="center"/>
                </w:tcPr>
                <w:p w14:paraId="2FB7AAEE">
                  <w:pPr>
                    <w:adjustRightInd w:val="0"/>
                    <w:snapToGrid w:val="0"/>
                    <w:jc w:val="center"/>
                    <w:rPr>
                      <w:color w:val="auto"/>
                      <w:sz w:val="21"/>
                      <w:szCs w:val="21"/>
                    </w:rPr>
                  </w:pPr>
                  <w:r>
                    <w:rPr>
                      <w:color w:val="auto"/>
                      <w:sz w:val="21"/>
                      <w:szCs w:val="21"/>
                    </w:rPr>
                    <w:t>动植物油</w:t>
                  </w:r>
                </w:p>
              </w:tc>
              <w:tc>
                <w:tcPr>
                  <w:tcW w:w="513" w:type="pct"/>
                  <w:vMerge w:val="continue"/>
                  <w:shd w:val="clear" w:color="auto" w:fill="auto"/>
                  <w:vAlign w:val="center"/>
                </w:tcPr>
                <w:p w14:paraId="66C13B54">
                  <w:pPr>
                    <w:adjustRightInd w:val="0"/>
                    <w:snapToGrid w:val="0"/>
                    <w:jc w:val="center"/>
                    <w:rPr>
                      <w:color w:val="auto"/>
                      <w:sz w:val="21"/>
                      <w:szCs w:val="21"/>
                    </w:rPr>
                  </w:pPr>
                </w:p>
              </w:tc>
              <w:tc>
                <w:tcPr>
                  <w:tcW w:w="909" w:type="dxa"/>
                  <w:shd w:val="clear" w:color="auto" w:fill="auto"/>
                  <w:vAlign w:val="center"/>
                </w:tcPr>
                <w:p w14:paraId="052D6DD7">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0.3</w:t>
                  </w:r>
                </w:p>
              </w:tc>
              <w:tc>
                <w:tcPr>
                  <w:tcW w:w="816" w:type="dxa"/>
                  <w:shd w:val="clear" w:color="auto" w:fill="auto"/>
                  <w:vAlign w:val="center"/>
                </w:tcPr>
                <w:p w14:paraId="18DF0E9C">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0.0191</w:t>
                  </w:r>
                </w:p>
              </w:tc>
              <w:tc>
                <w:tcPr>
                  <w:tcW w:w="277" w:type="pct"/>
                  <w:vMerge w:val="continue"/>
                  <w:shd w:val="clear" w:color="auto" w:fill="auto"/>
                  <w:vAlign w:val="center"/>
                </w:tcPr>
                <w:p w14:paraId="0600789E">
                  <w:pPr>
                    <w:adjustRightInd w:val="0"/>
                    <w:snapToGrid w:val="0"/>
                    <w:jc w:val="center"/>
                    <w:rPr>
                      <w:color w:val="auto"/>
                      <w:sz w:val="21"/>
                      <w:szCs w:val="21"/>
                    </w:rPr>
                  </w:pPr>
                </w:p>
              </w:tc>
              <w:tc>
                <w:tcPr>
                  <w:tcW w:w="477" w:type="pct"/>
                  <w:vMerge w:val="continue"/>
                  <w:shd w:val="clear" w:color="auto" w:fill="auto"/>
                  <w:vAlign w:val="center"/>
                </w:tcPr>
                <w:p w14:paraId="1F4C34D8">
                  <w:pPr>
                    <w:adjustRightInd w:val="0"/>
                    <w:snapToGrid w:val="0"/>
                    <w:jc w:val="center"/>
                    <w:rPr>
                      <w:color w:val="auto"/>
                      <w:sz w:val="21"/>
                      <w:szCs w:val="21"/>
                    </w:rPr>
                  </w:pPr>
                </w:p>
              </w:tc>
              <w:tc>
                <w:tcPr>
                  <w:tcW w:w="561" w:type="pct"/>
                  <w:shd w:val="clear" w:color="auto" w:fill="auto"/>
                  <w:vAlign w:val="center"/>
                </w:tcPr>
                <w:p w14:paraId="792505BC">
                  <w:pPr>
                    <w:jc w:val="center"/>
                    <w:rPr>
                      <w:rFonts w:hint="default" w:eastAsia="等线"/>
                      <w:color w:val="auto"/>
                      <w:sz w:val="21"/>
                      <w:szCs w:val="21"/>
                      <w:lang w:val="en-US" w:eastAsia="zh-CN"/>
                    </w:rPr>
                  </w:pPr>
                  <w:r>
                    <w:rPr>
                      <w:rFonts w:hint="eastAsia" w:eastAsia="等线"/>
                      <w:color w:val="auto"/>
                      <w:sz w:val="21"/>
                      <w:szCs w:val="21"/>
                      <w:lang w:val="en-US" w:eastAsia="zh-CN"/>
                    </w:rPr>
                    <w:t>0.20</w:t>
                  </w:r>
                </w:p>
              </w:tc>
              <w:tc>
                <w:tcPr>
                  <w:tcW w:w="975" w:type="dxa"/>
                  <w:shd w:val="clear" w:color="auto" w:fill="auto"/>
                  <w:vAlign w:val="center"/>
                </w:tcPr>
                <w:p w14:paraId="251906A0">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0.0094</w:t>
                  </w:r>
                </w:p>
              </w:tc>
              <w:tc>
                <w:tcPr>
                  <w:tcW w:w="298" w:type="pct"/>
                  <w:vMerge w:val="continue"/>
                  <w:shd w:val="clear" w:color="auto" w:fill="auto"/>
                  <w:vAlign w:val="center"/>
                </w:tcPr>
                <w:p w14:paraId="5C02EFEA">
                  <w:pPr>
                    <w:adjustRightInd w:val="0"/>
                    <w:snapToGrid w:val="0"/>
                    <w:jc w:val="center"/>
                    <w:rPr>
                      <w:color w:val="auto"/>
                      <w:sz w:val="21"/>
                      <w:szCs w:val="21"/>
                    </w:rPr>
                  </w:pPr>
                </w:p>
              </w:tc>
            </w:tr>
            <w:tr w14:paraId="203C6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0017D29B">
                  <w:pPr>
                    <w:adjustRightInd w:val="0"/>
                    <w:snapToGrid w:val="0"/>
                    <w:jc w:val="center"/>
                    <w:rPr>
                      <w:color w:val="auto"/>
                      <w:sz w:val="21"/>
                      <w:szCs w:val="21"/>
                    </w:rPr>
                  </w:pPr>
                </w:p>
              </w:tc>
              <w:tc>
                <w:tcPr>
                  <w:tcW w:w="636" w:type="pct"/>
                  <w:shd w:val="clear" w:color="auto" w:fill="auto"/>
                  <w:vAlign w:val="center"/>
                </w:tcPr>
                <w:p w14:paraId="334885AD">
                  <w:pPr>
                    <w:adjustRightInd w:val="0"/>
                    <w:snapToGrid w:val="0"/>
                    <w:jc w:val="center"/>
                    <w:rPr>
                      <w:color w:val="auto"/>
                      <w:sz w:val="21"/>
                      <w:szCs w:val="21"/>
                    </w:rPr>
                  </w:pPr>
                  <w:r>
                    <w:rPr>
                      <w:color w:val="auto"/>
                      <w:sz w:val="21"/>
                      <w:szCs w:val="21"/>
                    </w:rPr>
                    <w:t>LAS</w:t>
                  </w:r>
                </w:p>
              </w:tc>
              <w:tc>
                <w:tcPr>
                  <w:tcW w:w="513" w:type="pct"/>
                  <w:vMerge w:val="continue"/>
                  <w:shd w:val="clear" w:color="auto" w:fill="auto"/>
                  <w:vAlign w:val="center"/>
                </w:tcPr>
                <w:p w14:paraId="07CEEC34">
                  <w:pPr>
                    <w:adjustRightInd w:val="0"/>
                    <w:snapToGrid w:val="0"/>
                    <w:jc w:val="center"/>
                    <w:rPr>
                      <w:color w:val="auto"/>
                      <w:sz w:val="21"/>
                      <w:szCs w:val="21"/>
                    </w:rPr>
                  </w:pPr>
                </w:p>
              </w:tc>
              <w:tc>
                <w:tcPr>
                  <w:tcW w:w="909" w:type="dxa"/>
                  <w:shd w:val="clear" w:color="auto" w:fill="auto"/>
                  <w:vAlign w:val="center"/>
                </w:tcPr>
                <w:p w14:paraId="2230B97F">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0.9</w:t>
                  </w:r>
                </w:p>
              </w:tc>
              <w:tc>
                <w:tcPr>
                  <w:tcW w:w="816" w:type="dxa"/>
                  <w:shd w:val="clear" w:color="auto" w:fill="auto"/>
                  <w:vAlign w:val="center"/>
                </w:tcPr>
                <w:p w14:paraId="543F0360">
                  <w:pPr>
                    <w:keepNext w:val="0"/>
                    <w:keepLines w:val="0"/>
                    <w:widowControl/>
                    <w:suppressLineNumbers w:val="0"/>
                    <w:jc w:val="center"/>
                    <w:textAlignment w:val="center"/>
                    <w:rPr>
                      <w:rFonts w:hint="default" w:eastAsia="等线"/>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0.0418</w:t>
                  </w:r>
                </w:p>
              </w:tc>
              <w:tc>
                <w:tcPr>
                  <w:tcW w:w="277" w:type="pct"/>
                  <w:vMerge w:val="continue"/>
                  <w:shd w:val="clear" w:color="auto" w:fill="auto"/>
                  <w:vAlign w:val="center"/>
                </w:tcPr>
                <w:p w14:paraId="79A00042">
                  <w:pPr>
                    <w:adjustRightInd w:val="0"/>
                    <w:snapToGrid w:val="0"/>
                    <w:jc w:val="center"/>
                    <w:rPr>
                      <w:color w:val="auto"/>
                      <w:sz w:val="21"/>
                      <w:szCs w:val="21"/>
                    </w:rPr>
                  </w:pPr>
                </w:p>
              </w:tc>
              <w:tc>
                <w:tcPr>
                  <w:tcW w:w="477" w:type="pct"/>
                  <w:vMerge w:val="continue"/>
                  <w:shd w:val="clear" w:color="auto" w:fill="auto"/>
                  <w:vAlign w:val="center"/>
                </w:tcPr>
                <w:p w14:paraId="57D0F566">
                  <w:pPr>
                    <w:adjustRightInd w:val="0"/>
                    <w:snapToGrid w:val="0"/>
                    <w:jc w:val="center"/>
                    <w:rPr>
                      <w:color w:val="auto"/>
                      <w:sz w:val="21"/>
                      <w:szCs w:val="21"/>
                    </w:rPr>
                  </w:pPr>
                </w:p>
              </w:tc>
              <w:tc>
                <w:tcPr>
                  <w:tcW w:w="561" w:type="pct"/>
                  <w:shd w:val="clear" w:color="auto" w:fill="auto"/>
                  <w:vAlign w:val="center"/>
                </w:tcPr>
                <w:p w14:paraId="5AF1B940">
                  <w:pPr>
                    <w:jc w:val="center"/>
                    <w:rPr>
                      <w:rFonts w:eastAsia="等线"/>
                      <w:color w:val="auto"/>
                      <w:sz w:val="21"/>
                      <w:szCs w:val="21"/>
                    </w:rPr>
                  </w:pPr>
                  <w:r>
                    <w:rPr>
                      <w:rFonts w:eastAsia="等线"/>
                      <w:color w:val="auto"/>
                      <w:sz w:val="21"/>
                      <w:szCs w:val="21"/>
                    </w:rPr>
                    <w:t>0.5</w:t>
                  </w:r>
                </w:p>
              </w:tc>
              <w:tc>
                <w:tcPr>
                  <w:tcW w:w="975" w:type="dxa"/>
                  <w:shd w:val="clear" w:color="auto" w:fill="auto"/>
                  <w:vAlign w:val="center"/>
                </w:tcPr>
                <w:p w14:paraId="794A4015">
                  <w:pPr>
                    <w:keepNext w:val="0"/>
                    <w:keepLines w:val="0"/>
                    <w:widowControl/>
                    <w:suppressLineNumbers w:val="0"/>
                    <w:jc w:val="center"/>
                    <w:textAlignment w:val="center"/>
                    <w:rPr>
                      <w:rFonts w:eastAsia="等线"/>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0.0234</w:t>
                  </w:r>
                </w:p>
              </w:tc>
              <w:tc>
                <w:tcPr>
                  <w:tcW w:w="298" w:type="pct"/>
                  <w:vMerge w:val="continue"/>
                  <w:shd w:val="clear" w:color="auto" w:fill="auto"/>
                  <w:vAlign w:val="center"/>
                </w:tcPr>
                <w:p w14:paraId="1827A184">
                  <w:pPr>
                    <w:adjustRightInd w:val="0"/>
                    <w:snapToGrid w:val="0"/>
                    <w:jc w:val="center"/>
                    <w:rPr>
                      <w:color w:val="auto"/>
                      <w:sz w:val="21"/>
                      <w:szCs w:val="21"/>
                    </w:rPr>
                  </w:pPr>
                </w:p>
              </w:tc>
            </w:tr>
            <w:tr w14:paraId="12E21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34632E51">
                  <w:pPr>
                    <w:adjustRightInd w:val="0"/>
                    <w:snapToGrid w:val="0"/>
                    <w:jc w:val="center"/>
                    <w:rPr>
                      <w:color w:val="auto"/>
                      <w:sz w:val="21"/>
                      <w:szCs w:val="21"/>
                    </w:rPr>
                  </w:pPr>
                </w:p>
              </w:tc>
              <w:tc>
                <w:tcPr>
                  <w:tcW w:w="636" w:type="pct"/>
                  <w:shd w:val="clear" w:color="auto" w:fill="auto"/>
                  <w:vAlign w:val="center"/>
                </w:tcPr>
                <w:p w14:paraId="00EACDF4">
                  <w:pPr>
                    <w:adjustRightInd w:val="0"/>
                    <w:snapToGrid w:val="0"/>
                    <w:jc w:val="center"/>
                    <w:rPr>
                      <w:rFonts w:hint="eastAsia" w:eastAsia="宋体"/>
                      <w:color w:val="auto"/>
                      <w:sz w:val="21"/>
                      <w:szCs w:val="21"/>
                      <w:lang w:eastAsia="zh-CN"/>
                    </w:rPr>
                  </w:pPr>
                  <w:r>
                    <w:rPr>
                      <w:rFonts w:hint="eastAsia" w:cs="Times New Roman"/>
                      <w:color w:val="auto"/>
                      <w:sz w:val="21"/>
                      <w:szCs w:val="21"/>
                      <w:lang w:val="en-US" w:eastAsia="zh-CN"/>
                    </w:rPr>
                    <w:t>全盐量</w:t>
                  </w:r>
                </w:p>
              </w:tc>
              <w:tc>
                <w:tcPr>
                  <w:tcW w:w="513" w:type="pct"/>
                  <w:vMerge w:val="continue"/>
                  <w:shd w:val="clear" w:color="auto" w:fill="auto"/>
                  <w:vAlign w:val="center"/>
                </w:tcPr>
                <w:p w14:paraId="1F2345F0">
                  <w:pPr>
                    <w:adjustRightInd w:val="0"/>
                    <w:snapToGrid w:val="0"/>
                    <w:jc w:val="center"/>
                    <w:rPr>
                      <w:color w:val="auto"/>
                      <w:sz w:val="21"/>
                      <w:szCs w:val="21"/>
                    </w:rPr>
                  </w:pPr>
                </w:p>
              </w:tc>
              <w:tc>
                <w:tcPr>
                  <w:tcW w:w="909" w:type="dxa"/>
                  <w:shd w:val="clear" w:color="auto" w:fill="auto"/>
                  <w:vAlign w:val="center"/>
                </w:tcPr>
                <w:p w14:paraId="6677C9F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w:t>
                  </w:r>
                </w:p>
              </w:tc>
              <w:tc>
                <w:tcPr>
                  <w:tcW w:w="816" w:type="dxa"/>
                  <w:shd w:val="clear" w:color="auto" w:fill="auto"/>
                  <w:vAlign w:val="center"/>
                </w:tcPr>
                <w:p w14:paraId="261FECA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1.6800</w:t>
                  </w:r>
                </w:p>
              </w:tc>
              <w:tc>
                <w:tcPr>
                  <w:tcW w:w="277" w:type="pct"/>
                  <w:vMerge w:val="continue"/>
                  <w:shd w:val="clear" w:color="auto" w:fill="auto"/>
                  <w:vAlign w:val="center"/>
                </w:tcPr>
                <w:p w14:paraId="3CE8E0FE">
                  <w:pPr>
                    <w:adjustRightInd w:val="0"/>
                    <w:snapToGrid w:val="0"/>
                    <w:jc w:val="center"/>
                    <w:rPr>
                      <w:color w:val="auto"/>
                      <w:sz w:val="21"/>
                      <w:szCs w:val="21"/>
                    </w:rPr>
                  </w:pPr>
                </w:p>
              </w:tc>
              <w:tc>
                <w:tcPr>
                  <w:tcW w:w="477" w:type="pct"/>
                  <w:vMerge w:val="continue"/>
                  <w:shd w:val="clear" w:color="auto" w:fill="auto"/>
                  <w:vAlign w:val="center"/>
                </w:tcPr>
                <w:p w14:paraId="29F16C18">
                  <w:pPr>
                    <w:adjustRightInd w:val="0"/>
                    <w:snapToGrid w:val="0"/>
                    <w:jc w:val="center"/>
                    <w:rPr>
                      <w:color w:val="auto"/>
                      <w:sz w:val="21"/>
                      <w:szCs w:val="21"/>
                    </w:rPr>
                  </w:pPr>
                </w:p>
              </w:tc>
              <w:tc>
                <w:tcPr>
                  <w:tcW w:w="561" w:type="pct"/>
                  <w:shd w:val="clear" w:color="auto" w:fill="auto"/>
                  <w:vAlign w:val="center"/>
                </w:tcPr>
                <w:p w14:paraId="6CE03545">
                  <w:pPr>
                    <w:jc w:val="center"/>
                    <w:rPr>
                      <w:rFonts w:hint="default" w:eastAsia="等线"/>
                      <w:color w:val="auto"/>
                      <w:sz w:val="21"/>
                      <w:szCs w:val="21"/>
                      <w:lang w:val="en-US"/>
                    </w:rPr>
                  </w:pPr>
                  <w:r>
                    <w:rPr>
                      <w:rFonts w:hint="eastAsia"/>
                      <w:color w:val="auto"/>
                      <w:sz w:val="21"/>
                      <w:szCs w:val="21"/>
                      <w:lang w:val="en-US" w:eastAsia="zh-CN"/>
                    </w:rPr>
                    <w:t>35</w:t>
                  </w:r>
                </w:p>
              </w:tc>
              <w:tc>
                <w:tcPr>
                  <w:tcW w:w="975" w:type="dxa"/>
                  <w:shd w:val="clear" w:color="auto" w:fill="auto"/>
                  <w:vAlign w:val="center"/>
                </w:tcPr>
                <w:p w14:paraId="331100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1.6800</w:t>
                  </w:r>
                </w:p>
              </w:tc>
              <w:tc>
                <w:tcPr>
                  <w:tcW w:w="298" w:type="pct"/>
                  <w:vMerge w:val="continue"/>
                  <w:shd w:val="clear" w:color="auto" w:fill="auto"/>
                  <w:vAlign w:val="center"/>
                </w:tcPr>
                <w:p w14:paraId="2C4E4A7F">
                  <w:pPr>
                    <w:adjustRightInd w:val="0"/>
                    <w:snapToGrid w:val="0"/>
                    <w:jc w:val="center"/>
                    <w:rPr>
                      <w:color w:val="auto"/>
                      <w:sz w:val="21"/>
                      <w:szCs w:val="21"/>
                    </w:rPr>
                  </w:pPr>
                </w:p>
              </w:tc>
            </w:tr>
          </w:tbl>
          <w:p w14:paraId="1B8A0204">
            <w:pPr>
              <w:spacing w:before="240" w:beforeLines="100"/>
              <w:ind w:firstLine="482" w:firstLineChars="200"/>
              <w:jc w:val="center"/>
              <w:rPr>
                <w:b/>
                <w:color w:val="auto"/>
                <w:sz w:val="24"/>
              </w:rPr>
            </w:pPr>
            <w:r>
              <w:rPr>
                <w:rFonts w:hint="eastAsia"/>
                <w:b/>
                <w:color w:val="auto"/>
                <w:sz w:val="24"/>
                <w:lang w:val="en-US" w:eastAsia="zh-CN"/>
              </w:rPr>
              <w:t>表4-13 扩建后全厂</w:t>
            </w:r>
            <w:r>
              <w:rPr>
                <w:b/>
                <w:color w:val="auto"/>
                <w:sz w:val="24"/>
              </w:rPr>
              <w:t>废水污染源源强核算结果及相关参数一览表</w:t>
            </w:r>
          </w:p>
          <w:tbl>
            <w:tblPr>
              <w:tblStyle w:val="32"/>
              <w:tblW w:w="48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056"/>
              <w:gridCol w:w="1244"/>
              <w:gridCol w:w="1155"/>
              <w:gridCol w:w="1094"/>
              <w:gridCol w:w="1128"/>
              <w:gridCol w:w="1319"/>
            </w:tblGrid>
            <w:tr w14:paraId="24CB2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restart"/>
                  <w:tcBorders>
                    <w:top w:val="single" w:color="auto" w:sz="12" w:space="0"/>
                    <w:bottom w:val="single" w:color="auto" w:sz="4" w:space="0"/>
                  </w:tcBorders>
                  <w:shd w:val="clear" w:color="auto" w:fill="auto"/>
                  <w:vAlign w:val="center"/>
                </w:tcPr>
                <w:p w14:paraId="6B70D9E4">
                  <w:pPr>
                    <w:adjustRightInd w:val="0"/>
                    <w:snapToGrid w:val="0"/>
                    <w:jc w:val="center"/>
                    <w:rPr>
                      <w:b/>
                      <w:color w:val="auto"/>
                      <w:sz w:val="18"/>
                      <w:szCs w:val="18"/>
                    </w:rPr>
                  </w:pPr>
                  <w:r>
                    <w:rPr>
                      <w:b/>
                      <w:color w:val="auto"/>
                      <w:sz w:val="18"/>
                      <w:szCs w:val="18"/>
                    </w:rPr>
                    <w:t>工序</w:t>
                  </w:r>
                </w:p>
              </w:tc>
              <w:tc>
                <w:tcPr>
                  <w:tcW w:w="638" w:type="pct"/>
                  <w:vMerge w:val="restart"/>
                  <w:tcBorders>
                    <w:top w:val="single" w:color="auto" w:sz="12" w:space="0"/>
                    <w:bottom w:val="single" w:color="auto" w:sz="4" w:space="0"/>
                  </w:tcBorders>
                  <w:shd w:val="clear" w:color="auto" w:fill="auto"/>
                  <w:vAlign w:val="center"/>
                </w:tcPr>
                <w:p w14:paraId="5CCCFDE1">
                  <w:pPr>
                    <w:adjustRightInd w:val="0"/>
                    <w:snapToGrid w:val="0"/>
                    <w:jc w:val="center"/>
                    <w:rPr>
                      <w:b/>
                      <w:color w:val="auto"/>
                      <w:sz w:val="18"/>
                      <w:szCs w:val="18"/>
                    </w:rPr>
                  </w:pPr>
                  <w:r>
                    <w:rPr>
                      <w:b/>
                      <w:color w:val="auto"/>
                      <w:sz w:val="18"/>
                      <w:szCs w:val="18"/>
                    </w:rPr>
                    <w:t>污染物</w:t>
                  </w:r>
                </w:p>
              </w:tc>
              <w:tc>
                <w:tcPr>
                  <w:tcW w:w="1450" w:type="pct"/>
                  <w:gridSpan w:val="2"/>
                  <w:tcBorders>
                    <w:top w:val="single" w:color="auto" w:sz="12" w:space="0"/>
                    <w:bottom w:val="single" w:color="auto" w:sz="4" w:space="0"/>
                  </w:tcBorders>
                  <w:shd w:val="clear" w:color="auto" w:fill="auto"/>
                  <w:vAlign w:val="center"/>
                </w:tcPr>
                <w:p w14:paraId="024AEB87">
                  <w:pPr>
                    <w:adjustRightInd w:val="0"/>
                    <w:snapToGrid w:val="0"/>
                    <w:jc w:val="center"/>
                    <w:rPr>
                      <w:b/>
                      <w:color w:val="auto"/>
                      <w:sz w:val="18"/>
                      <w:szCs w:val="18"/>
                    </w:rPr>
                  </w:pPr>
                  <w:r>
                    <w:rPr>
                      <w:rFonts w:hint="eastAsia"/>
                      <w:b/>
                      <w:color w:val="auto"/>
                      <w:sz w:val="18"/>
                      <w:szCs w:val="18"/>
                      <w:lang w:eastAsia="zh-CN"/>
                    </w:rPr>
                    <w:t>污染物接管量</w:t>
                  </w:r>
                </w:p>
              </w:tc>
              <w:tc>
                <w:tcPr>
                  <w:tcW w:w="1343" w:type="pct"/>
                  <w:gridSpan w:val="2"/>
                  <w:tcBorders>
                    <w:top w:val="single" w:color="auto" w:sz="12" w:space="0"/>
                    <w:bottom w:val="single" w:color="auto" w:sz="4" w:space="0"/>
                  </w:tcBorders>
                  <w:shd w:val="clear" w:color="auto" w:fill="auto"/>
                  <w:vAlign w:val="center"/>
                </w:tcPr>
                <w:p w14:paraId="36845D25">
                  <w:pPr>
                    <w:adjustRightInd w:val="0"/>
                    <w:snapToGrid w:val="0"/>
                    <w:jc w:val="center"/>
                    <w:rPr>
                      <w:b/>
                      <w:color w:val="auto"/>
                      <w:sz w:val="18"/>
                      <w:szCs w:val="18"/>
                    </w:rPr>
                  </w:pPr>
                  <w:r>
                    <w:rPr>
                      <w:b/>
                      <w:color w:val="auto"/>
                      <w:sz w:val="18"/>
                      <w:szCs w:val="18"/>
                    </w:rPr>
                    <w:t>污染物</w:t>
                  </w:r>
                  <w:r>
                    <w:rPr>
                      <w:rFonts w:hint="eastAsia"/>
                      <w:b/>
                      <w:color w:val="auto"/>
                      <w:sz w:val="18"/>
                      <w:szCs w:val="18"/>
                      <w:lang w:eastAsia="zh-CN"/>
                    </w:rPr>
                    <w:t>外排量</w:t>
                  </w:r>
                </w:p>
              </w:tc>
              <w:tc>
                <w:tcPr>
                  <w:tcW w:w="797" w:type="pct"/>
                  <w:vMerge w:val="restart"/>
                  <w:tcBorders>
                    <w:top w:val="single" w:color="auto" w:sz="12" w:space="0"/>
                    <w:bottom w:val="single" w:color="auto" w:sz="4" w:space="0"/>
                  </w:tcBorders>
                  <w:shd w:val="clear" w:color="auto" w:fill="auto"/>
                  <w:vAlign w:val="center"/>
                </w:tcPr>
                <w:p w14:paraId="50738B58">
                  <w:pPr>
                    <w:adjustRightInd w:val="0"/>
                    <w:snapToGrid w:val="0"/>
                    <w:jc w:val="center"/>
                    <w:rPr>
                      <w:b/>
                      <w:bCs/>
                      <w:color w:val="auto"/>
                      <w:sz w:val="18"/>
                      <w:szCs w:val="18"/>
                    </w:rPr>
                  </w:pPr>
                  <w:r>
                    <w:rPr>
                      <w:b/>
                      <w:bCs/>
                      <w:color w:val="auto"/>
                      <w:sz w:val="18"/>
                      <w:szCs w:val="18"/>
                    </w:rPr>
                    <w:t>排放时间/h</w:t>
                  </w:r>
                </w:p>
              </w:tc>
            </w:tr>
            <w:tr w14:paraId="29F20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tcBorders>
                    <w:top w:val="single" w:color="auto" w:sz="4" w:space="0"/>
                    <w:bottom w:val="single" w:color="auto" w:sz="12" w:space="0"/>
                  </w:tcBorders>
                  <w:shd w:val="clear" w:color="auto" w:fill="auto"/>
                  <w:vAlign w:val="center"/>
                </w:tcPr>
                <w:p w14:paraId="2A8932D6">
                  <w:pPr>
                    <w:adjustRightInd w:val="0"/>
                    <w:snapToGrid w:val="0"/>
                    <w:jc w:val="center"/>
                    <w:rPr>
                      <w:b/>
                      <w:color w:val="auto"/>
                      <w:sz w:val="18"/>
                      <w:szCs w:val="18"/>
                    </w:rPr>
                  </w:pPr>
                </w:p>
              </w:tc>
              <w:tc>
                <w:tcPr>
                  <w:tcW w:w="638" w:type="pct"/>
                  <w:vMerge w:val="continue"/>
                  <w:tcBorders>
                    <w:top w:val="single" w:color="auto" w:sz="4" w:space="0"/>
                    <w:bottom w:val="single" w:color="auto" w:sz="12" w:space="0"/>
                  </w:tcBorders>
                  <w:shd w:val="clear" w:color="auto" w:fill="auto"/>
                  <w:vAlign w:val="center"/>
                </w:tcPr>
                <w:p w14:paraId="72DF96A2">
                  <w:pPr>
                    <w:adjustRightInd w:val="0"/>
                    <w:snapToGrid w:val="0"/>
                    <w:jc w:val="center"/>
                    <w:rPr>
                      <w:b/>
                      <w:color w:val="auto"/>
                      <w:sz w:val="18"/>
                      <w:szCs w:val="18"/>
                    </w:rPr>
                  </w:pPr>
                </w:p>
              </w:tc>
              <w:tc>
                <w:tcPr>
                  <w:tcW w:w="752" w:type="pct"/>
                  <w:tcBorders>
                    <w:top w:val="single" w:color="auto" w:sz="4" w:space="0"/>
                    <w:bottom w:val="single" w:color="auto" w:sz="12" w:space="0"/>
                  </w:tcBorders>
                  <w:shd w:val="clear" w:color="auto" w:fill="auto"/>
                  <w:vAlign w:val="center"/>
                </w:tcPr>
                <w:p w14:paraId="20C2CD51">
                  <w:pPr>
                    <w:adjustRightInd w:val="0"/>
                    <w:snapToGrid w:val="0"/>
                    <w:jc w:val="center"/>
                    <w:rPr>
                      <w:b/>
                      <w:color w:val="auto"/>
                      <w:sz w:val="18"/>
                      <w:szCs w:val="18"/>
                    </w:rPr>
                  </w:pPr>
                  <w:r>
                    <w:rPr>
                      <w:b/>
                      <w:color w:val="auto"/>
                      <w:sz w:val="18"/>
                      <w:szCs w:val="18"/>
                    </w:rPr>
                    <w:t>产生废水量/（t/a）</w:t>
                  </w:r>
                </w:p>
              </w:tc>
              <w:tc>
                <w:tcPr>
                  <w:tcW w:w="698" w:type="pct"/>
                  <w:tcBorders>
                    <w:top w:val="single" w:color="auto" w:sz="4" w:space="0"/>
                    <w:bottom w:val="single" w:color="auto" w:sz="12" w:space="0"/>
                  </w:tcBorders>
                  <w:shd w:val="clear" w:color="auto" w:fill="auto"/>
                  <w:vAlign w:val="center"/>
                </w:tcPr>
                <w:p w14:paraId="6E72ABC4">
                  <w:pPr>
                    <w:adjustRightInd w:val="0"/>
                    <w:snapToGrid w:val="0"/>
                    <w:jc w:val="center"/>
                    <w:rPr>
                      <w:b/>
                      <w:color w:val="auto"/>
                      <w:sz w:val="18"/>
                      <w:szCs w:val="18"/>
                    </w:rPr>
                  </w:pPr>
                  <w:r>
                    <w:rPr>
                      <w:b/>
                      <w:color w:val="auto"/>
                      <w:sz w:val="18"/>
                      <w:szCs w:val="18"/>
                    </w:rPr>
                    <w:t>产生量/（t/a）</w:t>
                  </w:r>
                </w:p>
              </w:tc>
              <w:tc>
                <w:tcPr>
                  <w:tcW w:w="661" w:type="pct"/>
                  <w:tcBorders>
                    <w:top w:val="single" w:color="auto" w:sz="4" w:space="0"/>
                    <w:bottom w:val="single" w:color="auto" w:sz="12" w:space="0"/>
                  </w:tcBorders>
                  <w:shd w:val="clear" w:color="auto" w:fill="auto"/>
                  <w:vAlign w:val="center"/>
                </w:tcPr>
                <w:p w14:paraId="481DD5F6">
                  <w:pPr>
                    <w:adjustRightInd w:val="0"/>
                    <w:snapToGrid w:val="0"/>
                    <w:jc w:val="center"/>
                    <w:rPr>
                      <w:b/>
                      <w:color w:val="auto"/>
                      <w:sz w:val="18"/>
                      <w:szCs w:val="18"/>
                    </w:rPr>
                  </w:pPr>
                  <w:r>
                    <w:rPr>
                      <w:b/>
                      <w:color w:val="auto"/>
                      <w:sz w:val="18"/>
                      <w:szCs w:val="18"/>
                    </w:rPr>
                    <w:t>排放废水量（t/a）</w:t>
                  </w:r>
                </w:p>
              </w:tc>
              <w:tc>
                <w:tcPr>
                  <w:tcW w:w="681" w:type="pct"/>
                  <w:tcBorders>
                    <w:top w:val="single" w:color="auto" w:sz="4" w:space="0"/>
                    <w:bottom w:val="single" w:color="auto" w:sz="12" w:space="0"/>
                  </w:tcBorders>
                  <w:shd w:val="clear" w:color="auto" w:fill="auto"/>
                  <w:vAlign w:val="center"/>
                </w:tcPr>
                <w:p w14:paraId="6E473100">
                  <w:pPr>
                    <w:adjustRightInd w:val="0"/>
                    <w:snapToGrid w:val="0"/>
                    <w:jc w:val="center"/>
                    <w:rPr>
                      <w:b/>
                      <w:color w:val="auto"/>
                      <w:sz w:val="18"/>
                      <w:szCs w:val="18"/>
                    </w:rPr>
                  </w:pPr>
                  <w:r>
                    <w:rPr>
                      <w:b/>
                      <w:color w:val="auto"/>
                      <w:sz w:val="18"/>
                      <w:szCs w:val="18"/>
                    </w:rPr>
                    <w:t>排放量（t/a）</w:t>
                  </w:r>
                </w:p>
              </w:tc>
              <w:tc>
                <w:tcPr>
                  <w:tcW w:w="797" w:type="pct"/>
                  <w:vMerge w:val="continue"/>
                  <w:tcBorders>
                    <w:bottom w:val="single" w:color="auto" w:sz="12" w:space="0"/>
                  </w:tcBorders>
                  <w:shd w:val="clear" w:color="auto" w:fill="auto"/>
                  <w:vAlign w:val="center"/>
                </w:tcPr>
                <w:p w14:paraId="072C3C5F">
                  <w:pPr>
                    <w:adjustRightInd w:val="0"/>
                    <w:snapToGrid w:val="0"/>
                    <w:jc w:val="center"/>
                    <w:rPr>
                      <w:color w:val="auto"/>
                      <w:sz w:val="18"/>
                      <w:szCs w:val="18"/>
                    </w:rPr>
                  </w:pPr>
                </w:p>
              </w:tc>
            </w:tr>
            <w:tr w14:paraId="723B8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restart"/>
                  <w:tcBorders>
                    <w:top w:val="single" w:color="auto" w:sz="12" w:space="0"/>
                  </w:tcBorders>
                  <w:shd w:val="clear" w:color="auto" w:fill="auto"/>
                  <w:vAlign w:val="center"/>
                </w:tcPr>
                <w:p w14:paraId="390C072B">
                  <w:pPr>
                    <w:adjustRightInd w:val="0"/>
                    <w:snapToGrid w:val="0"/>
                    <w:jc w:val="center"/>
                    <w:rPr>
                      <w:color w:val="auto"/>
                      <w:sz w:val="18"/>
                      <w:szCs w:val="18"/>
                    </w:rPr>
                  </w:pPr>
                  <w:r>
                    <w:rPr>
                      <w:color w:val="auto"/>
                      <w:sz w:val="18"/>
                      <w:szCs w:val="18"/>
                    </w:rPr>
                    <w:t>综合废水（生产废水+生活污水）</w:t>
                  </w:r>
                </w:p>
              </w:tc>
              <w:tc>
                <w:tcPr>
                  <w:tcW w:w="638" w:type="pct"/>
                  <w:tcBorders>
                    <w:top w:val="single" w:color="auto" w:sz="12" w:space="0"/>
                  </w:tcBorders>
                  <w:shd w:val="clear" w:color="auto" w:fill="auto"/>
                  <w:vAlign w:val="center"/>
                </w:tcPr>
                <w:p w14:paraId="5DC780F5">
                  <w:pPr>
                    <w:adjustRightInd w:val="0"/>
                    <w:snapToGrid w:val="0"/>
                    <w:jc w:val="center"/>
                    <w:rPr>
                      <w:color w:val="auto"/>
                      <w:sz w:val="18"/>
                      <w:szCs w:val="18"/>
                    </w:rPr>
                  </w:pPr>
                  <w:r>
                    <w:rPr>
                      <w:color w:val="auto"/>
                      <w:sz w:val="18"/>
                      <w:szCs w:val="18"/>
                    </w:rPr>
                    <w:t>COD</w:t>
                  </w:r>
                </w:p>
              </w:tc>
              <w:tc>
                <w:tcPr>
                  <w:tcW w:w="1244" w:type="dxa"/>
                  <w:vMerge w:val="restart"/>
                  <w:tcBorders>
                    <w:top w:val="single" w:color="auto" w:sz="12" w:space="0"/>
                  </w:tcBorders>
                  <w:shd w:val="clear" w:color="auto" w:fill="auto"/>
                  <w:vAlign w:val="center"/>
                </w:tcPr>
                <w:p w14:paraId="00D3FC77">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341221</w:t>
                  </w:r>
                </w:p>
              </w:tc>
              <w:tc>
                <w:tcPr>
                  <w:tcW w:w="1155" w:type="dxa"/>
                  <w:tcBorders>
                    <w:top w:val="single" w:color="auto" w:sz="12" w:space="0"/>
                  </w:tcBorders>
                  <w:shd w:val="clear" w:color="auto" w:fill="auto"/>
                  <w:vAlign w:val="center"/>
                </w:tcPr>
                <w:p w14:paraId="0332B04E">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43.8183</w:t>
                  </w:r>
                </w:p>
              </w:tc>
              <w:tc>
                <w:tcPr>
                  <w:tcW w:w="1094" w:type="dxa"/>
                  <w:vMerge w:val="restart"/>
                  <w:tcBorders>
                    <w:top w:val="single" w:color="auto" w:sz="12" w:space="0"/>
                  </w:tcBorders>
                  <w:shd w:val="clear" w:color="auto" w:fill="auto"/>
                  <w:vAlign w:val="center"/>
                </w:tcPr>
                <w:p w14:paraId="24A0773C">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341221</w:t>
                  </w:r>
                </w:p>
              </w:tc>
              <w:tc>
                <w:tcPr>
                  <w:tcW w:w="1128" w:type="dxa"/>
                  <w:tcBorders>
                    <w:top w:val="single" w:color="auto" w:sz="12" w:space="0"/>
                  </w:tcBorders>
                  <w:shd w:val="clear" w:color="auto" w:fill="auto"/>
                  <w:vAlign w:val="center"/>
                </w:tcPr>
                <w:p w14:paraId="434983A4">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17.0633</w:t>
                  </w:r>
                </w:p>
              </w:tc>
              <w:tc>
                <w:tcPr>
                  <w:tcW w:w="797" w:type="pct"/>
                  <w:vMerge w:val="restart"/>
                  <w:tcBorders>
                    <w:top w:val="single" w:color="auto" w:sz="12" w:space="0"/>
                  </w:tcBorders>
                  <w:shd w:val="clear" w:color="auto" w:fill="auto"/>
                  <w:vAlign w:val="center"/>
                </w:tcPr>
                <w:p w14:paraId="6181232D">
                  <w:pPr>
                    <w:adjustRightInd w:val="0"/>
                    <w:snapToGrid w:val="0"/>
                    <w:jc w:val="center"/>
                    <w:rPr>
                      <w:color w:val="auto"/>
                      <w:sz w:val="18"/>
                      <w:szCs w:val="18"/>
                    </w:rPr>
                  </w:pPr>
                  <w:r>
                    <w:rPr>
                      <w:color w:val="auto"/>
                      <w:sz w:val="18"/>
                      <w:szCs w:val="18"/>
                    </w:rPr>
                    <w:t>间歇排放</w:t>
                  </w:r>
                </w:p>
              </w:tc>
            </w:tr>
            <w:tr w14:paraId="341E1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7E034CEB">
                  <w:pPr>
                    <w:adjustRightInd w:val="0"/>
                    <w:snapToGrid w:val="0"/>
                    <w:jc w:val="center"/>
                    <w:rPr>
                      <w:color w:val="auto"/>
                      <w:sz w:val="18"/>
                      <w:szCs w:val="18"/>
                    </w:rPr>
                  </w:pPr>
                </w:p>
              </w:tc>
              <w:tc>
                <w:tcPr>
                  <w:tcW w:w="638" w:type="pct"/>
                  <w:shd w:val="clear" w:color="auto" w:fill="auto"/>
                  <w:vAlign w:val="center"/>
                </w:tcPr>
                <w:p w14:paraId="5EAB79B8">
                  <w:pPr>
                    <w:adjustRightInd w:val="0"/>
                    <w:snapToGrid w:val="0"/>
                    <w:jc w:val="center"/>
                    <w:rPr>
                      <w:color w:val="auto"/>
                      <w:sz w:val="18"/>
                      <w:szCs w:val="18"/>
                    </w:rPr>
                  </w:pPr>
                  <w:r>
                    <w:rPr>
                      <w:rFonts w:hint="eastAsia"/>
                      <w:color w:val="auto"/>
                      <w:sz w:val="18"/>
                      <w:szCs w:val="18"/>
                    </w:rPr>
                    <w:t>B</w:t>
                  </w:r>
                  <w:r>
                    <w:rPr>
                      <w:color w:val="auto"/>
                      <w:sz w:val="18"/>
                      <w:szCs w:val="18"/>
                    </w:rPr>
                    <w:t>OD</w:t>
                  </w:r>
                  <w:r>
                    <w:rPr>
                      <w:color w:val="auto"/>
                      <w:sz w:val="18"/>
                      <w:szCs w:val="18"/>
                      <w:vertAlign w:val="subscript"/>
                    </w:rPr>
                    <w:t>5</w:t>
                  </w:r>
                </w:p>
              </w:tc>
              <w:tc>
                <w:tcPr>
                  <w:tcW w:w="1244" w:type="dxa"/>
                  <w:vMerge w:val="continue"/>
                  <w:shd w:val="clear" w:color="auto" w:fill="auto"/>
                  <w:vAlign w:val="center"/>
                </w:tcPr>
                <w:p w14:paraId="2901D33E">
                  <w:pPr>
                    <w:jc w:val="center"/>
                    <w:rPr>
                      <w:color w:val="auto"/>
                      <w:sz w:val="18"/>
                      <w:szCs w:val="18"/>
                    </w:rPr>
                  </w:pPr>
                </w:p>
              </w:tc>
              <w:tc>
                <w:tcPr>
                  <w:tcW w:w="1155" w:type="dxa"/>
                  <w:shd w:val="clear" w:color="auto" w:fill="auto"/>
                  <w:vAlign w:val="center"/>
                </w:tcPr>
                <w:p w14:paraId="415CC982">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29.5478</w:t>
                  </w:r>
                </w:p>
              </w:tc>
              <w:tc>
                <w:tcPr>
                  <w:tcW w:w="1094" w:type="dxa"/>
                  <w:vMerge w:val="continue"/>
                  <w:shd w:val="clear" w:color="auto" w:fill="auto"/>
                  <w:vAlign w:val="center"/>
                </w:tcPr>
                <w:p w14:paraId="76EAB814">
                  <w:pPr>
                    <w:jc w:val="center"/>
                    <w:rPr>
                      <w:rFonts w:hint="eastAsia"/>
                      <w:color w:val="auto"/>
                      <w:sz w:val="18"/>
                      <w:szCs w:val="18"/>
                      <w:lang w:val="en-US" w:eastAsia="zh-CN"/>
                    </w:rPr>
                  </w:pPr>
                </w:p>
              </w:tc>
              <w:tc>
                <w:tcPr>
                  <w:tcW w:w="1128" w:type="dxa"/>
                  <w:shd w:val="clear" w:color="auto" w:fill="auto"/>
                  <w:vAlign w:val="center"/>
                </w:tcPr>
                <w:p w14:paraId="30511F5A">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3.4187</w:t>
                  </w:r>
                </w:p>
              </w:tc>
              <w:tc>
                <w:tcPr>
                  <w:tcW w:w="797" w:type="pct"/>
                  <w:vMerge w:val="continue"/>
                  <w:shd w:val="clear" w:color="auto" w:fill="auto"/>
                  <w:vAlign w:val="center"/>
                </w:tcPr>
                <w:p w14:paraId="71761E21">
                  <w:pPr>
                    <w:adjustRightInd w:val="0"/>
                    <w:snapToGrid w:val="0"/>
                    <w:jc w:val="center"/>
                    <w:rPr>
                      <w:color w:val="auto"/>
                      <w:sz w:val="18"/>
                      <w:szCs w:val="18"/>
                    </w:rPr>
                  </w:pPr>
                </w:p>
              </w:tc>
            </w:tr>
            <w:tr w14:paraId="5CB37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70" w:type="pct"/>
                  <w:vMerge w:val="continue"/>
                  <w:shd w:val="clear" w:color="auto" w:fill="auto"/>
                  <w:vAlign w:val="center"/>
                </w:tcPr>
                <w:p w14:paraId="11639BA9">
                  <w:pPr>
                    <w:adjustRightInd w:val="0"/>
                    <w:snapToGrid w:val="0"/>
                    <w:jc w:val="center"/>
                    <w:rPr>
                      <w:color w:val="auto"/>
                      <w:sz w:val="18"/>
                      <w:szCs w:val="18"/>
                    </w:rPr>
                  </w:pPr>
                </w:p>
              </w:tc>
              <w:tc>
                <w:tcPr>
                  <w:tcW w:w="638" w:type="pct"/>
                  <w:shd w:val="clear" w:color="auto" w:fill="auto"/>
                  <w:vAlign w:val="center"/>
                </w:tcPr>
                <w:p w14:paraId="009454C1">
                  <w:pPr>
                    <w:adjustRightInd w:val="0"/>
                    <w:snapToGrid w:val="0"/>
                    <w:jc w:val="center"/>
                    <w:rPr>
                      <w:color w:val="auto"/>
                      <w:sz w:val="18"/>
                      <w:szCs w:val="18"/>
                    </w:rPr>
                  </w:pPr>
                  <w:r>
                    <w:rPr>
                      <w:color w:val="auto"/>
                      <w:sz w:val="18"/>
                      <w:szCs w:val="18"/>
                    </w:rPr>
                    <w:t>SS</w:t>
                  </w:r>
                </w:p>
              </w:tc>
              <w:tc>
                <w:tcPr>
                  <w:tcW w:w="1244" w:type="dxa"/>
                  <w:vMerge w:val="continue"/>
                  <w:shd w:val="clear" w:color="auto" w:fill="auto"/>
                  <w:vAlign w:val="center"/>
                </w:tcPr>
                <w:p w14:paraId="50873EF7">
                  <w:pPr>
                    <w:jc w:val="center"/>
                    <w:rPr>
                      <w:color w:val="auto"/>
                      <w:sz w:val="18"/>
                      <w:szCs w:val="18"/>
                    </w:rPr>
                  </w:pPr>
                </w:p>
              </w:tc>
              <w:tc>
                <w:tcPr>
                  <w:tcW w:w="1155" w:type="dxa"/>
                  <w:shd w:val="clear" w:color="auto" w:fill="auto"/>
                  <w:vAlign w:val="center"/>
                </w:tcPr>
                <w:p w14:paraId="49E8A51D">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13.9330</w:t>
                  </w:r>
                </w:p>
              </w:tc>
              <w:tc>
                <w:tcPr>
                  <w:tcW w:w="1094" w:type="dxa"/>
                  <w:vMerge w:val="continue"/>
                  <w:shd w:val="clear" w:color="auto" w:fill="auto"/>
                  <w:vAlign w:val="center"/>
                </w:tcPr>
                <w:p w14:paraId="2AEB3237">
                  <w:pPr>
                    <w:jc w:val="center"/>
                    <w:rPr>
                      <w:rFonts w:hint="eastAsia"/>
                      <w:color w:val="auto"/>
                      <w:sz w:val="18"/>
                      <w:szCs w:val="18"/>
                      <w:lang w:val="en-US" w:eastAsia="zh-CN"/>
                    </w:rPr>
                  </w:pPr>
                </w:p>
              </w:tc>
              <w:tc>
                <w:tcPr>
                  <w:tcW w:w="1128" w:type="dxa"/>
                  <w:shd w:val="clear" w:color="auto" w:fill="auto"/>
                  <w:vAlign w:val="center"/>
                </w:tcPr>
                <w:p w14:paraId="685C4307">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3.4187</w:t>
                  </w:r>
                </w:p>
              </w:tc>
              <w:tc>
                <w:tcPr>
                  <w:tcW w:w="797" w:type="pct"/>
                  <w:vMerge w:val="continue"/>
                  <w:shd w:val="clear" w:color="auto" w:fill="auto"/>
                  <w:vAlign w:val="center"/>
                </w:tcPr>
                <w:p w14:paraId="16DE0F16">
                  <w:pPr>
                    <w:adjustRightInd w:val="0"/>
                    <w:snapToGrid w:val="0"/>
                    <w:jc w:val="center"/>
                    <w:rPr>
                      <w:color w:val="auto"/>
                      <w:sz w:val="18"/>
                      <w:szCs w:val="18"/>
                    </w:rPr>
                  </w:pPr>
                </w:p>
              </w:tc>
            </w:tr>
            <w:tr w14:paraId="30725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7320BBBD">
                  <w:pPr>
                    <w:adjustRightInd w:val="0"/>
                    <w:snapToGrid w:val="0"/>
                    <w:jc w:val="center"/>
                    <w:rPr>
                      <w:color w:val="auto"/>
                      <w:sz w:val="18"/>
                      <w:szCs w:val="18"/>
                    </w:rPr>
                  </w:pPr>
                </w:p>
              </w:tc>
              <w:tc>
                <w:tcPr>
                  <w:tcW w:w="638" w:type="pct"/>
                  <w:shd w:val="clear" w:color="auto" w:fill="auto"/>
                  <w:vAlign w:val="center"/>
                </w:tcPr>
                <w:p w14:paraId="71A8E1AD">
                  <w:pPr>
                    <w:adjustRightInd w:val="0"/>
                    <w:snapToGrid w:val="0"/>
                    <w:jc w:val="center"/>
                    <w:rPr>
                      <w:color w:val="auto"/>
                      <w:sz w:val="18"/>
                      <w:szCs w:val="18"/>
                    </w:rPr>
                  </w:pPr>
                  <w:r>
                    <w:rPr>
                      <w:color w:val="auto"/>
                      <w:sz w:val="18"/>
                      <w:szCs w:val="18"/>
                    </w:rPr>
                    <w:t>氨氮</w:t>
                  </w:r>
                </w:p>
              </w:tc>
              <w:tc>
                <w:tcPr>
                  <w:tcW w:w="1244" w:type="dxa"/>
                  <w:vMerge w:val="continue"/>
                  <w:shd w:val="clear" w:color="auto" w:fill="auto"/>
                  <w:vAlign w:val="center"/>
                </w:tcPr>
                <w:p w14:paraId="096E8D72">
                  <w:pPr>
                    <w:jc w:val="center"/>
                    <w:rPr>
                      <w:color w:val="auto"/>
                      <w:sz w:val="18"/>
                      <w:szCs w:val="18"/>
                    </w:rPr>
                  </w:pPr>
                </w:p>
              </w:tc>
              <w:tc>
                <w:tcPr>
                  <w:tcW w:w="1155" w:type="dxa"/>
                  <w:shd w:val="clear" w:color="auto" w:fill="auto"/>
                  <w:vAlign w:val="center"/>
                </w:tcPr>
                <w:p w14:paraId="0FCF04BB">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0.9611</w:t>
                  </w:r>
                </w:p>
              </w:tc>
              <w:tc>
                <w:tcPr>
                  <w:tcW w:w="1094" w:type="dxa"/>
                  <w:vMerge w:val="continue"/>
                  <w:shd w:val="clear" w:color="auto" w:fill="auto"/>
                  <w:vAlign w:val="center"/>
                </w:tcPr>
                <w:p w14:paraId="56BB4E24">
                  <w:pPr>
                    <w:jc w:val="center"/>
                    <w:rPr>
                      <w:rFonts w:hint="eastAsia"/>
                      <w:color w:val="auto"/>
                      <w:sz w:val="18"/>
                      <w:szCs w:val="18"/>
                      <w:lang w:val="en-US" w:eastAsia="zh-CN"/>
                    </w:rPr>
                  </w:pPr>
                </w:p>
              </w:tc>
              <w:tc>
                <w:tcPr>
                  <w:tcW w:w="1128" w:type="dxa"/>
                  <w:shd w:val="clear" w:color="auto" w:fill="auto"/>
                  <w:vAlign w:val="center"/>
                </w:tcPr>
                <w:p w14:paraId="430DFB31">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0.6737</w:t>
                  </w:r>
                </w:p>
              </w:tc>
              <w:tc>
                <w:tcPr>
                  <w:tcW w:w="797" w:type="pct"/>
                  <w:vMerge w:val="continue"/>
                  <w:shd w:val="clear" w:color="auto" w:fill="auto"/>
                  <w:vAlign w:val="center"/>
                </w:tcPr>
                <w:p w14:paraId="78749E29">
                  <w:pPr>
                    <w:adjustRightInd w:val="0"/>
                    <w:snapToGrid w:val="0"/>
                    <w:jc w:val="center"/>
                    <w:rPr>
                      <w:color w:val="auto"/>
                      <w:sz w:val="18"/>
                      <w:szCs w:val="18"/>
                    </w:rPr>
                  </w:pPr>
                </w:p>
              </w:tc>
            </w:tr>
            <w:tr w14:paraId="5AE65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7D3423E0">
                  <w:pPr>
                    <w:adjustRightInd w:val="0"/>
                    <w:snapToGrid w:val="0"/>
                    <w:jc w:val="center"/>
                    <w:rPr>
                      <w:color w:val="auto"/>
                      <w:sz w:val="18"/>
                      <w:szCs w:val="18"/>
                    </w:rPr>
                  </w:pPr>
                </w:p>
              </w:tc>
              <w:tc>
                <w:tcPr>
                  <w:tcW w:w="638" w:type="pct"/>
                  <w:shd w:val="clear" w:color="auto" w:fill="auto"/>
                  <w:vAlign w:val="center"/>
                </w:tcPr>
                <w:p w14:paraId="540C95A3">
                  <w:pPr>
                    <w:adjustRightInd w:val="0"/>
                    <w:snapToGrid w:val="0"/>
                    <w:jc w:val="center"/>
                    <w:rPr>
                      <w:color w:val="auto"/>
                      <w:sz w:val="18"/>
                      <w:szCs w:val="18"/>
                    </w:rPr>
                  </w:pPr>
                  <w:r>
                    <w:rPr>
                      <w:color w:val="auto"/>
                      <w:sz w:val="18"/>
                      <w:szCs w:val="18"/>
                    </w:rPr>
                    <w:t>总氮</w:t>
                  </w:r>
                </w:p>
              </w:tc>
              <w:tc>
                <w:tcPr>
                  <w:tcW w:w="1244" w:type="dxa"/>
                  <w:vMerge w:val="continue"/>
                  <w:shd w:val="clear" w:color="auto" w:fill="auto"/>
                  <w:vAlign w:val="center"/>
                </w:tcPr>
                <w:p w14:paraId="2666B6E6">
                  <w:pPr>
                    <w:jc w:val="center"/>
                    <w:rPr>
                      <w:color w:val="auto"/>
                      <w:sz w:val="18"/>
                      <w:szCs w:val="18"/>
                    </w:rPr>
                  </w:pPr>
                </w:p>
              </w:tc>
              <w:tc>
                <w:tcPr>
                  <w:tcW w:w="1155" w:type="dxa"/>
                  <w:shd w:val="clear" w:color="auto" w:fill="auto"/>
                  <w:vAlign w:val="center"/>
                </w:tcPr>
                <w:p w14:paraId="5F3A4F64">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1.8301</w:t>
                  </w:r>
                </w:p>
              </w:tc>
              <w:tc>
                <w:tcPr>
                  <w:tcW w:w="1094" w:type="dxa"/>
                  <w:vMerge w:val="continue"/>
                  <w:shd w:val="clear" w:color="auto" w:fill="auto"/>
                  <w:vAlign w:val="center"/>
                </w:tcPr>
                <w:p w14:paraId="245336DA">
                  <w:pPr>
                    <w:jc w:val="center"/>
                    <w:rPr>
                      <w:rFonts w:hint="eastAsia"/>
                      <w:color w:val="auto"/>
                      <w:sz w:val="18"/>
                      <w:szCs w:val="18"/>
                      <w:lang w:val="en-US" w:eastAsia="zh-CN"/>
                    </w:rPr>
                  </w:pPr>
                </w:p>
              </w:tc>
              <w:tc>
                <w:tcPr>
                  <w:tcW w:w="1128" w:type="dxa"/>
                  <w:shd w:val="clear" w:color="auto" w:fill="auto"/>
                  <w:vAlign w:val="center"/>
                </w:tcPr>
                <w:p w14:paraId="319E8F09">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1.0306</w:t>
                  </w:r>
                </w:p>
              </w:tc>
              <w:tc>
                <w:tcPr>
                  <w:tcW w:w="797" w:type="pct"/>
                  <w:vMerge w:val="continue"/>
                  <w:shd w:val="clear" w:color="auto" w:fill="auto"/>
                  <w:vAlign w:val="center"/>
                </w:tcPr>
                <w:p w14:paraId="2F751AB7">
                  <w:pPr>
                    <w:adjustRightInd w:val="0"/>
                    <w:snapToGrid w:val="0"/>
                    <w:jc w:val="center"/>
                    <w:rPr>
                      <w:color w:val="auto"/>
                      <w:sz w:val="18"/>
                      <w:szCs w:val="18"/>
                    </w:rPr>
                  </w:pPr>
                </w:p>
              </w:tc>
            </w:tr>
            <w:tr w14:paraId="6BC8C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4B6FB43D">
                  <w:pPr>
                    <w:adjustRightInd w:val="0"/>
                    <w:snapToGrid w:val="0"/>
                    <w:jc w:val="center"/>
                    <w:rPr>
                      <w:color w:val="auto"/>
                      <w:sz w:val="18"/>
                      <w:szCs w:val="18"/>
                    </w:rPr>
                  </w:pPr>
                </w:p>
              </w:tc>
              <w:tc>
                <w:tcPr>
                  <w:tcW w:w="638" w:type="pct"/>
                  <w:shd w:val="clear" w:color="auto" w:fill="auto"/>
                  <w:vAlign w:val="center"/>
                </w:tcPr>
                <w:p w14:paraId="5BD7290F">
                  <w:pPr>
                    <w:adjustRightInd w:val="0"/>
                    <w:snapToGrid w:val="0"/>
                    <w:jc w:val="center"/>
                    <w:rPr>
                      <w:color w:val="auto"/>
                      <w:sz w:val="18"/>
                      <w:szCs w:val="18"/>
                    </w:rPr>
                  </w:pPr>
                  <w:r>
                    <w:rPr>
                      <w:color w:val="auto"/>
                      <w:sz w:val="18"/>
                      <w:szCs w:val="18"/>
                    </w:rPr>
                    <w:t>总磷</w:t>
                  </w:r>
                </w:p>
              </w:tc>
              <w:tc>
                <w:tcPr>
                  <w:tcW w:w="1244" w:type="dxa"/>
                  <w:vMerge w:val="continue"/>
                  <w:shd w:val="clear" w:color="auto" w:fill="auto"/>
                  <w:vAlign w:val="center"/>
                </w:tcPr>
                <w:p w14:paraId="7C881DF7">
                  <w:pPr>
                    <w:jc w:val="center"/>
                    <w:rPr>
                      <w:color w:val="auto"/>
                      <w:sz w:val="18"/>
                      <w:szCs w:val="18"/>
                    </w:rPr>
                  </w:pPr>
                </w:p>
              </w:tc>
              <w:tc>
                <w:tcPr>
                  <w:tcW w:w="1155" w:type="dxa"/>
                  <w:shd w:val="clear" w:color="auto" w:fill="auto"/>
                  <w:vAlign w:val="center"/>
                </w:tcPr>
                <w:p w14:paraId="73089085">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0.1747</w:t>
                  </w:r>
                </w:p>
              </w:tc>
              <w:tc>
                <w:tcPr>
                  <w:tcW w:w="1094" w:type="dxa"/>
                  <w:vMerge w:val="continue"/>
                  <w:shd w:val="clear" w:color="auto" w:fill="auto"/>
                  <w:vAlign w:val="center"/>
                </w:tcPr>
                <w:p w14:paraId="45B13E0A">
                  <w:pPr>
                    <w:jc w:val="center"/>
                    <w:rPr>
                      <w:rFonts w:hint="eastAsia"/>
                      <w:color w:val="auto"/>
                      <w:sz w:val="18"/>
                      <w:szCs w:val="18"/>
                      <w:lang w:val="en-US" w:eastAsia="zh-CN"/>
                    </w:rPr>
                  </w:pPr>
                </w:p>
              </w:tc>
              <w:tc>
                <w:tcPr>
                  <w:tcW w:w="1128" w:type="dxa"/>
                  <w:shd w:val="clear" w:color="auto" w:fill="auto"/>
                  <w:vAlign w:val="center"/>
                </w:tcPr>
                <w:p w14:paraId="528CAE64">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0.0827</w:t>
                  </w:r>
                </w:p>
              </w:tc>
              <w:tc>
                <w:tcPr>
                  <w:tcW w:w="797" w:type="pct"/>
                  <w:vMerge w:val="continue"/>
                  <w:shd w:val="clear" w:color="auto" w:fill="auto"/>
                  <w:vAlign w:val="center"/>
                </w:tcPr>
                <w:p w14:paraId="44C873A3">
                  <w:pPr>
                    <w:adjustRightInd w:val="0"/>
                    <w:snapToGrid w:val="0"/>
                    <w:jc w:val="center"/>
                    <w:rPr>
                      <w:color w:val="auto"/>
                      <w:sz w:val="18"/>
                      <w:szCs w:val="18"/>
                    </w:rPr>
                  </w:pPr>
                </w:p>
              </w:tc>
            </w:tr>
            <w:tr w14:paraId="5ADD7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70" w:type="pct"/>
                  <w:vMerge w:val="continue"/>
                  <w:shd w:val="clear" w:color="auto" w:fill="auto"/>
                  <w:vAlign w:val="center"/>
                </w:tcPr>
                <w:p w14:paraId="1849D897">
                  <w:pPr>
                    <w:adjustRightInd w:val="0"/>
                    <w:snapToGrid w:val="0"/>
                    <w:jc w:val="center"/>
                    <w:rPr>
                      <w:color w:val="auto"/>
                      <w:sz w:val="18"/>
                      <w:szCs w:val="18"/>
                    </w:rPr>
                  </w:pPr>
                </w:p>
              </w:tc>
              <w:tc>
                <w:tcPr>
                  <w:tcW w:w="638" w:type="pct"/>
                  <w:shd w:val="clear" w:color="auto" w:fill="auto"/>
                  <w:vAlign w:val="center"/>
                </w:tcPr>
                <w:p w14:paraId="7CDEE9DD">
                  <w:pPr>
                    <w:adjustRightInd w:val="0"/>
                    <w:snapToGrid w:val="0"/>
                    <w:jc w:val="center"/>
                    <w:rPr>
                      <w:color w:val="auto"/>
                      <w:sz w:val="18"/>
                      <w:szCs w:val="18"/>
                    </w:rPr>
                  </w:pPr>
                  <w:r>
                    <w:rPr>
                      <w:color w:val="auto"/>
                      <w:sz w:val="18"/>
                      <w:szCs w:val="18"/>
                    </w:rPr>
                    <w:t>动植物油</w:t>
                  </w:r>
                </w:p>
              </w:tc>
              <w:tc>
                <w:tcPr>
                  <w:tcW w:w="1244" w:type="dxa"/>
                  <w:vMerge w:val="continue"/>
                  <w:shd w:val="clear" w:color="auto" w:fill="auto"/>
                  <w:vAlign w:val="center"/>
                </w:tcPr>
                <w:p w14:paraId="00A0818F">
                  <w:pPr>
                    <w:jc w:val="center"/>
                    <w:rPr>
                      <w:color w:val="auto"/>
                      <w:sz w:val="18"/>
                      <w:szCs w:val="18"/>
                    </w:rPr>
                  </w:pPr>
                </w:p>
              </w:tc>
              <w:tc>
                <w:tcPr>
                  <w:tcW w:w="1155" w:type="dxa"/>
                  <w:shd w:val="clear" w:color="auto" w:fill="auto"/>
                  <w:vAlign w:val="center"/>
                </w:tcPr>
                <w:p w14:paraId="6F22DC7E">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0.0891</w:t>
                  </w:r>
                </w:p>
              </w:tc>
              <w:tc>
                <w:tcPr>
                  <w:tcW w:w="1094" w:type="dxa"/>
                  <w:vMerge w:val="continue"/>
                  <w:shd w:val="clear" w:color="auto" w:fill="auto"/>
                  <w:vAlign w:val="center"/>
                </w:tcPr>
                <w:p w14:paraId="79E21907">
                  <w:pPr>
                    <w:jc w:val="center"/>
                    <w:rPr>
                      <w:rFonts w:hint="eastAsia"/>
                      <w:color w:val="auto"/>
                      <w:sz w:val="18"/>
                      <w:szCs w:val="18"/>
                      <w:lang w:val="en-US" w:eastAsia="zh-CN"/>
                    </w:rPr>
                  </w:pPr>
                </w:p>
              </w:tc>
              <w:tc>
                <w:tcPr>
                  <w:tcW w:w="1128" w:type="dxa"/>
                  <w:shd w:val="clear" w:color="auto" w:fill="auto"/>
                  <w:vAlign w:val="center"/>
                </w:tcPr>
                <w:p w14:paraId="2EA92D43">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0.0694</w:t>
                  </w:r>
                </w:p>
              </w:tc>
              <w:tc>
                <w:tcPr>
                  <w:tcW w:w="797" w:type="pct"/>
                  <w:vMerge w:val="continue"/>
                  <w:shd w:val="clear" w:color="auto" w:fill="auto"/>
                  <w:vAlign w:val="center"/>
                </w:tcPr>
                <w:p w14:paraId="45CE0121">
                  <w:pPr>
                    <w:adjustRightInd w:val="0"/>
                    <w:snapToGrid w:val="0"/>
                    <w:jc w:val="center"/>
                    <w:rPr>
                      <w:color w:val="auto"/>
                      <w:sz w:val="18"/>
                      <w:szCs w:val="18"/>
                    </w:rPr>
                  </w:pPr>
                </w:p>
              </w:tc>
            </w:tr>
            <w:tr w14:paraId="43CA2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45D27332">
                  <w:pPr>
                    <w:adjustRightInd w:val="0"/>
                    <w:snapToGrid w:val="0"/>
                    <w:jc w:val="center"/>
                    <w:rPr>
                      <w:color w:val="auto"/>
                      <w:sz w:val="18"/>
                      <w:szCs w:val="18"/>
                    </w:rPr>
                  </w:pPr>
                </w:p>
              </w:tc>
              <w:tc>
                <w:tcPr>
                  <w:tcW w:w="638" w:type="pct"/>
                  <w:shd w:val="clear" w:color="auto" w:fill="auto"/>
                  <w:vAlign w:val="center"/>
                </w:tcPr>
                <w:p w14:paraId="2BFFFF89">
                  <w:pPr>
                    <w:adjustRightInd w:val="0"/>
                    <w:snapToGrid w:val="0"/>
                    <w:jc w:val="center"/>
                    <w:rPr>
                      <w:color w:val="auto"/>
                      <w:sz w:val="18"/>
                      <w:szCs w:val="18"/>
                    </w:rPr>
                  </w:pPr>
                  <w:r>
                    <w:rPr>
                      <w:color w:val="auto"/>
                      <w:sz w:val="18"/>
                      <w:szCs w:val="18"/>
                    </w:rPr>
                    <w:t>LAS</w:t>
                  </w:r>
                </w:p>
              </w:tc>
              <w:tc>
                <w:tcPr>
                  <w:tcW w:w="1244" w:type="dxa"/>
                  <w:vMerge w:val="continue"/>
                  <w:shd w:val="clear" w:color="auto" w:fill="auto"/>
                  <w:vAlign w:val="center"/>
                </w:tcPr>
                <w:p w14:paraId="77886B3B">
                  <w:pPr>
                    <w:jc w:val="center"/>
                    <w:rPr>
                      <w:color w:val="auto"/>
                      <w:sz w:val="18"/>
                      <w:szCs w:val="18"/>
                    </w:rPr>
                  </w:pPr>
                </w:p>
              </w:tc>
              <w:tc>
                <w:tcPr>
                  <w:tcW w:w="1155" w:type="dxa"/>
                  <w:shd w:val="clear" w:color="auto" w:fill="auto"/>
                  <w:vAlign w:val="center"/>
                </w:tcPr>
                <w:p w14:paraId="09AF2E08">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0.1918</w:t>
                  </w:r>
                </w:p>
              </w:tc>
              <w:tc>
                <w:tcPr>
                  <w:tcW w:w="1094" w:type="dxa"/>
                  <w:vMerge w:val="continue"/>
                  <w:shd w:val="clear" w:color="auto" w:fill="auto"/>
                  <w:vAlign w:val="center"/>
                </w:tcPr>
                <w:p w14:paraId="36415DF0">
                  <w:pPr>
                    <w:jc w:val="center"/>
                    <w:rPr>
                      <w:rFonts w:hint="eastAsia"/>
                      <w:color w:val="auto"/>
                      <w:sz w:val="18"/>
                      <w:szCs w:val="18"/>
                      <w:lang w:val="en-US" w:eastAsia="zh-CN"/>
                    </w:rPr>
                  </w:pPr>
                </w:p>
              </w:tc>
              <w:tc>
                <w:tcPr>
                  <w:tcW w:w="1128" w:type="dxa"/>
                  <w:shd w:val="clear" w:color="auto" w:fill="auto"/>
                  <w:vAlign w:val="center"/>
                </w:tcPr>
                <w:p w14:paraId="1BCE7A62">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0.1634</w:t>
                  </w:r>
                </w:p>
              </w:tc>
              <w:tc>
                <w:tcPr>
                  <w:tcW w:w="797" w:type="pct"/>
                  <w:vMerge w:val="continue"/>
                  <w:shd w:val="clear" w:color="auto" w:fill="auto"/>
                  <w:vAlign w:val="center"/>
                </w:tcPr>
                <w:p w14:paraId="1F25C519">
                  <w:pPr>
                    <w:adjustRightInd w:val="0"/>
                    <w:snapToGrid w:val="0"/>
                    <w:jc w:val="center"/>
                    <w:rPr>
                      <w:color w:val="auto"/>
                      <w:sz w:val="18"/>
                      <w:szCs w:val="18"/>
                    </w:rPr>
                  </w:pPr>
                </w:p>
              </w:tc>
            </w:tr>
            <w:tr w14:paraId="4CE8E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27FFB880">
                  <w:pPr>
                    <w:adjustRightInd w:val="0"/>
                    <w:snapToGrid w:val="0"/>
                    <w:jc w:val="center"/>
                    <w:rPr>
                      <w:color w:val="auto"/>
                      <w:sz w:val="18"/>
                      <w:szCs w:val="18"/>
                    </w:rPr>
                  </w:pPr>
                </w:p>
              </w:tc>
              <w:tc>
                <w:tcPr>
                  <w:tcW w:w="638" w:type="pct"/>
                  <w:shd w:val="clear" w:color="auto" w:fill="auto"/>
                  <w:vAlign w:val="center"/>
                </w:tcPr>
                <w:p w14:paraId="72C71EBA">
                  <w:pPr>
                    <w:adjustRightInd w:val="0"/>
                    <w:snapToGrid w:val="0"/>
                    <w:jc w:val="center"/>
                    <w:rPr>
                      <w:rFonts w:hint="eastAsia" w:eastAsia="宋体"/>
                      <w:color w:val="auto"/>
                      <w:sz w:val="18"/>
                      <w:szCs w:val="18"/>
                      <w:lang w:eastAsia="zh-CN"/>
                    </w:rPr>
                  </w:pPr>
                  <w:r>
                    <w:rPr>
                      <w:rFonts w:hint="eastAsia" w:cs="Times New Roman"/>
                      <w:color w:val="auto"/>
                      <w:sz w:val="18"/>
                      <w:szCs w:val="18"/>
                      <w:lang w:val="en-US" w:eastAsia="zh-CN"/>
                    </w:rPr>
                    <w:t>全盐量</w:t>
                  </w:r>
                </w:p>
              </w:tc>
              <w:tc>
                <w:tcPr>
                  <w:tcW w:w="1244" w:type="dxa"/>
                  <w:vMerge w:val="continue"/>
                  <w:shd w:val="clear" w:color="auto" w:fill="auto"/>
                  <w:vAlign w:val="center"/>
                </w:tcPr>
                <w:p w14:paraId="597D28A8">
                  <w:pPr>
                    <w:jc w:val="center"/>
                    <w:rPr>
                      <w:color w:val="auto"/>
                      <w:sz w:val="18"/>
                      <w:szCs w:val="18"/>
                    </w:rPr>
                  </w:pPr>
                </w:p>
              </w:tc>
              <w:tc>
                <w:tcPr>
                  <w:tcW w:w="1155" w:type="dxa"/>
                  <w:shd w:val="clear" w:color="auto" w:fill="auto"/>
                  <w:vAlign w:val="center"/>
                </w:tcPr>
                <w:p w14:paraId="5FFBC374">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1.6800</w:t>
                  </w:r>
                </w:p>
              </w:tc>
              <w:tc>
                <w:tcPr>
                  <w:tcW w:w="1094" w:type="dxa"/>
                  <w:vMerge w:val="continue"/>
                  <w:shd w:val="clear" w:color="auto" w:fill="auto"/>
                  <w:vAlign w:val="center"/>
                </w:tcPr>
                <w:p w14:paraId="30BB8E48">
                  <w:pPr>
                    <w:jc w:val="center"/>
                    <w:rPr>
                      <w:rFonts w:hint="eastAsia"/>
                      <w:color w:val="auto"/>
                      <w:sz w:val="18"/>
                      <w:szCs w:val="18"/>
                      <w:lang w:val="en-US" w:eastAsia="zh-CN"/>
                    </w:rPr>
                  </w:pPr>
                </w:p>
              </w:tc>
              <w:tc>
                <w:tcPr>
                  <w:tcW w:w="1128" w:type="dxa"/>
                  <w:shd w:val="clear" w:color="auto" w:fill="auto"/>
                  <w:vAlign w:val="center"/>
                </w:tcPr>
                <w:p w14:paraId="641481E4">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1.6800</w:t>
                  </w:r>
                </w:p>
              </w:tc>
              <w:tc>
                <w:tcPr>
                  <w:tcW w:w="797" w:type="pct"/>
                  <w:vMerge w:val="continue"/>
                  <w:shd w:val="clear" w:color="auto" w:fill="auto"/>
                  <w:vAlign w:val="center"/>
                </w:tcPr>
                <w:p w14:paraId="791DB65F">
                  <w:pPr>
                    <w:adjustRightInd w:val="0"/>
                    <w:snapToGrid w:val="0"/>
                    <w:jc w:val="center"/>
                    <w:rPr>
                      <w:color w:val="auto"/>
                      <w:sz w:val="18"/>
                      <w:szCs w:val="18"/>
                    </w:rPr>
                  </w:pPr>
                </w:p>
              </w:tc>
            </w:tr>
          </w:tbl>
          <w:p w14:paraId="30AD3BFC">
            <w:pPr>
              <w:spacing w:before="240" w:beforeLines="100"/>
              <w:ind w:firstLine="482" w:firstLineChars="200"/>
              <w:jc w:val="center"/>
              <w:rPr>
                <w:b/>
                <w:color w:val="auto"/>
                <w:sz w:val="24"/>
              </w:rPr>
            </w:pPr>
          </w:p>
          <w:p w14:paraId="0E07F43D">
            <w:pPr>
              <w:spacing w:before="240" w:beforeLines="100"/>
              <w:ind w:firstLine="482" w:firstLineChars="200"/>
              <w:jc w:val="center"/>
              <w:rPr>
                <w:b/>
                <w:color w:val="auto"/>
                <w:sz w:val="24"/>
              </w:rPr>
            </w:pPr>
            <w:r>
              <w:rPr>
                <w:b/>
                <w:color w:val="auto"/>
                <w:sz w:val="24"/>
              </w:rPr>
              <w:t>表4-1</w:t>
            </w:r>
            <w:r>
              <w:rPr>
                <w:rFonts w:hint="eastAsia"/>
                <w:b/>
                <w:color w:val="auto"/>
                <w:sz w:val="24"/>
                <w:lang w:val="en-US" w:eastAsia="zh-CN"/>
              </w:rPr>
              <w:t>4</w:t>
            </w:r>
            <w:r>
              <w:rPr>
                <w:b/>
                <w:color w:val="auto"/>
                <w:sz w:val="24"/>
              </w:rPr>
              <w:t xml:space="preserve"> 废水间接排放口基本信息</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8"/>
              <w:gridCol w:w="635"/>
              <w:gridCol w:w="883"/>
              <w:gridCol w:w="813"/>
              <w:gridCol w:w="647"/>
              <w:gridCol w:w="546"/>
              <w:gridCol w:w="843"/>
              <w:gridCol w:w="490"/>
              <w:gridCol w:w="727"/>
              <w:gridCol w:w="1074"/>
              <w:gridCol w:w="1322"/>
            </w:tblGrid>
            <w:tr w14:paraId="3EB89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shd w:val="clear" w:color="auto" w:fill="auto"/>
                  <w:vAlign w:val="center"/>
                </w:tcPr>
                <w:p w14:paraId="1C4C2F3B">
                  <w:pPr>
                    <w:adjustRightInd w:val="0"/>
                    <w:snapToGrid w:val="0"/>
                    <w:jc w:val="center"/>
                    <w:rPr>
                      <w:b/>
                      <w:color w:val="auto"/>
                      <w:kern w:val="0"/>
                      <w:szCs w:val="28"/>
                    </w:rPr>
                  </w:pPr>
                  <w:r>
                    <w:rPr>
                      <w:b/>
                      <w:color w:val="auto"/>
                      <w:kern w:val="0"/>
                      <w:szCs w:val="28"/>
                    </w:rPr>
                    <w:t>序号</w:t>
                  </w:r>
                </w:p>
              </w:tc>
              <w:tc>
                <w:tcPr>
                  <w:tcW w:w="372" w:type="pct"/>
                  <w:vMerge w:val="restart"/>
                  <w:shd w:val="clear" w:color="auto" w:fill="auto"/>
                  <w:vAlign w:val="center"/>
                </w:tcPr>
                <w:p w14:paraId="5959E769">
                  <w:pPr>
                    <w:adjustRightInd w:val="0"/>
                    <w:snapToGrid w:val="0"/>
                    <w:jc w:val="center"/>
                    <w:rPr>
                      <w:b/>
                      <w:color w:val="auto"/>
                      <w:kern w:val="0"/>
                      <w:szCs w:val="28"/>
                    </w:rPr>
                  </w:pPr>
                  <w:r>
                    <w:rPr>
                      <w:rFonts w:hint="eastAsia"/>
                      <w:b/>
                      <w:color w:val="auto"/>
                      <w:kern w:val="0"/>
                      <w:szCs w:val="28"/>
                    </w:rPr>
                    <w:t>排放口编号</w:t>
                  </w:r>
                </w:p>
              </w:tc>
              <w:tc>
                <w:tcPr>
                  <w:tcW w:w="993" w:type="pct"/>
                  <w:gridSpan w:val="2"/>
                  <w:shd w:val="clear" w:color="auto" w:fill="auto"/>
                  <w:vAlign w:val="center"/>
                </w:tcPr>
                <w:p w14:paraId="4247825F">
                  <w:pPr>
                    <w:adjustRightInd w:val="0"/>
                    <w:snapToGrid w:val="0"/>
                    <w:jc w:val="center"/>
                    <w:rPr>
                      <w:b/>
                      <w:color w:val="auto"/>
                      <w:kern w:val="0"/>
                      <w:szCs w:val="28"/>
                    </w:rPr>
                  </w:pPr>
                  <w:r>
                    <w:rPr>
                      <w:rFonts w:hint="eastAsia"/>
                      <w:b/>
                      <w:color w:val="auto"/>
                      <w:kern w:val="0"/>
                      <w:szCs w:val="28"/>
                    </w:rPr>
                    <w:t>排放口地理坐标</w:t>
                  </w:r>
                </w:p>
              </w:tc>
              <w:tc>
                <w:tcPr>
                  <w:tcW w:w="379" w:type="pct"/>
                  <w:vMerge w:val="restart"/>
                  <w:shd w:val="clear" w:color="auto" w:fill="auto"/>
                  <w:vAlign w:val="center"/>
                </w:tcPr>
                <w:p w14:paraId="767109FD">
                  <w:pPr>
                    <w:adjustRightInd w:val="0"/>
                    <w:snapToGrid w:val="0"/>
                    <w:jc w:val="center"/>
                    <w:rPr>
                      <w:b/>
                      <w:color w:val="auto"/>
                      <w:kern w:val="0"/>
                      <w:szCs w:val="28"/>
                    </w:rPr>
                  </w:pPr>
                  <w:r>
                    <w:rPr>
                      <w:rFonts w:hint="eastAsia"/>
                      <w:b/>
                      <w:color w:val="auto"/>
                      <w:kern w:val="0"/>
                      <w:szCs w:val="28"/>
                    </w:rPr>
                    <w:t>废水排放量/（万t</w:t>
                  </w:r>
                  <w:r>
                    <w:rPr>
                      <w:b/>
                      <w:color w:val="auto"/>
                      <w:kern w:val="0"/>
                      <w:szCs w:val="28"/>
                    </w:rPr>
                    <w:t>/a</w:t>
                  </w:r>
                  <w:r>
                    <w:rPr>
                      <w:rFonts w:hint="eastAsia"/>
                      <w:b/>
                      <w:color w:val="auto"/>
                      <w:kern w:val="0"/>
                      <w:szCs w:val="28"/>
                    </w:rPr>
                    <w:t>）</w:t>
                  </w:r>
                </w:p>
              </w:tc>
              <w:tc>
                <w:tcPr>
                  <w:tcW w:w="320" w:type="pct"/>
                  <w:vMerge w:val="restart"/>
                  <w:shd w:val="clear" w:color="auto" w:fill="auto"/>
                  <w:vAlign w:val="center"/>
                </w:tcPr>
                <w:p w14:paraId="0E8605E4">
                  <w:pPr>
                    <w:adjustRightInd w:val="0"/>
                    <w:snapToGrid w:val="0"/>
                    <w:jc w:val="center"/>
                    <w:rPr>
                      <w:b/>
                      <w:color w:val="auto"/>
                      <w:kern w:val="0"/>
                      <w:szCs w:val="28"/>
                    </w:rPr>
                  </w:pPr>
                  <w:r>
                    <w:rPr>
                      <w:rFonts w:hint="eastAsia"/>
                      <w:b/>
                      <w:color w:val="auto"/>
                      <w:kern w:val="0"/>
                      <w:szCs w:val="28"/>
                    </w:rPr>
                    <w:t>排放去向</w:t>
                  </w:r>
                </w:p>
              </w:tc>
              <w:tc>
                <w:tcPr>
                  <w:tcW w:w="494" w:type="pct"/>
                  <w:vMerge w:val="restart"/>
                  <w:shd w:val="clear" w:color="auto" w:fill="auto"/>
                  <w:vAlign w:val="center"/>
                </w:tcPr>
                <w:p w14:paraId="5D6FB1A7">
                  <w:pPr>
                    <w:adjustRightInd w:val="0"/>
                    <w:snapToGrid w:val="0"/>
                    <w:jc w:val="center"/>
                    <w:rPr>
                      <w:b/>
                      <w:color w:val="auto"/>
                      <w:kern w:val="0"/>
                      <w:szCs w:val="28"/>
                    </w:rPr>
                  </w:pPr>
                  <w:r>
                    <w:rPr>
                      <w:rFonts w:hint="eastAsia"/>
                      <w:b/>
                      <w:color w:val="auto"/>
                      <w:kern w:val="0"/>
                      <w:szCs w:val="28"/>
                    </w:rPr>
                    <w:t>排放规律</w:t>
                  </w:r>
                </w:p>
              </w:tc>
              <w:tc>
                <w:tcPr>
                  <w:tcW w:w="287" w:type="pct"/>
                  <w:vMerge w:val="restart"/>
                  <w:shd w:val="clear" w:color="auto" w:fill="auto"/>
                  <w:vAlign w:val="center"/>
                </w:tcPr>
                <w:p w14:paraId="4E4E84C7">
                  <w:pPr>
                    <w:adjustRightInd w:val="0"/>
                    <w:snapToGrid w:val="0"/>
                    <w:jc w:val="center"/>
                    <w:rPr>
                      <w:b/>
                      <w:color w:val="auto"/>
                      <w:kern w:val="0"/>
                      <w:szCs w:val="28"/>
                    </w:rPr>
                  </w:pPr>
                  <w:r>
                    <w:rPr>
                      <w:rFonts w:hint="eastAsia"/>
                      <w:b/>
                      <w:color w:val="auto"/>
                      <w:kern w:val="0"/>
                      <w:szCs w:val="28"/>
                    </w:rPr>
                    <w:t>间歇排放时段</w:t>
                  </w:r>
                </w:p>
              </w:tc>
              <w:tc>
                <w:tcPr>
                  <w:tcW w:w="1829" w:type="pct"/>
                  <w:gridSpan w:val="3"/>
                  <w:shd w:val="clear" w:color="auto" w:fill="auto"/>
                  <w:vAlign w:val="center"/>
                </w:tcPr>
                <w:p w14:paraId="3DA9FA71">
                  <w:pPr>
                    <w:adjustRightInd w:val="0"/>
                    <w:snapToGrid w:val="0"/>
                    <w:jc w:val="center"/>
                    <w:rPr>
                      <w:b/>
                      <w:color w:val="auto"/>
                      <w:kern w:val="0"/>
                      <w:szCs w:val="28"/>
                    </w:rPr>
                  </w:pPr>
                  <w:r>
                    <w:rPr>
                      <w:rFonts w:hint="eastAsia"/>
                      <w:b/>
                      <w:color w:val="auto"/>
                      <w:kern w:val="0"/>
                      <w:szCs w:val="28"/>
                    </w:rPr>
                    <w:t>受纳污水处理厂信息</w:t>
                  </w:r>
                </w:p>
              </w:tc>
            </w:tr>
            <w:tr w14:paraId="64226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shd w:val="clear" w:color="auto" w:fill="auto"/>
                  <w:vAlign w:val="center"/>
                </w:tcPr>
                <w:p w14:paraId="684AF8BF">
                  <w:pPr>
                    <w:adjustRightInd w:val="0"/>
                    <w:snapToGrid w:val="0"/>
                    <w:jc w:val="center"/>
                    <w:rPr>
                      <w:b/>
                      <w:color w:val="auto"/>
                      <w:kern w:val="0"/>
                      <w:szCs w:val="28"/>
                    </w:rPr>
                  </w:pPr>
                </w:p>
              </w:tc>
              <w:tc>
                <w:tcPr>
                  <w:tcW w:w="372" w:type="pct"/>
                  <w:vMerge w:val="continue"/>
                  <w:shd w:val="clear" w:color="auto" w:fill="auto"/>
                  <w:vAlign w:val="center"/>
                </w:tcPr>
                <w:p w14:paraId="3CFC84B4">
                  <w:pPr>
                    <w:adjustRightInd w:val="0"/>
                    <w:snapToGrid w:val="0"/>
                    <w:jc w:val="center"/>
                    <w:rPr>
                      <w:b/>
                      <w:color w:val="auto"/>
                      <w:kern w:val="0"/>
                      <w:szCs w:val="28"/>
                    </w:rPr>
                  </w:pPr>
                </w:p>
              </w:tc>
              <w:tc>
                <w:tcPr>
                  <w:tcW w:w="517" w:type="pct"/>
                  <w:shd w:val="clear" w:color="auto" w:fill="auto"/>
                  <w:vAlign w:val="center"/>
                </w:tcPr>
                <w:p w14:paraId="5D5CD5B6">
                  <w:pPr>
                    <w:adjustRightInd w:val="0"/>
                    <w:snapToGrid w:val="0"/>
                    <w:jc w:val="center"/>
                    <w:rPr>
                      <w:b/>
                      <w:color w:val="auto"/>
                      <w:kern w:val="0"/>
                      <w:szCs w:val="28"/>
                    </w:rPr>
                  </w:pPr>
                  <w:r>
                    <w:rPr>
                      <w:rFonts w:hint="eastAsia"/>
                      <w:b/>
                      <w:color w:val="auto"/>
                      <w:kern w:val="0"/>
                      <w:szCs w:val="28"/>
                    </w:rPr>
                    <w:t>经度</w:t>
                  </w:r>
                </w:p>
              </w:tc>
              <w:tc>
                <w:tcPr>
                  <w:tcW w:w="476" w:type="pct"/>
                  <w:shd w:val="clear" w:color="auto" w:fill="auto"/>
                  <w:vAlign w:val="center"/>
                </w:tcPr>
                <w:p w14:paraId="19361D3F">
                  <w:pPr>
                    <w:adjustRightInd w:val="0"/>
                    <w:snapToGrid w:val="0"/>
                    <w:jc w:val="center"/>
                    <w:rPr>
                      <w:b/>
                      <w:color w:val="auto"/>
                      <w:kern w:val="0"/>
                      <w:szCs w:val="28"/>
                    </w:rPr>
                  </w:pPr>
                  <w:r>
                    <w:rPr>
                      <w:rFonts w:hint="eastAsia"/>
                      <w:b/>
                      <w:color w:val="auto"/>
                      <w:kern w:val="0"/>
                      <w:szCs w:val="28"/>
                    </w:rPr>
                    <w:t>纬度</w:t>
                  </w:r>
                </w:p>
              </w:tc>
              <w:tc>
                <w:tcPr>
                  <w:tcW w:w="379" w:type="pct"/>
                  <w:vMerge w:val="continue"/>
                  <w:shd w:val="clear" w:color="auto" w:fill="auto"/>
                  <w:vAlign w:val="center"/>
                </w:tcPr>
                <w:p w14:paraId="52F0BD69">
                  <w:pPr>
                    <w:adjustRightInd w:val="0"/>
                    <w:snapToGrid w:val="0"/>
                    <w:jc w:val="center"/>
                    <w:rPr>
                      <w:b/>
                      <w:color w:val="auto"/>
                      <w:kern w:val="0"/>
                      <w:szCs w:val="28"/>
                    </w:rPr>
                  </w:pPr>
                </w:p>
              </w:tc>
              <w:tc>
                <w:tcPr>
                  <w:tcW w:w="320" w:type="pct"/>
                  <w:vMerge w:val="continue"/>
                  <w:shd w:val="clear" w:color="auto" w:fill="auto"/>
                  <w:vAlign w:val="center"/>
                </w:tcPr>
                <w:p w14:paraId="0F8019B5">
                  <w:pPr>
                    <w:adjustRightInd w:val="0"/>
                    <w:snapToGrid w:val="0"/>
                    <w:jc w:val="center"/>
                    <w:rPr>
                      <w:b/>
                      <w:color w:val="auto"/>
                      <w:kern w:val="0"/>
                      <w:szCs w:val="28"/>
                    </w:rPr>
                  </w:pPr>
                </w:p>
              </w:tc>
              <w:tc>
                <w:tcPr>
                  <w:tcW w:w="494" w:type="pct"/>
                  <w:vMerge w:val="continue"/>
                  <w:shd w:val="clear" w:color="auto" w:fill="auto"/>
                  <w:vAlign w:val="center"/>
                </w:tcPr>
                <w:p w14:paraId="3983847A">
                  <w:pPr>
                    <w:adjustRightInd w:val="0"/>
                    <w:snapToGrid w:val="0"/>
                    <w:jc w:val="center"/>
                    <w:rPr>
                      <w:b/>
                      <w:color w:val="auto"/>
                      <w:kern w:val="0"/>
                      <w:szCs w:val="28"/>
                    </w:rPr>
                  </w:pPr>
                </w:p>
              </w:tc>
              <w:tc>
                <w:tcPr>
                  <w:tcW w:w="287" w:type="pct"/>
                  <w:vMerge w:val="continue"/>
                  <w:shd w:val="clear" w:color="auto" w:fill="auto"/>
                  <w:vAlign w:val="center"/>
                </w:tcPr>
                <w:p w14:paraId="6F77603C">
                  <w:pPr>
                    <w:adjustRightInd w:val="0"/>
                    <w:snapToGrid w:val="0"/>
                    <w:jc w:val="center"/>
                    <w:rPr>
                      <w:b/>
                      <w:color w:val="auto"/>
                      <w:kern w:val="0"/>
                      <w:szCs w:val="28"/>
                    </w:rPr>
                  </w:pPr>
                </w:p>
              </w:tc>
              <w:tc>
                <w:tcPr>
                  <w:tcW w:w="426" w:type="pct"/>
                  <w:shd w:val="clear" w:color="auto" w:fill="auto"/>
                  <w:vAlign w:val="center"/>
                </w:tcPr>
                <w:p w14:paraId="3E3CA0F3">
                  <w:pPr>
                    <w:adjustRightInd w:val="0"/>
                    <w:snapToGrid w:val="0"/>
                    <w:jc w:val="center"/>
                    <w:rPr>
                      <w:b/>
                      <w:color w:val="auto"/>
                      <w:kern w:val="0"/>
                      <w:szCs w:val="28"/>
                    </w:rPr>
                  </w:pPr>
                  <w:r>
                    <w:rPr>
                      <w:rFonts w:hint="eastAsia"/>
                      <w:b/>
                      <w:color w:val="auto"/>
                      <w:kern w:val="0"/>
                      <w:szCs w:val="28"/>
                    </w:rPr>
                    <w:t>名称</w:t>
                  </w:r>
                </w:p>
              </w:tc>
              <w:tc>
                <w:tcPr>
                  <w:tcW w:w="629" w:type="pct"/>
                  <w:shd w:val="clear" w:color="auto" w:fill="auto"/>
                  <w:vAlign w:val="center"/>
                </w:tcPr>
                <w:p w14:paraId="0AAD4B00">
                  <w:pPr>
                    <w:adjustRightInd w:val="0"/>
                    <w:snapToGrid w:val="0"/>
                    <w:jc w:val="center"/>
                    <w:rPr>
                      <w:b/>
                      <w:color w:val="auto"/>
                      <w:kern w:val="0"/>
                      <w:szCs w:val="28"/>
                    </w:rPr>
                  </w:pPr>
                  <w:r>
                    <w:rPr>
                      <w:rFonts w:hint="eastAsia"/>
                      <w:b/>
                      <w:color w:val="auto"/>
                      <w:kern w:val="0"/>
                      <w:szCs w:val="28"/>
                    </w:rPr>
                    <w:t>污染物种类</w:t>
                  </w:r>
                </w:p>
              </w:tc>
              <w:tc>
                <w:tcPr>
                  <w:tcW w:w="774" w:type="pct"/>
                  <w:shd w:val="clear" w:color="auto" w:fill="auto"/>
                  <w:vAlign w:val="center"/>
                </w:tcPr>
                <w:p w14:paraId="6DF671C3">
                  <w:pPr>
                    <w:adjustRightInd w:val="0"/>
                    <w:snapToGrid w:val="0"/>
                    <w:jc w:val="center"/>
                    <w:rPr>
                      <w:b/>
                      <w:color w:val="auto"/>
                      <w:kern w:val="0"/>
                      <w:szCs w:val="28"/>
                    </w:rPr>
                  </w:pPr>
                  <w:r>
                    <w:rPr>
                      <w:rFonts w:hint="eastAsia"/>
                      <w:b/>
                      <w:color w:val="auto"/>
                      <w:kern w:val="0"/>
                      <w:szCs w:val="28"/>
                    </w:rPr>
                    <w:t>国家或地方污染物排放标准浓度限制/（m</w:t>
                  </w:r>
                  <w:r>
                    <w:rPr>
                      <w:b/>
                      <w:color w:val="auto"/>
                      <w:kern w:val="0"/>
                      <w:szCs w:val="28"/>
                    </w:rPr>
                    <w:t>g/L</w:t>
                  </w:r>
                  <w:r>
                    <w:rPr>
                      <w:rFonts w:hint="eastAsia"/>
                      <w:b/>
                      <w:color w:val="auto"/>
                      <w:kern w:val="0"/>
                      <w:szCs w:val="28"/>
                    </w:rPr>
                    <w:t>）</w:t>
                  </w:r>
                </w:p>
              </w:tc>
            </w:tr>
            <w:tr w14:paraId="240ED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21" w:type="pct"/>
                  <w:vMerge w:val="restart"/>
                  <w:shd w:val="clear" w:color="auto" w:fill="auto"/>
                  <w:vAlign w:val="center"/>
                </w:tcPr>
                <w:p w14:paraId="6F6F533B">
                  <w:pPr>
                    <w:adjustRightInd w:val="0"/>
                    <w:snapToGrid w:val="0"/>
                    <w:jc w:val="center"/>
                    <w:rPr>
                      <w:color w:val="auto"/>
                      <w:kern w:val="0"/>
                      <w:szCs w:val="21"/>
                    </w:rPr>
                  </w:pPr>
                  <w:r>
                    <w:rPr>
                      <w:rFonts w:hint="eastAsia"/>
                      <w:color w:val="auto"/>
                      <w:kern w:val="0"/>
                      <w:szCs w:val="21"/>
                    </w:rPr>
                    <w:t>1</w:t>
                  </w:r>
                </w:p>
              </w:tc>
              <w:tc>
                <w:tcPr>
                  <w:tcW w:w="372" w:type="pct"/>
                  <w:vMerge w:val="restart"/>
                  <w:shd w:val="clear" w:color="auto" w:fill="auto"/>
                  <w:vAlign w:val="center"/>
                </w:tcPr>
                <w:p w14:paraId="3D2E6A29">
                  <w:pPr>
                    <w:adjustRightInd w:val="0"/>
                    <w:snapToGrid w:val="0"/>
                    <w:jc w:val="center"/>
                    <w:rPr>
                      <w:color w:val="auto"/>
                      <w:kern w:val="0"/>
                      <w:szCs w:val="21"/>
                    </w:rPr>
                  </w:pPr>
                  <w:r>
                    <w:rPr>
                      <w:color w:val="auto"/>
                      <w:kern w:val="0"/>
                      <w:szCs w:val="21"/>
                    </w:rPr>
                    <w:t>DW001</w:t>
                  </w:r>
                </w:p>
              </w:tc>
              <w:tc>
                <w:tcPr>
                  <w:tcW w:w="517" w:type="pct"/>
                  <w:vMerge w:val="restart"/>
                  <w:shd w:val="clear" w:color="auto" w:fill="auto"/>
                  <w:vAlign w:val="center"/>
                </w:tcPr>
                <w:p w14:paraId="4AA76163">
                  <w:pPr>
                    <w:adjustRightInd w:val="0"/>
                    <w:snapToGrid w:val="0"/>
                    <w:jc w:val="center"/>
                    <w:rPr>
                      <w:color w:val="auto"/>
                      <w:szCs w:val="21"/>
                    </w:rPr>
                  </w:pPr>
                  <w:r>
                    <w:rPr>
                      <w:color w:val="auto"/>
                      <w:szCs w:val="21"/>
                    </w:rPr>
                    <w:t>119°13’7’’</w:t>
                  </w:r>
                </w:p>
              </w:tc>
              <w:tc>
                <w:tcPr>
                  <w:tcW w:w="476" w:type="pct"/>
                  <w:vMerge w:val="restart"/>
                  <w:shd w:val="clear" w:color="auto" w:fill="auto"/>
                  <w:vAlign w:val="center"/>
                </w:tcPr>
                <w:p w14:paraId="79BFF1F7">
                  <w:pPr>
                    <w:adjustRightInd w:val="0"/>
                    <w:snapToGrid w:val="0"/>
                    <w:jc w:val="center"/>
                    <w:rPr>
                      <w:color w:val="auto"/>
                      <w:szCs w:val="21"/>
                    </w:rPr>
                  </w:pPr>
                  <w:r>
                    <w:rPr>
                      <w:color w:val="auto"/>
                      <w:szCs w:val="21"/>
                    </w:rPr>
                    <w:t>33°46’58’’</w:t>
                  </w:r>
                </w:p>
              </w:tc>
              <w:tc>
                <w:tcPr>
                  <w:tcW w:w="379" w:type="pct"/>
                  <w:vMerge w:val="restart"/>
                  <w:shd w:val="clear" w:color="auto" w:fill="auto"/>
                  <w:vAlign w:val="center"/>
                </w:tcPr>
                <w:p w14:paraId="5B2F08B6">
                  <w:pPr>
                    <w:adjustRightInd w:val="0"/>
                    <w:snapToGrid w:val="0"/>
                    <w:jc w:val="center"/>
                    <w:rPr>
                      <w:rFonts w:hint="default" w:eastAsia="宋体"/>
                      <w:color w:val="auto"/>
                      <w:kern w:val="0"/>
                      <w:szCs w:val="21"/>
                      <w:lang w:val="en-US" w:eastAsia="zh-CN"/>
                    </w:rPr>
                  </w:pPr>
                </w:p>
              </w:tc>
              <w:tc>
                <w:tcPr>
                  <w:tcW w:w="320" w:type="pct"/>
                  <w:vMerge w:val="restart"/>
                  <w:shd w:val="clear" w:color="auto" w:fill="auto"/>
                  <w:vAlign w:val="center"/>
                </w:tcPr>
                <w:p w14:paraId="1459B47D">
                  <w:pPr>
                    <w:adjustRightInd w:val="0"/>
                    <w:snapToGrid w:val="0"/>
                    <w:jc w:val="center"/>
                    <w:rPr>
                      <w:color w:val="auto"/>
                      <w:kern w:val="0"/>
                      <w:szCs w:val="21"/>
                    </w:rPr>
                  </w:pPr>
                  <w:r>
                    <w:rPr>
                      <w:rFonts w:hint="eastAsia"/>
                      <w:color w:val="auto"/>
                      <w:kern w:val="0"/>
                      <w:szCs w:val="21"/>
                    </w:rPr>
                    <w:t>厂内综合污水处理站</w:t>
                  </w:r>
                </w:p>
              </w:tc>
              <w:tc>
                <w:tcPr>
                  <w:tcW w:w="494" w:type="pct"/>
                  <w:vMerge w:val="restart"/>
                  <w:shd w:val="clear" w:color="auto" w:fill="auto"/>
                  <w:vAlign w:val="center"/>
                </w:tcPr>
                <w:p w14:paraId="69E9CC3D">
                  <w:pPr>
                    <w:adjustRightInd w:val="0"/>
                    <w:snapToGrid w:val="0"/>
                    <w:jc w:val="center"/>
                    <w:rPr>
                      <w:color w:val="auto"/>
                      <w:kern w:val="0"/>
                      <w:szCs w:val="21"/>
                    </w:rPr>
                  </w:pPr>
                  <w:r>
                    <w:rPr>
                      <w:rFonts w:hint="eastAsia"/>
                      <w:color w:val="auto"/>
                      <w:szCs w:val="21"/>
                    </w:rPr>
                    <w:t>间断</w:t>
                  </w:r>
                  <w:r>
                    <w:rPr>
                      <w:color w:val="auto"/>
                      <w:szCs w:val="21"/>
                    </w:rPr>
                    <w:t>排放，排放期间流量不稳定，但有周期性规律</w:t>
                  </w:r>
                </w:p>
              </w:tc>
              <w:tc>
                <w:tcPr>
                  <w:tcW w:w="287" w:type="pct"/>
                  <w:vMerge w:val="restart"/>
                  <w:shd w:val="clear" w:color="auto" w:fill="auto"/>
                  <w:vAlign w:val="center"/>
                </w:tcPr>
                <w:p w14:paraId="21CACD1E">
                  <w:pPr>
                    <w:adjustRightInd w:val="0"/>
                    <w:snapToGrid w:val="0"/>
                    <w:jc w:val="center"/>
                    <w:rPr>
                      <w:color w:val="auto"/>
                      <w:kern w:val="0"/>
                      <w:szCs w:val="21"/>
                    </w:rPr>
                  </w:pPr>
                  <w:r>
                    <w:rPr>
                      <w:rFonts w:hint="eastAsia"/>
                      <w:color w:val="auto"/>
                      <w:kern w:val="0"/>
                      <w:szCs w:val="21"/>
                    </w:rPr>
                    <w:t>/</w:t>
                  </w:r>
                </w:p>
              </w:tc>
              <w:tc>
                <w:tcPr>
                  <w:tcW w:w="426" w:type="pct"/>
                  <w:vMerge w:val="restart"/>
                  <w:shd w:val="clear" w:color="auto" w:fill="auto"/>
                  <w:vAlign w:val="center"/>
                </w:tcPr>
                <w:p w14:paraId="51236C69">
                  <w:pPr>
                    <w:adjustRightInd w:val="0"/>
                    <w:snapToGrid w:val="0"/>
                    <w:jc w:val="center"/>
                    <w:rPr>
                      <w:color w:val="auto"/>
                      <w:kern w:val="0"/>
                      <w:szCs w:val="21"/>
                    </w:rPr>
                  </w:pPr>
                  <w:r>
                    <w:rPr>
                      <w:color w:val="auto"/>
                      <w:kern w:val="0"/>
                      <w:szCs w:val="21"/>
                    </w:rPr>
                    <w:t>涟水经济开发区西区污水处理厂</w:t>
                  </w:r>
                </w:p>
              </w:tc>
              <w:tc>
                <w:tcPr>
                  <w:tcW w:w="629" w:type="pct"/>
                  <w:shd w:val="clear" w:color="auto" w:fill="auto"/>
                  <w:vAlign w:val="center"/>
                </w:tcPr>
                <w:p w14:paraId="28FE7F84">
                  <w:pPr>
                    <w:adjustRightInd w:val="0"/>
                    <w:snapToGrid w:val="0"/>
                    <w:jc w:val="center"/>
                    <w:rPr>
                      <w:color w:val="auto"/>
                      <w:kern w:val="0"/>
                      <w:szCs w:val="21"/>
                    </w:rPr>
                  </w:pPr>
                  <w:r>
                    <w:rPr>
                      <w:color w:val="auto"/>
                      <w:szCs w:val="21"/>
                    </w:rPr>
                    <w:t>COD</w:t>
                  </w:r>
                </w:p>
              </w:tc>
              <w:tc>
                <w:tcPr>
                  <w:tcW w:w="774" w:type="pct"/>
                  <w:shd w:val="clear" w:color="auto" w:fill="auto"/>
                  <w:vAlign w:val="center"/>
                </w:tcPr>
                <w:p w14:paraId="1BC9D305">
                  <w:pPr>
                    <w:adjustRightInd w:val="0"/>
                    <w:snapToGrid w:val="0"/>
                    <w:jc w:val="center"/>
                    <w:rPr>
                      <w:color w:val="auto"/>
                      <w:kern w:val="0"/>
                      <w:szCs w:val="21"/>
                    </w:rPr>
                  </w:pPr>
                  <w:r>
                    <w:rPr>
                      <w:rFonts w:hint="eastAsia"/>
                      <w:color w:val="auto"/>
                      <w:kern w:val="0"/>
                      <w:szCs w:val="21"/>
                    </w:rPr>
                    <w:t>5</w:t>
                  </w:r>
                  <w:r>
                    <w:rPr>
                      <w:color w:val="auto"/>
                      <w:kern w:val="0"/>
                      <w:szCs w:val="21"/>
                    </w:rPr>
                    <w:t>0</w:t>
                  </w:r>
                </w:p>
              </w:tc>
            </w:tr>
            <w:tr w14:paraId="3E8AC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21" w:type="pct"/>
                  <w:vMerge w:val="continue"/>
                  <w:shd w:val="clear" w:color="auto" w:fill="auto"/>
                  <w:vAlign w:val="center"/>
                </w:tcPr>
                <w:p w14:paraId="6A38B0C2">
                  <w:pPr>
                    <w:adjustRightInd w:val="0"/>
                    <w:snapToGrid w:val="0"/>
                    <w:jc w:val="center"/>
                    <w:rPr>
                      <w:color w:val="auto"/>
                      <w:kern w:val="0"/>
                      <w:szCs w:val="21"/>
                    </w:rPr>
                  </w:pPr>
                </w:p>
              </w:tc>
              <w:tc>
                <w:tcPr>
                  <w:tcW w:w="372" w:type="pct"/>
                  <w:vMerge w:val="continue"/>
                  <w:shd w:val="clear" w:color="auto" w:fill="auto"/>
                  <w:vAlign w:val="center"/>
                </w:tcPr>
                <w:p w14:paraId="3D6085B6">
                  <w:pPr>
                    <w:adjustRightInd w:val="0"/>
                    <w:snapToGrid w:val="0"/>
                    <w:jc w:val="center"/>
                    <w:rPr>
                      <w:color w:val="auto"/>
                      <w:kern w:val="0"/>
                      <w:szCs w:val="21"/>
                    </w:rPr>
                  </w:pPr>
                </w:p>
              </w:tc>
              <w:tc>
                <w:tcPr>
                  <w:tcW w:w="517" w:type="pct"/>
                  <w:vMerge w:val="continue"/>
                  <w:shd w:val="clear" w:color="auto" w:fill="auto"/>
                  <w:vAlign w:val="center"/>
                </w:tcPr>
                <w:p w14:paraId="129D36E2">
                  <w:pPr>
                    <w:adjustRightInd w:val="0"/>
                    <w:snapToGrid w:val="0"/>
                    <w:jc w:val="center"/>
                    <w:rPr>
                      <w:color w:val="auto"/>
                      <w:szCs w:val="21"/>
                    </w:rPr>
                  </w:pPr>
                </w:p>
              </w:tc>
              <w:tc>
                <w:tcPr>
                  <w:tcW w:w="476" w:type="pct"/>
                  <w:vMerge w:val="continue"/>
                  <w:shd w:val="clear" w:color="auto" w:fill="auto"/>
                  <w:vAlign w:val="center"/>
                </w:tcPr>
                <w:p w14:paraId="09A4173C">
                  <w:pPr>
                    <w:adjustRightInd w:val="0"/>
                    <w:snapToGrid w:val="0"/>
                    <w:jc w:val="center"/>
                    <w:rPr>
                      <w:color w:val="auto"/>
                      <w:szCs w:val="21"/>
                    </w:rPr>
                  </w:pPr>
                </w:p>
              </w:tc>
              <w:tc>
                <w:tcPr>
                  <w:tcW w:w="379" w:type="pct"/>
                  <w:vMerge w:val="continue"/>
                  <w:shd w:val="clear" w:color="auto" w:fill="auto"/>
                  <w:vAlign w:val="center"/>
                </w:tcPr>
                <w:p w14:paraId="0223D3FE">
                  <w:pPr>
                    <w:adjustRightInd w:val="0"/>
                    <w:snapToGrid w:val="0"/>
                    <w:jc w:val="center"/>
                    <w:rPr>
                      <w:color w:val="auto"/>
                      <w:kern w:val="0"/>
                      <w:szCs w:val="21"/>
                    </w:rPr>
                  </w:pPr>
                </w:p>
              </w:tc>
              <w:tc>
                <w:tcPr>
                  <w:tcW w:w="320" w:type="pct"/>
                  <w:vMerge w:val="continue"/>
                  <w:shd w:val="clear" w:color="auto" w:fill="auto"/>
                  <w:vAlign w:val="center"/>
                </w:tcPr>
                <w:p w14:paraId="4D1A02A9">
                  <w:pPr>
                    <w:adjustRightInd w:val="0"/>
                    <w:snapToGrid w:val="0"/>
                    <w:jc w:val="center"/>
                    <w:rPr>
                      <w:color w:val="auto"/>
                      <w:kern w:val="0"/>
                      <w:szCs w:val="21"/>
                    </w:rPr>
                  </w:pPr>
                </w:p>
              </w:tc>
              <w:tc>
                <w:tcPr>
                  <w:tcW w:w="494" w:type="pct"/>
                  <w:vMerge w:val="continue"/>
                  <w:shd w:val="clear" w:color="auto" w:fill="auto"/>
                  <w:vAlign w:val="center"/>
                </w:tcPr>
                <w:p w14:paraId="58F6A0F5">
                  <w:pPr>
                    <w:adjustRightInd w:val="0"/>
                    <w:snapToGrid w:val="0"/>
                    <w:jc w:val="center"/>
                    <w:rPr>
                      <w:color w:val="auto"/>
                      <w:kern w:val="0"/>
                      <w:szCs w:val="21"/>
                    </w:rPr>
                  </w:pPr>
                </w:p>
              </w:tc>
              <w:tc>
                <w:tcPr>
                  <w:tcW w:w="287" w:type="pct"/>
                  <w:vMerge w:val="continue"/>
                  <w:shd w:val="clear" w:color="auto" w:fill="auto"/>
                  <w:vAlign w:val="center"/>
                </w:tcPr>
                <w:p w14:paraId="7A87BE27">
                  <w:pPr>
                    <w:adjustRightInd w:val="0"/>
                    <w:snapToGrid w:val="0"/>
                    <w:jc w:val="center"/>
                    <w:rPr>
                      <w:color w:val="auto"/>
                      <w:kern w:val="0"/>
                      <w:szCs w:val="21"/>
                    </w:rPr>
                  </w:pPr>
                </w:p>
              </w:tc>
              <w:tc>
                <w:tcPr>
                  <w:tcW w:w="426" w:type="pct"/>
                  <w:vMerge w:val="continue"/>
                  <w:shd w:val="clear" w:color="auto" w:fill="auto"/>
                  <w:vAlign w:val="center"/>
                </w:tcPr>
                <w:p w14:paraId="6CF87D16">
                  <w:pPr>
                    <w:adjustRightInd w:val="0"/>
                    <w:snapToGrid w:val="0"/>
                    <w:jc w:val="center"/>
                    <w:rPr>
                      <w:color w:val="auto"/>
                      <w:kern w:val="0"/>
                      <w:szCs w:val="21"/>
                    </w:rPr>
                  </w:pPr>
                </w:p>
              </w:tc>
              <w:tc>
                <w:tcPr>
                  <w:tcW w:w="629" w:type="pct"/>
                  <w:shd w:val="clear" w:color="auto" w:fill="auto"/>
                  <w:vAlign w:val="center"/>
                </w:tcPr>
                <w:p w14:paraId="2DA0BC03">
                  <w:pPr>
                    <w:adjustRightInd w:val="0"/>
                    <w:snapToGrid w:val="0"/>
                    <w:jc w:val="center"/>
                    <w:rPr>
                      <w:color w:val="auto"/>
                      <w:kern w:val="0"/>
                      <w:szCs w:val="21"/>
                    </w:rPr>
                  </w:pPr>
                  <w:r>
                    <w:rPr>
                      <w:rFonts w:hint="eastAsia"/>
                      <w:color w:val="auto"/>
                      <w:szCs w:val="21"/>
                    </w:rPr>
                    <w:t>B</w:t>
                  </w:r>
                  <w:r>
                    <w:rPr>
                      <w:color w:val="auto"/>
                      <w:szCs w:val="21"/>
                    </w:rPr>
                    <w:t>OD</w:t>
                  </w:r>
                  <w:r>
                    <w:rPr>
                      <w:color w:val="auto"/>
                      <w:szCs w:val="21"/>
                      <w:vertAlign w:val="subscript"/>
                    </w:rPr>
                    <w:t>5</w:t>
                  </w:r>
                </w:p>
              </w:tc>
              <w:tc>
                <w:tcPr>
                  <w:tcW w:w="774" w:type="pct"/>
                  <w:shd w:val="clear" w:color="auto" w:fill="auto"/>
                  <w:vAlign w:val="center"/>
                </w:tcPr>
                <w:p w14:paraId="342034CB">
                  <w:pPr>
                    <w:adjustRightInd w:val="0"/>
                    <w:snapToGrid w:val="0"/>
                    <w:jc w:val="center"/>
                    <w:rPr>
                      <w:color w:val="auto"/>
                      <w:kern w:val="0"/>
                      <w:szCs w:val="21"/>
                    </w:rPr>
                  </w:pPr>
                  <w:r>
                    <w:rPr>
                      <w:rFonts w:hint="eastAsia"/>
                      <w:color w:val="auto"/>
                      <w:kern w:val="0"/>
                      <w:szCs w:val="21"/>
                    </w:rPr>
                    <w:t>1</w:t>
                  </w:r>
                  <w:r>
                    <w:rPr>
                      <w:color w:val="auto"/>
                      <w:kern w:val="0"/>
                      <w:szCs w:val="21"/>
                    </w:rPr>
                    <w:t>0</w:t>
                  </w:r>
                </w:p>
              </w:tc>
            </w:tr>
            <w:tr w14:paraId="4E53D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21" w:type="pct"/>
                  <w:vMerge w:val="continue"/>
                  <w:shd w:val="clear" w:color="auto" w:fill="auto"/>
                  <w:vAlign w:val="center"/>
                </w:tcPr>
                <w:p w14:paraId="1CD3C83A">
                  <w:pPr>
                    <w:adjustRightInd w:val="0"/>
                    <w:snapToGrid w:val="0"/>
                    <w:jc w:val="center"/>
                    <w:rPr>
                      <w:color w:val="auto"/>
                      <w:kern w:val="0"/>
                      <w:szCs w:val="21"/>
                    </w:rPr>
                  </w:pPr>
                </w:p>
              </w:tc>
              <w:tc>
                <w:tcPr>
                  <w:tcW w:w="372" w:type="pct"/>
                  <w:vMerge w:val="continue"/>
                  <w:shd w:val="clear" w:color="auto" w:fill="auto"/>
                  <w:vAlign w:val="center"/>
                </w:tcPr>
                <w:p w14:paraId="4A6E2CD6">
                  <w:pPr>
                    <w:adjustRightInd w:val="0"/>
                    <w:snapToGrid w:val="0"/>
                    <w:jc w:val="center"/>
                    <w:rPr>
                      <w:color w:val="auto"/>
                      <w:kern w:val="0"/>
                      <w:szCs w:val="21"/>
                    </w:rPr>
                  </w:pPr>
                </w:p>
              </w:tc>
              <w:tc>
                <w:tcPr>
                  <w:tcW w:w="517" w:type="pct"/>
                  <w:vMerge w:val="continue"/>
                  <w:shd w:val="clear" w:color="auto" w:fill="auto"/>
                  <w:vAlign w:val="center"/>
                </w:tcPr>
                <w:p w14:paraId="306ABF13">
                  <w:pPr>
                    <w:adjustRightInd w:val="0"/>
                    <w:snapToGrid w:val="0"/>
                    <w:jc w:val="center"/>
                    <w:rPr>
                      <w:color w:val="auto"/>
                      <w:szCs w:val="21"/>
                    </w:rPr>
                  </w:pPr>
                </w:p>
              </w:tc>
              <w:tc>
                <w:tcPr>
                  <w:tcW w:w="476" w:type="pct"/>
                  <w:vMerge w:val="continue"/>
                  <w:shd w:val="clear" w:color="auto" w:fill="auto"/>
                  <w:vAlign w:val="center"/>
                </w:tcPr>
                <w:p w14:paraId="01434E63">
                  <w:pPr>
                    <w:adjustRightInd w:val="0"/>
                    <w:snapToGrid w:val="0"/>
                    <w:jc w:val="center"/>
                    <w:rPr>
                      <w:color w:val="auto"/>
                      <w:szCs w:val="21"/>
                    </w:rPr>
                  </w:pPr>
                </w:p>
              </w:tc>
              <w:tc>
                <w:tcPr>
                  <w:tcW w:w="379" w:type="pct"/>
                  <w:vMerge w:val="continue"/>
                  <w:shd w:val="clear" w:color="auto" w:fill="auto"/>
                  <w:vAlign w:val="center"/>
                </w:tcPr>
                <w:p w14:paraId="083ED875">
                  <w:pPr>
                    <w:adjustRightInd w:val="0"/>
                    <w:snapToGrid w:val="0"/>
                    <w:jc w:val="center"/>
                    <w:rPr>
                      <w:color w:val="auto"/>
                      <w:kern w:val="0"/>
                      <w:szCs w:val="21"/>
                    </w:rPr>
                  </w:pPr>
                </w:p>
              </w:tc>
              <w:tc>
                <w:tcPr>
                  <w:tcW w:w="320" w:type="pct"/>
                  <w:vMerge w:val="continue"/>
                  <w:shd w:val="clear" w:color="auto" w:fill="auto"/>
                  <w:vAlign w:val="center"/>
                </w:tcPr>
                <w:p w14:paraId="394222B1">
                  <w:pPr>
                    <w:adjustRightInd w:val="0"/>
                    <w:snapToGrid w:val="0"/>
                    <w:jc w:val="center"/>
                    <w:rPr>
                      <w:color w:val="auto"/>
                      <w:kern w:val="0"/>
                      <w:szCs w:val="21"/>
                    </w:rPr>
                  </w:pPr>
                </w:p>
              </w:tc>
              <w:tc>
                <w:tcPr>
                  <w:tcW w:w="494" w:type="pct"/>
                  <w:vMerge w:val="continue"/>
                  <w:shd w:val="clear" w:color="auto" w:fill="auto"/>
                  <w:vAlign w:val="center"/>
                </w:tcPr>
                <w:p w14:paraId="06FD1EC6">
                  <w:pPr>
                    <w:adjustRightInd w:val="0"/>
                    <w:snapToGrid w:val="0"/>
                    <w:jc w:val="center"/>
                    <w:rPr>
                      <w:color w:val="auto"/>
                      <w:kern w:val="0"/>
                      <w:szCs w:val="21"/>
                    </w:rPr>
                  </w:pPr>
                </w:p>
              </w:tc>
              <w:tc>
                <w:tcPr>
                  <w:tcW w:w="287" w:type="pct"/>
                  <w:vMerge w:val="continue"/>
                  <w:shd w:val="clear" w:color="auto" w:fill="auto"/>
                  <w:vAlign w:val="center"/>
                </w:tcPr>
                <w:p w14:paraId="32EC3FBB">
                  <w:pPr>
                    <w:adjustRightInd w:val="0"/>
                    <w:snapToGrid w:val="0"/>
                    <w:jc w:val="center"/>
                    <w:rPr>
                      <w:color w:val="auto"/>
                      <w:kern w:val="0"/>
                      <w:szCs w:val="21"/>
                    </w:rPr>
                  </w:pPr>
                </w:p>
              </w:tc>
              <w:tc>
                <w:tcPr>
                  <w:tcW w:w="426" w:type="pct"/>
                  <w:vMerge w:val="continue"/>
                  <w:shd w:val="clear" w:color="auto" w:fill="auto"/>
                  <w:vAlign w:val="center"/>
                </w:tcPr>
                <w:p w14:paraId="3DB46A18">
                  <w:pPr>
                    <w:adjustRightInd w:val="0"/>
                    <w:snapToGrid w:val="0"/>
                    <w:jc w:val="center"/>
                    <w:rPr>
                      <w:color w:val="auto"/>
                      <w:kern w:val="0"/>
                      <w:szCs w:val="21"/>
                    </w:rPr>
                  </w:pPr>
                </w:p>
              </w:tc>
              <w:tc>
                <w:tcPr>
                  <w:tcW w:w="629" w:type="pct"/>
                  <w:shd w:val="clear" w:color="auto" w:fill="auto"/>
                  <w:vAlign w:val="center"/>
                </w:tcPr>
                <w:p w14:paraId="78576698">
                  <w:pPr>
                    <w:adjustRightInd w:val="0"/>
                    <w:snapToGrid w:val="0"/>
                    <w:jc w:val="center"/>
                    <w:rPr>
                      <w:color w:val="auto"/>
                      <w:kern w:val="0"/>
                      <w:szCs w:val="21"/>
                    </w:rPr>
                  </w:pPr>
                  <w:r>
                    <w:rPr>
                      <w:rFonts w:hint="eastAsia"/>
                      <w:color w:val="auto"/>
                      <w:szCs w:val="21"/>
                    </w:rPr>
                    <w:t>S</w:t>
                  </w:r>
                  <w:r>
                    <w:rPr>
                      <w:color w:val="auto"/>
                      <w:szCs w:val="21"/>
                    </w:rPr>
                    <w:t>S</w:t>
                  </w:r>
                </w:p>
              </w:tc>
              <w:tc>
                <w:tcPr>
                  <w:tcW w:w="774" w:type="pct"/>
                  <w:shd w:val="clear" w:color="auto" w:fill="auto"/>
                  <w:vAlign w:val="center"/>
                </w:tcPr>
                <w:p w14:paraId="04AC3E69">
                  <w:pPr>
                    <w:adjustRightInd w:val="0"/>
                    <w:snapToGrid w:val="0"/>
                    <w:jc w:val="center"/>
                    <w:rPr>
                      <w:color w:val="auto"/>
                      <w:kern w:val="0"/>
                      <w:szCs w:val="21"/>
                    </w:rPr>
                  </w:pPr>
                  <w:r>
                    <w:rPr>
                      <w:rFonts w:hint="eastAsia"/>
                      <w:color w:val="auto"/>
                      <w:kern w:val="0"/>
                      <w:szCs w:val="21"/>
                    </w:rPr>
                    <w:t>1</w:t>
                  </w:r>
                  <w:r>
                    <w:rPr>
                      <w:color w:val="auto"/>
                      <w:kern w:val="0"/>
                      <w:szCs w:val="21"/>
                    </w:rPr>
                    <w:t>0</w:t>
                  </w:r>
                </w:p>
              </w:tc>
            </w:tr>
            <w:tr w14:paraId="4C034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21" w:type="pct"/>
                  <w:vMerge w:val="continue"/>
                  <w:shd w:val="clear" w:color="auto" w:fill="auto"/>
                  <w:vAlign w:val="center"/>
                </w:tcPr>
                <w:p w14:paraId="3A3B71AA">
                  <w:pPr>
                    <w:adjustRightInd w:val="0"/>
                    <w:snapToGrid w:val="0"/>
                    <w:jc w:val="center"/>
                    <w:rPr>
                      <w:color w:val="auto"/>
                      <w:kern w:val="0"/>
                      <w:szCs w:val="21"/>
                    </w:rPr>
                  </w:pPr>
                </w:p>
              </w:tc>
              <w:tc>
                <w:tcPr>
                  <w:tcW w:w="372" w:type="pct"/>
                  <w:vMerge w:val="continue"/>
                  <w:shd w:val="clear" w:color="auto" w:fill="auto"/>
                  <w:vAlign w:val="center"/>
                </w:tcPr>
                <w:p w14:paraId="08DAB9A0">
                  <w:pPr>
                    <w:adjustRightInd w:val="0"/>
                    <w:snapToGrid w:val="0"/>
                    <w:jc w:val="center"/>
                    <w:rPr>
                      <w:color w:val="auto"/>
                      <w:kern w:val="0"/>
                      <w:szCs w:val="21"/>
                    </w:rPr>
                  </w:pPr>
                </w:p>
              </w:tc>
              <w:tc>
                <w:tcPr>
                  <w:tcW w:w="517" w:type="pct"/>
                  <w:vMerge w:val="continue"/>
                  <w:shd w:val="clear" w:color="auto" w:fill="auto"/>
                  <w:vAlign w:val="center"/>
                </w:tcPr>
                <w:p w14:paraId="58E6FA5E">
                  <w:pPr>
                    <w:adjustRightInd w:val="0"/>
                    <w:snapToGrid w:val="0"/>
                    <w:jc w:val="center"/>
                    <w:rPr>
                      <w:color w:val="auto"/>
                      <w:szCs w:val="21"/>
                    </w:rPr>
                  </w:pPr>
                </w:p>
              </w:tc>
              <w:tc>
                <w:tcPr>
                  <w:tcW w:w="476" w:type="pct"/>
                  <w:vMerge w:val="continue"/>
                  <w:shd w:val="clear" w:color="auto" w:fill="auto"/>
                  <w:vAlign w:val="center"/>
                </w:tcPr>
                <w:p w14:paraId="36D89C5A">
                  <w:pPr>
                    <w:adjustRightInd w:val="0"/>
                    <w:snapToGrid w:val="0"/>
                    <w:jc w:val="center"/>
                    <w:rPr>
                      <w:color w:val="auto"/>
                      <w:szCs w:val="21"/>
                    </w:rPr>
                  </w:pPr>
                </w:p>
              </w:tc>
              <w:tc>
                <w:tcPr>
                  <w:tcW w:w="379" w:type="pct"/>
                  <w:vMerge w:val="continue"/>
                  <w:shd w:val="clear" w:color="auto" w:fill="auto"/>
                  <w:vAlign w:val="center"/>
                </w:tcPr>
                <w:p w14:paraId="61639645">
                  <w:pPr>
                    <w:adjustRightInd w:val="0"/>
                    <w:snapToGrid w:val="0"/>
                    <w:jc w:val="center"/>
                    <w:rPr>
                      <w:color w:val="auto"/>
                      <w:kern w:val="0"/>
                      <w:szCs w:val="21"/>
                    </w:rPr>
                  </w:pPr>
                </w:p>
              </w:tc>
              <w:tc>
                <w:tcPr>
                  <w:tcW w:w="320" w:type="pct"/>
                  <w:vMerge w:val="continue"/>
                  <w:shd w:val="clear" w:color="auto" w:fill="auto"/>
                  <w:vAlign w:val="center"/>
                </w:tcPr>
                <w:p w14:paraId="78183318">
                  <w:pPr>
                    <w:adjustRightInd w:val="0"/>
                    <w:snapToGrid w:val="0"/>
                    <w:jc w:val="center"/>
                    <w:rPr>
                      <w:color w:val="auto"/>
                      <w:kern w:val="0"/>
                      <w:szCs w:val="21"/>
                    </w:rPr>
                  </w:pPr>
                </w:p>
              </w:tc>
              <w:tc>
                <w:tcPr>
                  <w:tcW w:w="494" w:type="pct"/>
                  <w:vMerge w:val="continue"/>
                  <w:shd w:val="clear" w:color="auto" w:fill="auto"/>
                  <w:vAlign w:val="center"/>
                </w:tcPr>
                <w:p w14:paraId="014CD3A6">
                  <w:pPr>
                    <w:adjustRightInd w:val="0"/>
                    <w:snapToGrid w:val="0"/>
                    <w:jc w:val="center"/>
                    <w:rPr>
                      <w:color w:val="auto"/>
                      <w:kern w:val="0"/>
                      <w:szCs w:val="21"/>
                    </w:rPr>
                  </w:pPr>
                </w:p>
              </w:tc>
              <w:tc>
                <w:tcPr>
                  <w:tcW w:w="287" w:type="pct"/>
                  <w:vMerge w:val="continue"/>
                  <w:shd w:val="clear" w:color="auto" w:fill="auto"/>
                  <w:vAlign w:val="center"/>
                </w:tcPr>
                <w:p w14:paraId="25EBAC7A">
                  <w:pPr>
                    <w:adjustRightInd w:val="0"/>
                    <w:snapToGrid w:val="0"/>
                    <w:jc w:val="center"/>
                    <w:rPr>
                      <w:color w:val="auto"/>
                      <w:kern w:val="0"/>
                      <w:szCs w:val="21"/>
                    </w:rPr>
                  </w:pPr>
                </w:p>
              </w:tc>
              <w:tc>
                <w:tcPr>
                  <w:tcW w:w="426" w:type="pct"/>
                  <w:vMerge w:val="continue"/>
                  <w:shd w:val="clear" w:color="auto" w:fill="auto"/>
                  <w:vAlign w:val="center"/>
                </w:tcPr>
                <w:p w14:paraId="694800F6">
                  <w:pPr>
                    <w:adjustRightInd w:val="0"/>
                    <w:snapToGrid w:val="0"/>
                    <w:jc w:val="center"/>
                    <w:rPr>
                      <w:color w:val="auto"/>
                      <w:kern w:val="0"/>
                      <w:szCs w:val="21"/>
                    </w:rPr>
                  </w:pPr>
                </w:p>
              </w:tc>
              <w:tc>
                <w:tcPr>
                  <w:tcW w:w="629" w:type="pct"/>
                  <w:shd w:val="clear" w:color="auto" w:fill="auto"/>
                  <w:vAlign w:val="center"/>
                </w:tcPr>
                <w:p w14:paraId="174E1CC9">
                  <w:pPr>
                    <w:adjustRightInd w:val="0"/>
                    <w:snapToGrid w:val="0"/>
                    <w:jc w:val="center"/>
                    <w:rPr>
                      <w:color w:val="auto"/>
                      <w:kern w:val="0"/>
                      <w:szCs w:val="21"/>
                    </w:rPr>
                  </w:pPr>
                  <w:r>
                    <w:rPr>
                      <w:color w:val="auto"/>
                      <w:szCs w:val="21"/>
                    </w:rPr>
                    <w:t>氨氮</w:t>
                  </w:r>
                </w:p>
              </w:tc>
              <w:tc>
                <w:tcPr>
                  <w:tcW w:w="774" w:type="pct"/>
                  <w:shd w:val="clear" w:color="auto" w:fill="auto"/>
                  <w:vAlign w:val="center"/>
                </w:tcPr>
                <w:p w14:paraId="79A401F5">
                  <w:pPr>
                    <w:adjustRightInd w:val="0"/>
                    <w:snapToGrid w:val="0"/>
                    <w:jc w:val="center"/>
                    <w:rPr>
                      <w:color w:val="auto"/>
                      <w:kern w:val="0"/>
                      <w:szCs w:val="21"/>
                    </w:rPr>
                  </w:pPr>
                  <w:r>
                    <w:rPr>
                      <w:rFonts w:hint="eastAsia"/>
                      <w:color w:val="auto"/>
                      <w:kern w:val="0"/>
                      <w:szCs w:val="21"/>
                    </w:rPr>
                    <w:t>5</w:t>
                  </w:r>
                </w:p>
              </w:tc>
            </w:tr>
            <w:tr w14:paraId="38CEC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21" w:type="pct"/>
                  <w:vMerge w:val="continue"/>
                  <w:shd w:val="clear" w:color="auto" w:fill="auto"/>
                  <w:vAlign w:val="center"/>
                </w:tcPr>
                <w:p w14:paraId="4D420327">
                  <w:pPr>
                    <w:adjustRightInd w:val="0"/>
                    <w:snapToGrid w:val="0"/>
                    <w:jc w:val="center"/>
                    <w:rPr>
                      <w:color w:val="auto"/>
                      <w:kern w:val="0"/>
                      <w:szCs w:val="21"/>
                    </w:rPr>
                  </w:pPr>
                </w:p>
              </w:tc>
              <w:tc>
                <w:tcPr>
                  <w:tcW w:w="372" w:type="pct"/>
                  <w:vMerge w:val="continue"/>
                  <w:shd w:val="clear" w:color="auto" w:fill="auto"/>
                  <w:vAlign w:val="center"/>
                </w:tcPr>
                <w:p w14:paraId="75BC709A">
                  <w:pPr>
                    <w:adjustRightInd w:val="0"/>
                    <w:snapToGrid w:val="0"/>
                    <w:jc w:val="center"/>
                    <w:rPr>
                      <w:color w:val="auto"/>
                      <w:kern w:val="0"/>
                      <w:szCs w:val="21"/>
                    </w:rPr>
                  </w:pPr>
                </w:p>
              </w:tc>
              <w:tc>
                <w:tcPr>
                  <w:tcW w:w="517" w:type="pct"/>
                  <w:vMerge w:val="continue"/>
                  <w:shd w:val="clear" w:color="auto" w:fill="auto"/>
                  <w:vAlign w:val="center"/>
                </w:tcPr>
                <w:p w14:paraId="07C24B7D">
                  <w:pPr>
                    <w:adjustRightInd w:val="0"/>
                    <w:snapToGrid w:val="0"/>
                    <w:jc w:val="center"/>
                    <w:rPr>
                      <w:color w:val="auto"/>
                      <w:szCs w:val="21"/>
                    </w:rPr>
                  </w:pPr>
                </w:p>
              </w:tc>
              <w:tc>
                <w:tcPr>
                  <w:tcW w:w="476" w:type="pct"/>
                  <w:vMerge w:val="continue"/>
                  <w:shd w:val="clear" w:color="auto" w:fill="auto"/>
                  <w:vAlign w:val="center"/>
                </w:tcPr>
                <w:p w14:paraId="5EA8DF0E">
                  <w:pPr>
                    <w:adjustRightInd w:val="0"/>
                    <w:snapToGrid w:val="0"/>
                    <w:jc w:val="center"/>
                    <w:rPr>
                      <w:color w:val="auto"/>
                      <w:szCs w:val="21"/>
                    </w:rPr>
                  </w:pPr>
                </w:p>
              </w:tc>
              <w:tc>
                <w:tcPr>
                  <w:tcW w:w="379" w:type="pct"/>
                  <w:vMerge w:val="continue"/>
                  <w:shd w:val="clear" w:color="auto" w:fill="auto"/>
                  <w:vAlign w:val="center"/>
                </w:tcPr>
                <w:p w14:paraId="33F2E6AC">
                  <w:pPr>
                    <w:adjustRightInd w:val="0"/>
                    <w:snapToGrid w:val="0"/>
                    <w:jc w:val="center"/>
                    <w:rPr>
                      <w:color w:val="auto"/>
                      <w:kern w:val="0"/>
                      <w:szCs w:val="21"/>
                    </w:rPr>
                  </w:pPr>
                </w:p>
              </w:tc>
              <w:tc>
                <w:tcPr>
                  <w:tcW w:w="320" w:type="pct"/>
                  <w:vMerge w:val="continue"/>
                  <w:shd w:val="clear" w:color="auto" w:fill="auto"/>
                  <w:vAlign w:val="center"/>
                </w:tcPr>
                <w:p w14:paraId="20132EF1">
                  <w:pPr>
                    <w:adjustRightInd w:val="0"/>
                    <w:snapToGrid w:val="0"/>
                    <w:jc w:val="center"/>
                    <w:rPr>
                      <w:color w:val="auto"/>
                      <w:kern w:val="0"/>
                      <w:szCs w:val="21"/>
                    </w:rPr>
                  </w:pPr>
                </w:p>
              </w:tc>
              <w:tc>
                <w:tcPr>
                  <w:tcW w:w="494" w:type="pct"/>
                  <w:vMerge w:val="continue"/>
                  <w:shd w:val="clear" w:color="auto" w:fill="auto"/>
                  <w:vAlign w:val="center"/>
                </w:tcPr>
                <w:p w14:paraId="2F29B8B1">
                  <w:pPr>
                    <w:adjustRightInd w:val="0"/>
                    <w:snapToGrid w:val="0"/>
                    <w:jc w:val="center"/>
                    <w:rPr>
                      <w:color w:val="auto"/>
                      <w:kern w:val="0"/>
                      <w:szCs w:val="21"/>
                    </w:rPr>
                  </w:pPr>
                </w:p>
              </w:tc>
              <w:tc>
                <w:tcPr>
                  <w:tcW w:w="287" w:type="pct"/>
                  <w:vMerge w:val="continue"/>
                  <w:shd w:val="clear" w:color="auto" w:fill="auto"/>
                  <w:vAlign w:val="center"/>
                </w:tcPr>
                <w:p w14:paraId="64CC75A5">
                  <w:pPr>
                    <w:adjustRightInd w:val="0"/>
                    <w:snapToGrid w:val="0"/>
                    <w:jc w:val="center"/>
                    <w:rPr>
                      <w:color w:val="auto"/>
                      <w:kern w:val="0"/>
                      <w:szCs w:val="21"/>
                    </w:rPr>
                  </w:pPr>
                </w:p>
              </w:tc>
              <w:tc>
                <w:tcPr>
                  <w:tcW w:w="426" w:type="pct"/>
                  <w:vMerge w:val="continue"/>
                  <w:shd w:val="clear" w:color="auto" w:fill="auto"/>
                  <w:vAlign w:val="center"/>
                </w:tcPr>
                <w:p w14:paraId="465DB866">
                  <w:pPr>
                    <w:adjustRightInd w:val="0"/>
                    <w:snapToGrid w:val="0"/>
                    <w:jc w:val="center"/>
                    <w:rPr>
                      <w:color w:val="auto"/>
                      <w:kern w:val="0"/>
                      <w:szCs w:val="21"/>
                    </w:rPr>
                  </w:pPr>
                </w:p>
              </w:tc>
              <w:tc>
                <w:tcPr>
                  <w:tcW w:w="629" w:type="pct"/>
                  <w:shd w:val="clear" w:color="auto" w:fill="auto"/>
                  <w:vAlign w:val="center"/>
                </w:tcPr>
                <w:p w14:paraId="6A4D3F40">
                  <w:pPr>
                    <w:adjustRightInd w:val="0"/>
                    <w:snapToGrid w:val="0"/>
                    <w:jc w:val="center"/>
                    <w:rPr>
                      <w:color w:val="auto"/>
                      <w:kern w:val="0"/>
                      <w:szCs w:val="21"/>
                    </w:rPr>
                  </w:pPr>
                  <w:r>
                    <w:rPr>
                      <w:color w:val="auto"/>
                      <w:szCs w:val="21"/>
                    </w:rPr>
                    <w:t>总氮</w:t>
                  </w:r>
                </w:p>
              </w:tc>
              <w:tc>
                <w:tcPr>
                  <w:tcW w:w="774" w:type="pct"/>
                  <w:shd w:val="clear" w:color="auto" w:fill="auto"/>
                  <w:vAlign w:val="center"/>
                </w:tcPr>
                <w:p w14:paraId="5805184A">
                  <w:pPr>
                    <w:adjustRightInd w:val="0"/>
                    <w:snapToGrid w:val="0"/>
                    <w:jc w:val="center"/>
                    <w:rPr>
                      <w:color w:val="auto"/>
                      <w:kern w:val="0"/>
                      <w:szCs w:val="21"/>
                    </w:rPr>
                  </w:pPr>
                  <w:r>
                    <w:rPr>
                      <w:rFonts w:hint="eastAsia"/>
                      <w:color w:val="auto"/>
                      <w:kern w:val="0"/>
                      <w:szCs w:val="21"/>
                    </w:rPr>
                    <w:t>15</w:t>
                  </w:r>
                </w:p>
              </w:tc>
            </w:tr>
            <w:tr w14:paraId="6B306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21" w:type="pct"/>
                  <w:vMerge w:val="continue"/>
                  <w:shd w:val="clear" w:color="auto" w:fill="auto"/>
                  <w:vAlign w:val="center"/>
                </w:tcPr>
                <w:p w14:paraId="377BDEB4">
                  <w:pPr>
                    <w:adjustRightInd w:val="0"/>
                    <w:snapToGrid w:val="0"/>
                    <w:jc w:val="center"/>
                    <w:rPr>
                      <w:color w:val="auto"/>
                      <w:kern w:val="0"/>
                      <w:szCs w:val="21"/>
                    </w:rPr>
                  </w:pPr>
                </w:p>
              </w:tc>
              <w:tc>
                <w:tcPr>
                  <w:tcW w:w="372" w:type="pct"/>
                  <w:vMerge w:val="continue"/>
                  <w:shd w:val="clear" w:color="auto" w:fill="auto"/>
                  <w:vAlign w:val="center"/>
                </w:tcPr>
                <w:p w14:paraId="307C0C11">
                  <w:pPr>
                    <w:adjustRightInd w:val="0"/>
                    <w:snapToGrid w:val="0"/>
                    <w:jc w:val="center"/>
                    <w:rPr>
                      <w:color w:val="auto"/>
                      <w:kern w:val="0"/>
                      <w:szCs w:val="21"/>
                    </w:rPr>
                  </w:pPr>
                </w:p>
              </w:tc>
              <w:tc>
                <w:tcPr>
                  <w:tcW w:w="517" w:type="pct"/>
                  <w:vMerge w:val="continue"/>
                  <w:shd w:val="clear" w:color="auto" w:fill="auto"/>
                  <w:vAlign w:val="center"/>
                </w:tcPr>
                <w:p w14:paraId="07B0266B">
                  <w:pPr>
                    <w:adjustRightInd w:val="0"/>
                    <w:snapToGrid w:val="0"/>
                    <w:jc w:val="center"/>
                    <w:rPr>
                      <w:color w:val="auto"/>
                      <w:szCs w:val="21"/>
                    </w:rPr>
                  </w:pPr>
                </w:p>
              </w:tc>
              <w:tc>
                <w:tcPr>
                  <w:tcW w:w="476" w:type="pct"/>
                  <w:vMerge w:val="continue"/>
                  <w:shd w:val="clear" w:color="auto" w:fill="auto"/>
                  <w:vAlign w:val="center"/>
                </w:tcPr>
                <w:p w14:paraId="344DEECD">
                  <w:pPr>
                    <w:adjustRightInd w:val="0"/>
                    <w:snapToGrid w:val="0"/>
                    <w:jc w:val="center"/>
                    <w:rPr>
                      <w:color w:val="auto"/>
                      <w:szCs w:val="21"/>
                    </w:rPr>
                  </w:pPr>
                </w:p>
              </w:tc>
              <w:tc>
                <w:tcPr>
                  <w:tcW w:w="379" w:type="pct"/>
                  <w:vMerge w:val="continue"/>
                  <w:shd w:val="clear" w:color="auto" w:fill="auto"/>
                  <w:vAlign w:val="center"/>
                </w:tcPr>
                <w:p w14:paraId="29CE1124">
                  <w:pPr>
                    <w:adjustRightInd w:val="0"/>
                    <w:snapToGrid w:val="0"/>
                    <w:jc w:val="center"/>
                    <w:rPr>
                      <w:color w:val="auto"/>
                      <w:kern w:val="0"/>
                      <w:szCs w:val="21"/>
                    </w:rPr>
                  </w:pPr>
                </w:p>
              </w:tc>
              <w:tc>
                <w:tcPr>
                  <w:tcW w:w="320" w:type="pct"/>
                  <w:vMerge w:val="continue"/>
                  <w:shd w:val="clear" w:color="auto" w:fill="auto"/>
                  <w:vAlign w:val="center"/>
                </w:tcPr>
                <w:p w14:paraId="152C2858">
                  <w:pPr>
                    <w:adjustRightInd w:val="0"/>
                    <w:snapToGrid w:val="0"/>
                    <w:jc w:val="center"/>
                    <w:rPr>
                      <w:color w:val="auto"/>
                      <w:kern w:val="0"/>
                      <w:szCs w:val="21"/>
                    </w:rPr>
                  </w:pPr>
                </w:p>
              </w:tc>
              <w:tc>
                <w:tcPr>
                  <w:tcW w:w="494" w:type="pct"/>
                  <w:vMerge w:val="continue"/>
                  <w:shd w:val="clear" w:color="auto" w:fill="auto"/>
                  <w:vAlign w:val="center"/>
                </w:tcPr>
                <w:p w14:paraId="63E00209">
                  <w:pPr>
                    <w:adjustRightInd w:val="0"/>
                    <w:snapToGrid w:val="0"/>
                    <w:jc w:val="center"/>
                    <w:rPr>
                      <w:color w:val="auto"/>
                      <w:kern w:val="0"/>
                      <w:szCs w:val="21"/>
                    </w:rPr>
                  </w:pPr>
                </w:p>
              </w:tc>
              <w:tc>
                <w:tcPr>
                  <w:tcW w:w="287" w:type="pct"/>
                  <w:vMerge w:val="continue"/>
                  <w:shd w:val="clear" w:color="auto" w:fill="auto"/>
                  <w:vAlign w:val="center"/>
                </w:tcPr>
                <w:p w14:paraId="38762D00">
                  <w:pPr>
                    <w:adjustRightInd w:val="0"/>
                    <w:snapToGrid w:val="0"/>
                    <w:jc w:val="center"/>
                    <w:rPr>
                      <w:color w:val="auto"/>
                      <w:kern w:val="0"/>
                      <w:szCs w:val="21"/>
                    </w:rPr>
                  </w:pPr>
                </w:p>
              </w:tc>
              <w:tc>
                <w:tcPr>
                  <w:tcW w:w="426" w:type="pct"/>
                  <w:vMerge w:val="continue"/>
                  <w:shd w:val="clear" w:color="auto" w:fill="auto"/>
                  <w:vAlign w:val="center"/>
                </w:tcPr>
                <w:p w14:paraId="373F0FC3">
                  <w:pPr>
                    <w:adjustRightInd w:val="0"/>
                    <w:snapToGrid w:val="0"/>
                    <w:jc w:val="center"/>
                    <w:rPr>
                      <w:color w:val="auto"/>
                      <w:kern w:val="0"/>
                      <w:szCs w:val="21"/>
                    </w:rPr>
                  </w:pPr>
                </w:p>
              </w:tc>
              <w:tc>
                <w:tcPr>
                  <w:tcW w:w="629" w:type="pct"/>
                  <w:shd w:val="clear" w:color="auto" w:fill="auto"/>
                  <w:vAlign w:val="center"/>
                </w:tcPr>
                <w:p w14:paraId="31C934D2">
                  <w:pPr>
                    <w:adjustRightInd w:val="0"/>
                    <w:snapToGrid w:val="0"/>
                    <w:jc w:val="center"/>
                    <w:rPr>
                      <w:color w:val="auto"/>
                      <w:kern w:val="0"/>
                      <w:szCs w:val="21"/>
                    </w:rPr>
                  </w:pPr>
                  <w:r>
                    <w:rPr>
                      <w:color w:val="auto"/>
                      <w:szCs w:val="21"/>
                    </w:rPr>
                    <w:t>总磷</w:t>
                  </w:r>
                </w:p>
              </w:tc>
              <w:tc>
                <w:tcPr>
                  <w:tcW w:w="774" w:type="pct"/>
                  <w:shd w:val="clear" w:color="auto" w:fill="auto"/>
                  <w:vAlign w:val="center"/>
                </w:tcPr>
                <w:p w14:paraId="23BAFC4E">
                  <w:pPr>
                    <w:adjustRightInd w:val="0"/>
                    <w:snapToGrid w:val="0"/>
                    <w:jc w:val="center"/>
                    <w:rPr>
                      <w:color w:val="auto"/>
                      <w:kern w:val="0"/>
                      <w:szCs w:val="21"/>
                    </w:rPr>
                  </w:pPr>
                  <w:r>
                    <w:rPr>
                      <w:rFonts w:hint="eastAsia"/>
                      <w:color w:val="auto"/>
                      <w:kern w:val="0"/>
                      <w:szCs w:val="21"/>
                    </w:rPr>
                    <w:t>0</w:t>
                  </w:r>
                  <w:r>
                    <w:rPr>
                      <w:color w:val="auto"/>
                      <w:kern w:val="0"/>
                      <w:szCs w:val="21"/>
                    </w:rPr>
                    <w:t>.5</w:t>
                  </w:r>
                </w:p>
              </w:tc>
            </w:tr>
            <w:tr w14:paraId="37353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21" w:type="pct"/>
                  <w:vMerge w:val="continue"/>
                  <w:shd w:val="clear" w:color="auto" w:fill="auto"/>
                  <w:vAlign w:val="center"/>
                </w:tcPr>
                <w:p w14:paraId="0DAF2DA3">
                  <w:pPr>
                    <w:adjustRightInd w:val="0"/>
                    <w:snapToGrid w:val="0"/>
                    <w:jc w:val="center"/>
                    <w:rPr>
                      <w:color w:val="auto"/>
                      <w:kern w:val="0"/>
                      <w:szCs w:val="21"/>
                    </w:rPr>
                  </w:pPr>
                </w:p>
              </w:tc>
              <w:tc>
                <w:tcPr>
                  <w:tcW w:w="372" w:type="pct"/>
                  <w:vMerge w:val="continue"/>
                  <w:shd w:val="clear" w:color="auto" w:fill="auto"/>
                  <w:vAlign w:val="center"/>
                </w:tcPr>
                <w:p w14:paraId="2A6F943C">
                  <w:pPr>
                    <w:adjustRightInd w:val="0"/>
                    <w:snapToGrid w:val="0"/>
                    <w:jc w:val="center"/>
                    <w:rPr>
                      <w:color w:val="auto"/>
                      <w:kern w:val="0"/>
                      <w:szCs w:val="21"/>
                    </w:rPr>
                  </w:pPr>
                </w:p>
              </w:tc>
              <w:tc>
                <w:tcPr>
                  <w:tcW w:w="517" w:type="pct"/>
                  <w:vMerge w:val="continue"/>
                  <w:shd w:val="clear" w:color="auto" w:fill="auto"/>
                  <w:vAlign w:val="center"/>
                </w:tcPr>
                <w:p w14:paraId="186B74C9">
                  <w:pPr>
                    <w:adjustRightInd w:val="0"/>
                    <w:snapToGrid w:val="0"/>
                    <w:jc w:val="center"/>
                    <w:rPr>
                      <w:color w:val="auto"/>
                      <w:szCs w:val="21"/>
                    </w:rPr>
                  </w:pPr>
                </w:p>
              </w:tc>
              <w:tc>
                <w:tcPr>
                  <w:tcW w:w="476" w:type="pct"/>
                  <w:vMerge w:val="continue"/>
                  <w:shd w:val="clear" w:color="auto" w:fill="auto"/>
                  <w:vAlign w:val="center"/>
                </w:tcPr>
                <w:p w14:paraId="3CD5D23E">
                  <w:pPr>
                    <w:adjustRightInd w:val="0"/>
                    <w:snapToGrid w:val="0"/>
                    <w:jc w:val="center"/>
                    <w:rPr>
                      <w:color w:val="auto"/>
                      <w:szCs w:val="21"/>
                    </w:rPr>
                  </w:pPr>
                </w:p>
              </w:tc>
              <w:tc>
                <w:tcPr>
                  <w:tcW w:w="379" w:type="pct"/>
                  <w:vMerge w:val="continue"/>
                  <w:shd w:val="clear" w:color="auto" w:fill="auto"/>
                  <w:vAlign w:val="center"/>
                </w:tcPr>
                <w:p w14:paraId="1730ED29">
                  <w:pPr>
                    <w:adjustRightInd w:val="0"/>
                    <w:snapToGrid w:val="0"/>
                    <w:jc w:val="center"/>
                    <w:rPr>
                      <w:color w:val="auto"/>
                      <w:kern w:val="0"/>
                      <w:szCs w:val="21"/>
                    </w:rPr>
                  </w:pPr>
                </w:p>
              </w:tc>
              <w:tc>
                <w:tcPr>
                  <w:tcW w:w="320" w:type="pct"/>
                  <w:vMerge w:val="continue"/>
                  <w:shd w:val="clear" w:color="auto" w:fill="auto"/>
                  <w:vAlign w:val="center"/>
                </w:tcPr>
                <w:p w14:paraId="0A3AE536">
                  <w:pPr>
                    <w:adjustRightInd w:val="0"/>
                    <w:snapToGrid w:val="0"/>
                    <w:jc w:val="center"/>
                    <w:rPr>
                      <w:color w:val="auto"/>
                      <w:kern w:val="0"/>
                      <w:szCs w:val="21"/>
                    </w:rPr>
                  </w:pPr>
                </w:p>
              </w:tc>
              <w:tc>
                <w:tcPr>
                  <w:tcW w:w="494" w:type="pct"/>
                  <w:vMerge w:val="continue"/>
                  <w:shd w:val="clear" w:color="auto" w:fill="auto"/>
                  <w:vAlign w:val="center"/>
                </w:tcPr>
                <w:p w14:paraId="47CD4035">
                  <w:pPr>
                    <w:adjustRightInd w:val="0"/>
                    <w:snapToGrid w:val="0"/>
                    <w:jc w:val="center"/>
                    <w:rPr>
                      <w:color w:val="auto"/>
                      <w:kern w:val="0"/>
                      <w:szCs w:val="21"/>
                    </w:rPr>
                  </w:pPr>
                </w:p>
              </w:tc>
              <w:tc>
                <w:tcPr>
                  <w:tcW w:w="287" w:type="pct"/>
                  <w:vMerge w:val="continue"/>
                  <w:shd w:val="clear" w:color="auto" w:fill="auto"/>
                  <w:vAlign w:val="center"/>
                </w:tcPr>
                <w:p w14:paraId="3E9AFE42">
                  <w:pPr>
                    <w:adjustRightInd w:val="0"/>
                    <w:snapToGrid w:val="0"/>
                    <w:jc w:val="center"/>
                    <w:rPr>
                      <w:color w:val="auto"/>
                      <w:kern w:val="0"/>
                      <w:szCs w:val="21"/>
                    </w:rPr>
                  </w:pPr>
                </w:p>
              </w:tc>
              <w:tc>
                <w:tcPr>
                  <w:tcW w:w="426" w:type="pct"/>
                  <w:vMerge w:val="continue"/>
                  <w:shd w:val="clear" w:color="auto" w:fill="auto"/>
                  <w:vAlign w:val="center"/>
                </w:tcPr>
                <w:p w14:paraId="385B354C">
                  <w:pPr>
                    <w:adjustRightInd w:val="0"/>
                    <w:snapToGrid w:val="0"/>
                    <w:jc w:val="center"/>
                    <w:rPr>
                      <w:color w:val="auto"/>
                      <w:kern w:val="0"/>
                      <w:szCs w:val="21"/>
                    </w:rPr>
                  </w:pPr>
                </w:p>
              </w:tc>
              <w:tc>
                <w:tcPr>
                  <w:tcW w:w="629" w:type="pct"/>
                  <w:shd w:val="clear" w:color="auto" w:fill="auto"/>
                  <w:vAlign w:val="center"/>
                </w:tcPr>
                <w:p w14:paraId="41B4FD72">
                  <w:pPr>
                    <w:adjustRightInd w:val="0"/>
                    <w:snapToGrid w:val="0"/>
                    <w:jc w:val="center"/>
                    <w:rPr>
                      <w:color w:val="auto"/>
                      <w:kern w:val="0"/>
                      <w:szCs w:val="21"/>
                    </w:rPr>
                  </w:pPr>
                  <w:r>
                    <w:rPr>
                      <w:color w:val="auto"/>
                      <w:szCs w:val="21"/>
                    </w:rPr>
                    <w:t>动植物油</w:t>
                  </w:r>
                </w:p>
              </w:tc>
              <w:tc>
                <w:tcPr>
                  <w:tcW w:w="774" w:type="pct"/>
                  <w:shd w:val="clear" w:color="auto" w:fill="auto"/>
                  <w:vAlign w:val="center"/>
                </w:tcPr>
                <w:p w14:paraId="7B44583E">
                  <w:pPr>
                    <w:adjustRightInd w:val="0"/>
                    <w:snapToGrid w:val="0"/>
                    <w:jc w:val="center"/>
                    <w:rPr>
                      <w:color w:val="auto"/>
                      <w:kern w:val="0"/>
                      <w:szCs w:val="21"/>
                    </w:rPr>
                  </w:pPr>
                  <w:r>
                    <w:rPr>
                      <w:rFonts w:hint="eastAsia"/>
                      <w:color w:val="auto"/>
                      <w:kern w:val="0"/>
                      <w:szCs w:val="21"/>
                    </w:rPr>
                    <w:t>1</w:t>
                  </w:r>
                </w:p>
              </w:tc>
            </w:tr>
            <w:tr w14:paraId="46402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21" w:type="pct"/>
                  <w:vMerge w:val="continue"/>
                  <w:shd w:val="clear" w:color="auto" w:fill="auto"/>
                  <w:vAlign w:val="center"/>
                </w:tcPr>
                <w:p w14:paraId="7CD25CC4">
                  <w:pPr>
                    <w:adjustRightInd w:val="0"/>
                    <w:snapToGrid w:val="0"/>
                    <w:jc w:val="center"/>
                    <w:rPr>
                      <w:color w:val="auto"/>
                      <w:kern w:val="0"/>
                      <w:szCs w:val="21"/>
                    </w:rPr>
                  </w:pPr>
                </w:p>
              </w:tc>
              <w:tc>
                <w:tcPr>
                  <w:tcW w:w="372" w:type="pct"/>
                  <w:vMerge w:val="continue"/>
                  <w:shd w:val="clear" w:color="auto" w:fill="auto"/>
                  <w:vAlign w:val="center"/>
                </w:tcPr>
                <w:p w14:paraId="790F5E65">
                  <w:pPr>
                    <w:adjustRightInd w:val="0"/>
                    <w:snapToGrid w:val="0"/>
                    <w:jc w:val="center"/>
                    <w:rPr>
                      <w:color w:val="auto"/>
                      <w:kern w:val="0"/>
                      <w:szCs w:val="21"/>
                    </w:rPr>
                  </w:pPr>
                </w:p>
              </w:tc>
              <w:tc>
                <w:tcPr>
                  <w:tcW w:w="517" w:type="pct"/>
                  <w:vMerge w:val="continue"/>
                  <w:shd w:val="clear" w:color="auto" w:fill="auto"/>
                  <w:vAlign w:val="center"/>
                </w:tcPr>
                <w:p w14:paraId="79AF6BB7">
                  <w:pPr>
                    <w:adjustRightInd w:val="0"/>
                    <w:snapToGrid w:val="0"/>
                    <w:jc w:val="center"/>
                    <w:rPr>
                      <w:color w:val="auto"/>
                      <w:szCs w:val="21"/>
                    </w:rPr>
                  </w:pPr>
                </w:p>
              </w:tc>
              <w:tc>
                <w:tcPr>
                  <w:tcW w:w="476" w:type="pct"/>
                  <w:vMerge w:val="continue"/>
                  <w:shd w:val="clear" w:color="auto" w:fill="auto"/>
                  <w:vAlign w:val="center"/>
                </w:tcPr>
                <w:p w14:paraId="75E2EB90">
                  <w:pPr>
                    <w:adjustRightInd w:val="0"/>
                    <w:snapToGrid w:val="0"/>
                    <w:jc w:val="center"/>
                    <w:rPr>
                      <w:color w:val="auto"/>
                      <w:szCs w:val="21"/>
                    </w:rPr>
                  </w:pPr>
                </w:p>
              </w:tc>
              <w:tc>
                <w:tcPr>
                  <w:tcW w:w="379" w:type="pct"/>
                  <w:vMerge w:val="continue"/>
                  <w:shd w:val="clear" w:color="auto" w:fill="auto"/>
                  <w:vAlign w:val="center"/>
                </w:tcPr>
                <w:p w14:paraId="387EC4E5">
                  <w:pPr>
                    <w:adjustRightInd w:val="0"/>
                    <w:snapToGrid w:val="0"/>
                    <w:jc w:val="center"/>
                    <w:rPr>
                      <w:color w:val="auto"/>
                      <w:kern w:val="0"/>
                      <w:szCs w:val="21"/>
                    </w:rPr>
                  </w:pPr>
                </w:p>
              </w:tc>
              <w:tc>
                <w:tcPr>
                  <w:tcW w:w="320" w:type="pct"/>
                  <w:vMerge w:val="continue"/>
                  <w:shd w:val="clear" w:color="auto" w:fill="auto"/>
                  <w:vAlign w:val="center"/>
                </w:tcPr>
                <w:p w14:paraId="28BA714A">
                  <w:pPr>
                    <w:adjustRightInd w:val="0"/>
                    <w:snapToGrid w:val="0"/>
                    <w:jc w:val="center"/>
                    <w:rPr>
                      <w:color w:val="auto"/>
                      <w:kern w:val="0"/>
                      <w:szCs w:val="21"/>
                    </w:rPr>
                  </w:pPr>
                </w:p>
              </w:tc>
              <w:tc>
                <w:tcPr>
                  <w:tcW w:w="494" w:type="pct"/>
                  <w:vMerge w:val="continue"/>
                  <w:shd w:val="clear" w:color="auto" w:fill="auto"/>
                  <w:vAlign w:val="center"/>
                </w:tcPr>
                <w:p w14:paraId="41E2AC4C">
                  <w:pPr>
                    <w:adjustRightInd w:val="0"/>
                    <w:snapToGrid w:val="0"/>
                    <w:jc w:val="center"/>
                    <w:rPr>
                      <w:color w:val="auto"/>
                      <w:kern w:val="0"/>
                      <w:szCs w:val="21"/>
                    </w:rPr>
                  </w:pPr>
                </w:p>
              </w:tc>
              <w:tc>
                <w:tcPr>
                  <w:tcW w:w="287" w:type="pct"/>
                  <w:vMerge w:val="continue"/>
                  <w:shd w:val="clear" w:color="auto" w:fill="auto"/>
                  <w:vAlign w:val="center"/>
                </w:tcPr>
                <w:p w14:paraId="431D0850">
                  <w:pPr>
                    <w:adjustRightInd w:val="0"/>
                    <w:snapToGrid w:val="0"/>
                    <w:jc w:val="center"/>
                    <w:rPr>
                      <w:color w:val="auto"/>
                      <w:kern w:val="0"/>
                      <w:szCs w:val="21"/>
                    </w:rPr>
                  </w:pPr>
                </w:p>
              </w:tc>
              <w:tc>
                <w:tcPr>
                  <w:tcW w:w="426" w:type="pct"/>
                  <w:vMerge w:val="continue"/>
                  <w:shd w:val="clear" w:color="auto" w:fill="auto"/>
                  <w:vAlign w:val="center"/>
                </w:tcPr>
                <w:p w14:paraId="5F03A34D">
                  <w:pPr>
                    <w:adjustRightInd w:val="0"/>
                    <w:snapToGrid w:val="0"/>
                    <w:jc w:val="center"/>
                    <w:rPr>
                      <w:color w:val="auto"/>
                      <w:kern w:val="0"/>
                      <w:szCs w:val="21"/>
                    </w:rPr>
                  </w:pPr>
                </w:p>
              </w:tc>
              <w:tc>
                <w:tcPr>
                  <w:tcW w:w="629" w:type="pct"/>
                  <w:shd w:val="clear" w:color="auto" w:fill="auto"/>
                  <w:vAlign w:val="center"/>
                </w:tcPr>
                <w:p w14:paraId="1D3EB2EE">
                  <w:pPr>
                    <w:adjustRightInd w:val="0"/>
                    <w:snapToGrid w:val="0"/>
                    <w:jc w:val="center"/>
                    <w:rPr>
                      <w:color w:val="auto"/>
                      <w:kern w:val="0"/>
                      <w:szCs w:val="21"/>
                    </w:rPr>
                  </w:pPr>
                  <w:r>
                    <w:rPr>
                      <w:rFonts w:hint="eastAsia"/>
                      <w:color w:val="auto"/>
                      <w:szCs w:val="21"/>
                    </w:rPr>
                    <w:t>L</w:t>
                  </w:r>
                  <w:r>
                    <w:rPr>
                      <w:color w:val="auto"/>
                      <w:szCs w:val="21"/>
                    </w:rPr>
                    <w:t>AS</w:t>
                  </w:r>
                </w:p>
              </w:tc>
              <w:tc>
                <w:tcPr>
                  <w:tcW w:w="774" w:type="pct"/>
                  <w:shd w:val="clear" w:color="auto" w:fill="auto"/>
                  <w:vAlign w:val="center"/>
                </w:tcPr>
                <w:p w14:paraId="1788470B">
                  <w:pPr>
                    <w:adjustRightInd w:val="0"/>
                    <w:snapToGrid w:val="0"/>
                    <w:jc w:val="center"/>
                    <w:rPr>
                      <w:color w:val="auto"/>
                      <w:kern w:val="0"/>
                      <w:szCs w:val="21"/>
                    </w:rPr>
                  </w:pPr>
                  <w:r>
                    <w:rPr>
                      <w:rFonts w:hint="eastAsia"/>
                      <w:color w:val="auto"/>
                      <w:kern w:val="0"/>
                      <w:szCs w:val="21"/>
                    </w:rPr>
                    <w:t>0</w:t>
                  </w:r>
                  <w:r>
                    <w:rPr>
                      <w:color w:val="auto"/>
                      <w:kern w:val="0"/>
                      <w:szCs w:val="21"/>
                    </w:rPr>
                    <w:t>.5</w:t>
                  </w:r>
                </w:p>
              </w:tc>
            </w:tr>
          </w:tbl>
          <w:p w14:paraId="52B035E1">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2.2监测计划</w:t>
            </w:r>
          </w:p>
          <w:p w14:paraId="7114E2C8">
            <w:pPr>
              <w:adjustRightInd w:val="0"/>
              <w:snapToGrid w:val="0"/>
              <w:spacing w:line="360" w:lineRule="auto"/>
              <w:ind w:firstLine="440" w:firstLineChars="200"/>
              <w:rPr>
                <w:bCs/>
                <w:color w:val="auto"/>
                <w:spacing w:val="-10"/>
                <w:sz w:val="24"/>
                <w:szCs w:val="21"/>
              </w:rPr>
            </w:pPr>
            <w:r>
              <w:rPr>
                <w:bCs/>
                <w:color w:val="auto"/>
                <w:spacing w:val="-10"/>
                <w:sz w:val="24"/>
                <w:szCs w:val="21"/>
              </w:rPr>
              <w:t>本项目综合废水间接排放口DW001监测要求详见表4-1</w:t>
            </w:r>
            <w:r>
              <w:rPr>
                <w:rFonts w:hint="eastAsia"/>
                <w:bCs/>
                <w:color w:val="auto"/>
                <w:spacing w:val="-10"/>
                <w:sz w:val="24"/>
                <w:szCs w:val="21"/>
                <w:lang w:val="en-US" w:eastAsia="zh-CN"/>
              </w:rPr>
              <w:t>4</w:t>
            </w:r>
            <w:r>
              <w:rPr>
                <w:bCs/>
                <w:color w:val="auto"/>
                <w:spacing w:val="-10"/>
                <w:sz w:val="24"/>
                <w:szCs w:val="21"/>
              </w:rPr>
              <w:t>。</w:t>
            </w:r>
          </w:p>
          <w:p w14:paraId="239B3783">
            <w:pPr>
              <w:jc w:val="center"/>
              <w:rPr>
                <w:b/>
                <w:color w:val="auto"/>
                <w:sz w:val="24"/>
              </w:rPr>
            </w:pPr>
            <w:r>
              <w:rPr>
                <w:b/>
                <w:color w:val="auto"/>
                <w:sz w:val="24"/>
              </w:rPr>
              <w:t>表4-1</w:t>
            </w:r>
            <w:r>
              <w:rPr>
                <w:rFonts w:hint="eastAsia"/>
                <w:b/>
                <w:color w:val="auto"/>
                <w:sz w:val="24"/>
                <w:lang w:val="en-US" w:eastAsia="zh-CN"/>
              </w:rPr>
              <w:t>4</w:t>
            </w:r>
            <w:r>
              <w:rPr>
                <w:b/>
                <w:color w:val="auto"/>
                <w:sz w:val="24"/>
              </w:rPr>
              <w:t xml:space="preserve"> 废水间接排放口监测要求</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1"/>
              <w:gridCol w:w="674"/>
              <w:gridCol w:w="975"/>
              <w:gridCol w:w="886"/>
              <w:gridCol w:w="1067"/>
              <w:gridCol w:w="1454"/>
              <w:gridCol w:w="676"/>
              <w:gridCol w:w="778"/>
              <w:gridCol w:w="870"/>
              <w:gridCol w:w="794"/>
            </w:tblGrid>
            <w:tr w14:paraId="6CB49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13318A62">
                  <w:pPr>
                    <w:tabs>
                      <w:tab w:val="right" w:pos="1785"/>
                    </w:tabs>
                    <w:adjustRightInd w:val="0"/>
                    <w:snapToGrid w:val="0"/>
                    <w:jc w:val="center"/>
                    <w:rPr>
                      <w:b/>
                      <w:color w:val="auto"/>
                      <w:kern w:val="0"/>
                      <w:szCs w:val="21"/>
                    </w:rPr>
                  </w:pPr>
                  <w:r>
                    <w:rPr>
                      <w:b/>
                      <w:color w:val="auto"/>
                      <w:kern w:val="0"/>
                      <w:szCs w:val="21"/>
                    </w:rPr>
                    <w:t>序号</w:t>
                  </w:r>
                </w:p>
              </w:tc>
              <w:tc>
                <w:tcPr>
                  <w:tcW w:w="395" w:type="pct"/>
                  <w:shd w:val="clear" w:color="auto" w:fill="auto"/>
                  <w:vAlign w:val="center"/>
                </w:tcPr>
                <w:p w14:paraId="1B363A37">
                  <w:pPr>
                    <w:adjustRightInd w:val="0"/>
                    <w:snapToGrid w:val="0"/>
                    <w:jc w:val="center"/>
                    <w:rPr>
                      <w:b/>
                      <w:color w:val="auto"/>
                      <w:kern w:val="0"/>
                      <w:szCs w:val="28"/>
                    </w:rPr>
                  </w:pPr>
                  <w:r>
                    <w:rPr>
                      <w:b/>
                      <w:color w:val="auto"/>
                      <w:kern w:val="0"/>
                      <w:szCs w:val="28"/>
                    </w:rPr>
                    <w:t>排放口编号</w:t>
                  </w:r>
                </w:p>
              </w:tc>
              <w:tc>
                <w:tcPr>
                  <w:tcW w:w="571" w:type="pct"/>
                  <w:vAlign w:val="center"/>
                </w:tcPr>
                <w:p w14:paraId="1B3ABDF3">
                  <w:pPr>
                    <w:adjustRightInd w:val="0"/>
                    <w:snapToGrid w:val="0"/>
                    <w:jc w:val="center"/>
                    <w:rPr>
                      <w:b/>
                      <w:color w:val="auto"/>
                      <w:kern w:val="0"/>
                      <w:szCs w:val="28"/>
                    </w:rPr>
                  </w:pPr>
                  <w:r>
                    <w:rPr>
                      <w:b/>
                      <w:color w:val="auto"/>
                      <w:kern w:val="0"/>
                      <w:szCs w:val="28"/>
                    </w:rPr>
                    <w:t>污染物名称</w:t>
                  </w:r>
                </w:p>
              </w:tc>
              <w:tc>
                <w:tcPr>
                  <w:tcW w:w="519" w:type="pct"/>
                  <w:vAlign w:val="center"/>
                </w:tcPr>
                <w:p w14:paraId="45C792C4">
                  <w:pPr>
                    <w:adjustRightInd w:val="0"/>
                    <w:snapToGrid w:val="0"/>
                    <w:jc w:val="center"/>
                    <w:rPr>
                      <w:b/>
                      <w:color w:val="auto"/>
                      <w:kern w:val="0"/>
                      <w:szCs w:val="28"/>
                    </w:rPr>
                  </w:pPr>
                  <w:r>
                    <w:rPr>
                      <w:rFonts w:hint="eastAsia"/>
                      <w:b/>
                      <w:color w:val="auto"/>
                      <w:kern w:val="0"/>
                      <w:szCs w:val="28"/>
                    </w:rPr>
                    <w:t>监测设施</w:t>
                  </w:r>
                </w:p>
              </w:tc>
              <w:tc>
                <w:tcPr>
                  <w:tcW w:w="625" w:type="pct"/>
                  <w:vAlign w:val="center"/>
                </w:tcPr>
                <w:p w14:paraId="10CAA815">
                  <w:pPr>
                    <w:adjustRightInd w:val="0"/>
                    <w:snapToGrid w:val="0"/>
                    <w:jc w:val="center"/>
                    <w:rPr>
                      <w:b/>
                      <w:color w:val="auto"/>
                      <w:kern w:val="0"/>
                      <w:szCs w:val="28"/>
                    </w:rPr>
                  </w:pPr>
                  <w:r>
                    <w:rPr>
                      <w:rFonts w:hint="eastAsia"/>
                      <w:b/>
                      <w:color w:val="auto"/>
                      <w:kern w:val="0"/>
                      <w:szCs w:val="28"/>
                    </w:rPr>
                    <w:t>自动监测设施安装位置</w:t>
                  </w:r>
                </w:p>
              </w:tc>
              <w:tc>
                <w:tcPr>
                  <w:tcW w:w="852" w:type="pct"/>
                  <w:vAlign w:val="center"/>
                </w:tcPr>
                <w:p w14:paraId="6D6F3922">
                  <w:pPr>
                    <w:adjustRightInd w:val="0"/>
                    <w:snapToGrid w:val="0"/>
                    <w:jc w:val="center"/>
                    <w:rPr>
                      <w:b/>
                      <w:color w:val="auto"/>
                      <w:kern w:val="0"/>
                      <w:szCs w:val="28"/>
                    </w:rPr>
                  </w:pPr>
                  <w:r>
                    <w:rPr>
                      <w:rFonts w:hint="eastAsia"/>
                      <w:b/>
                      <w:color w:val="auto"/>
                      <w:kern w:val="0"/>
                      <w:szCs w:val="28"/>
                    </w:rPr>
                    <w:t>自动监测设施的安装、运行、维护等相关管理要求</w:t>
                  </w:r>
                </w:p>
              </w:tc>
              <w:tc>
                <w:tcPr>
                  <w:tcW w:w="396" w:type="pct"/>
                  <w:vAlign w:val="center"/>
                </w:tcPr>
                <w:p w14:paraId="22723B43">
                  <w:pPr>
                    <w:adjustRightInd w:val="0"/>
                    <w:snapToGrid w:val="0"/>
                    <w:jc w:val="center"/>
                    <w:rPr>
                      <w:b/>
                      <w:color w:val="auto"/>
                      <w:kern w:val="0"/>
                      <w:szCs w:val="28"/>
                    </w:rPr>
                  </w:pPr>
                  <w:r>
                    <w:rPr>
                      <w:rFonts w:hint="eastAsia"/>
                      <w:b/>
                      <w:color w:val="auto"/>
                      <w:kern w:val="0"/>
                      <w:szCs w:val="28"/>
                    </w:rPr>
                    <w:t>自动监测是否联网</w:t>
                  </w:r>
                </w:p>
              </w:tc>
              <w:tc>
                <w:tcPr>
                  <w:tcW w:w="456" w:type="pct"/>
                  <w:shd w:val="clear" w:color="auto" w:fill="auto"/>
                  <w:vAlign w:val="center"/>
                </w:tcPr>
                <w:p w14:paraId="3A915155">
                  <w:pPr>
                    <w:adjustRightInd w:val="0"/>
                    <w:snapToGrid w:val="0"/>
                    <w:jc w:val="center"/>
                    <w:rPr>
                      <w:b/>
                      <w:color w:val="auto"/>
                      <w:kern w:val="0"/>
                      <w:szCs w:val="28"/>
                    </w:rPr>
                  </w:pPr>
                  <w:r>
                    <w:rPr>
                      <w:rFonts w:hint="eastAsia"/>
                      <w:b/>
                      <w:color w:val="auto"/>
                      <w:kern w:val="0"/>
                      <w:szCs w:val="28"/>
                    </w:rPr>
                    <w:t>自动监测仪器名称</w:t>
                  </w:r>
                </w:p>
              </w:tc>
              <w:tc>
                <w:tcPr>
                  <w:tcW w:w="510" w:type="pct"/>
                  <w:shd w:val="clear" w:color="auto" w:fill="auto"/>
                  <w:vAlign w:val="center"/>
                </w:tcPr>
                <w:p w14:paraId="61DE47DA">
                  <w:pPr>
                    <w:adjustRightInd w:val="0"/>
                    <w:snapToGrid w:val="0"/>
                    <w:jc w:val="center"/>
                    <w:rPr>
                      <w:b/>
                      <w:color w:val="auto"/>
                      <w:kern w:val="0"/>
                      <w:szCs w:val="28"/>
                    </w:rPr>
                  </w:pPr>
                  <w:r>
                    <w:rPr>
                      <w:rFonts w:hint="eastAsia"/>
                      <w:b/>
                      <w:color w:val="auto"/>
                      <w:kern w:val="0"/>
                      <w:szCs w:val="28"/>
                    </w:rPr>
                    <w:t>手工监测采样方法及个数</w:t>
                  </w:r>
                </w:p>
              </w:tc>
              <w:tc>
                <w:tcPr>
                  <w:tcW w:w="465" w:type="pct"/>
                  <w:shd w:val="clear" w:color="auto" w:fill="auto"/>
                  <w:vAlign w:val="center"/>
                </w:tcPr>
                <w:p w14:paraId="412A158B">
                  <w:pPr>
                    <w:adjustRightInd w:val="0"/>
                    <w:snapToGrid w:val="0"/>
                    <w:jc w:val="center"/>
                    <w:rPr>
                      <w:b/>
                      <w:color w:val="auto"/>
                      <w:kern w:val="0"/>
                      <w:szCs w:val="28"/>
                    </w:rPr>
                  </w:pPr>
                  <w:r>
                    <w:rPr>
                      <w:rFonts w:hint="eastAsia"/>
                      <w:b/>
                      <w:color w:val="auto"/>
                      <w:kern w:val="0"/>
                      <w:szCs w:val="28"/>
                    </w:rPr>
                    <w:t>手工监测频次</w:t>
                  </w:r>
                </w:p>
              </w:tc>
            </w:tr>
            <w:tr w14:paraId="17099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75F126A1">
                  <w:pPr>
                    <w:adjustRightInd w:val="0"/>
                    <w:snapToGrid w:val="0"/>
                    <w:jc w:val="center"/>
                    <w:rPr>
                      <w:color w:val="auto"/>
                      <w:kern w:val="0"/>
                      <w:sz w:val="18"/>
                      <w:szCs w:val="18"/>
                    </w:rPr>
                  </w:pPr>
                  <w:r>
                    <w:rPr>
                      <w:color w:val="auto"/>
                      <w:kern w:val="0"/>
                      <w:sz w:val="18"/>
                      <w:szCs w:val="18"/>
                    </w:rPr>
                    <w:t>1</w:t>
                  </w:r>
                </w:p>
              </w:tc>
              <w:tc>
                <w:tcPr>
                  <w:tcW w:w="395" w:type="pct"/>
                  <w:vMerge w:val="restart"/>
                  <w:shd w:val="clear" w:color="auto" w:fill="auto"/>
                  <w:vAlign w:val="center"/>
                </w:tcPr>
                <w:p w14:paraId="134F93EE">
                  <w:pPr>
                    <w:adjustRightInd w:val="0"/>
                    <w:snapToGrid w:val="0"/>
                    <w:jc w:val="center"/>
                    <w:rPr>
                      <w:b/>
                      <w:color w:val="auto"/>
                      <w:kern w:val="0"/>
                      <w:sz w:val="18"/>
                      <w:szCs w:val="18"/>
                    </w:rPr>
                  </w:pPr>
                  <w:r>
                    <w:rPr>
                      <w:bCs/>
                      <w:color w:val="auto"/>
                      <w:spacing w:val="-10"/>
                      <w:sz w:val="18"/>
                      <w:szCs w:val="18"/>
                    </w:rPr>
                    <w:t>DW001</w:t>
                  </w:r>
                </w:p>
              </w:tc>
              <w:tc>
                <w:tcPr>
                  <w:tcW w:w="571" w:type="pct"/>
                  <w:vAlign w:val="center"/>
                </w:tcPr>
                <w:p w14:paraId="45CFFD22">
                  <w:pPr>
                    <w:adjustRightInd w:val="0"/>
                    <w:snapToGrid w:val="0"/>
                    <w:jc w:val="center"/>
                    <w:rPr>
                      <w:color w:val="auto"/>
                      <w:sz w:val="18"/>
                      <w:szCs w:val="18"/>
                    </w:rPr>
                  </w:pPr>
                  <w:r>
                    <w:rPr>
                      <w:color w:val="auto"/>
                      <w:sz w:val="18"/>
                      <w:szCs w:val="18"/>
                    </w:rPr>
                    <w:t>COD</w:t>
                  </w:r>
                </w:p>
              </w:tc>
              <w:tc>
                <w:tcPr>
                  <w:tcW w:w="519" w:type="pct"/>
                  <w:vAlign w:val="center"/>
                </w:tcPr>
                <w:p w14:paraId="77AD6FA2">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6B9A78A3">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restart"/>
                  <w:vAlign w:val="center"/>
                </w:tcPr>
                <w:p w14:paraId="010B15CF">
                  <w:pPr>
                    <w:adjustRightInd w:val="0"/>
                    <w:snapToGrid w:val="0"/>
                    <w:jc w:val="center"/>
                    <w:rPr>
                      <w:color w:val="auto"/>
                      <w:sz w:val="18"/>
                      <w:szCs w:val="18"/>
                    </w:rPr>
                  </w:pPr>
                  <w:r>
                    <w:rPr>
                      <w:rFonts w:hint="eastAsia"/>
                      <w:color w:val="auto"/>
                      <w:sz w:val="18"/>
                      <w:szCs w:val="18"/>
                    </w:rPr>
                    <w:t>/</w:t>
                  </w:r>
                </w:p>
              </w:tc>
              <w:tc>
                <w:tcPr>
                  <w:tcW w:w="852" w:type="pct"/>
                  <w:vMerge w:val="restart"/>
                  <w:vAlign w:val="center"/>
                </w:tcPr>
                <w:p w14:paraId="7795F251">
                  <w:pPr>
                    <w:adjustRightInd w:val="0"/>
                    <w:snapToGrid w:val="0"/>
                    <w:jc w:val="center"/>
                    <w:rPr>
                      <w:color w:val="auto"/>
                      <w:sz w:val="18"/>
                      <w:szCs w:val="18"/>
                    </w:rPr>
                  </w:pPr>
                  <w:r>
                    <w:rPr>
                      <w:rFonts w:hint="eastAsia"/>
                      <w:color w:val="auto"/>
                      <w:sz w:val="18"/>
                      <w:szCs w:val="18"/>
                    </w:rPr>
                    <w:t>/</w:t>
                  </w:r>
                </w:p>
              </w:tc>
              <w:tc>
                <w:tcPr>
                  <w:tcW w:w="396" w:type="pct"/>
                  <w:vMerge w:val="restart"/>
                  <w:vAlign w:val="center"/>
                </w:tcPr>
                <w:p w14:paraId="39BBE12A">
                  <w:pPr>
                    <w:adjustRightInd w:val="0"/>
                    <w:snapToGrid w:val="0"/>
                    <w:jc w:val="center"/>
                    <w:rPr>
                      <w:color w:val="auto"/>
                      <w:sz w:val="18"/>
                      <w:szCs w:val="18"/>
                    </w:rPr>
                  </w:pPr>
                  <w:r>
                    <w:rPr>
                      <w:rFonts w:hint="eastAsia"/>
                      <w:color w:val="auto"/>
                      <w:sz w:val="18"/>
                      <w:szCs w:val="18"/>
                    </w:rPr>
                    <w:t>/</w:t>
                  </w:r>
                </w:p>
              </w:tc>
              <w:tc>
                <w:tcPr>
                  <w:tcW w:w="456" w:type="pct"/>
                  <w:vMerge w:val="restart"/>
                  <w:shd w:val="clear" w:color="auto" w:fill="auto"/>
                  <w:vAlign w:val="center"/>
                </w:tcPr>
                <w:p w14:paraId="308DF461">
                  <w:pPr>
                    <w:adjustRightInd w:val="0"/>
                    <w:snapToGrid w:val="0"/>
                    <w:jc w:val="center"/>
                    <w:rPr>
                      <w:color w:val="auto"/>
                      <w:sz w:val="18"/>
                      <w:szCs w:val="18"/>
                    </w:rPr>
                  </w:pPr>
                  <w:r>
                    <w:rPr>
                      <w:rFonts w:hint="eastAsia"/>
                      <w:color w:val="auto"/>
                      <w:sz w:val="18"/>
                      <w:szCs w:val="18"/>
                    </w:rPr>
                    <w:t>/</w:t>
                  </w:r>
                </w:p>
              </w:tc>
              <w:tc>
                <w:tcPr>
                  <w:tcW w:w="510" w:type="pct"/>
                  <w:vMerge w:val="restart"/>
                  <w:shd w:val="clear" w:color="auto" w:fill="auto"/>
                  <w:vAlign w:val="center"/>
                </w:tcPr>
                <w:p w14:paraId="449C0E85">
                  <w:pPr>
                    <w:adjustRightInd w:val="0"/>
                    <w:snapToGrid w:val="0"/>
                    <w:jc w:val="center"/>
                    <w:rPr>
                      <w:b/>
                      <w:color w:val="auto"/>
                      <w:kern w:val="0"/>
                      <w:sz w:val="18"/>
                      <w:szCs w:val="18"/>
                    </w:rPr>
                  </w:pPr>
                  <w:r>
                    <w:rPr>
                      <w:color w:val="auto"/>
                      <w:sz w:val="18"/>
                      <w:szCs w:val="18"/>
                    </w:rPr>
                    <w:t>瞬时采样（4个瞬时样）</w:t>
                  </w:r>
                </w:p>
              </w:tc>
              <w:tc>
                <w:tcPr>
                  <w:tcW w:w="465" w:type="pct"/>
                  <w:vMerge w:val="restart"/>
                  <w:shd w:val="clear" w:color="auto" w:fill="auto"/>
                  <w:vAlign w:val="center"/>
                </w:tcPr>
                <w:p w14:paraId="4EE86864">
                  <w:pPr>
                    <w:keepNext/>
                    <w:topLinePunct/>
                    <w:jc w:val="center"/>
                    <w:textAlignment w:val="center"/>
                    <w:rPr>
                      <w:color w:val="auto"/>
                      <w:sz w:val="18"/>
                      <w:szCs w:val="18"/>
                    </w:rPr>
                  </w:pPr>
                  <w:r>
                    <w:rPr>
                      <w:color w:val="auto"/>
                      <w:sz w:val="18"/>
                      <w:szCs w:val="18"/>
                    </w:rPr>
                    <w:t>每季度1次</w:t>
                  </w:r>
                </w:p>
              </w:tc>
            </w:tr>
            <w:tr w14:paraId="2A88D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154437AE">
                  <w:pPr>
                    <w:adjustRightInd w:val="0"/>
                    <w:snapToGrid w:val="0"/>
                    <w:jc w:val="center"/>
                    <w:rPr>
                      <w:color w:val="auto"/>
                      <w:kern w:val="0"/>
                      <w:sz w:val="18"/>
                      <w:szCs w:val="18"/>
                    </w:rPr>
                  </w:pPr>
                  <w:r>
                    <w:rPr>
                      <w:rFonts w:hint="eastAsia"/>
                      <w:color w:val="auto"/>
                      <w:kern w:val="0"/>
                      <w:sz w:val="18"/>
                      <w:szCs w:val="18"/>
                    </w:rPr>
                    <w:t>2</w:t>
                  </w:r>
                </w:p>
              </w:tc>
              <w:tc>
                <w:tcPr>
                  <w:tcW w:w="395" w:type="pct"/>
                  <w:vMerge w:val="continue"/>
                  <w:shd w:val="clear" w:color="auto" w:fill="auto"/>
                  <w:vAlign w:val="center"/>
                </w:tcPr>
                <w:p w14:paraId="132E7747">
                  <w:pPr>
                    <w:adjustRightInd w:val="0"/>
                    <w:snapToGrid w:val="0"/>
                    <w:jc w:val="center"/>
                    <w:rPr>
                      <w:b/>
                      <w:color w:val="auto"/>
                      <w:kern w:val="0"/>
                      <w:sz w:val="18"/>
                      <w:szCs w:val="18"/>
                    </w:rPr>
                  </w:pPr>
                </w:p>
              </w:tc>
              <w:tc>
                <w:tcPr>
                  <w:tcW w:w="571" w:type="pct"/>
                  <w:vAlign w:val="center"/>
                </w:tcPr>
                <w:p w14:paraId="31A09051">
                  <w:pPr>
                    <w:adjustRightInd w:val="0"/>
                    <w:snapToGrid w:val="0"/>
                    <w:jc w:val="center"/>
                    <w:rPr>
                      <w:color w:val="auto"/>
                      <w:sz w:val="18"/>
                      <w:szCs w:val="18"/>
                    </w:rPr>
                  </w:pPr>
                  <w:r>
                    <w:rPr>
                      <w:rFonts w:hint="eastAsia"/>
                      <w:color w:val="auto"/>
                      <w:sz w:val="18"/>
                      <w:szCs w:val="18"/>
                    </w:rPr>
                    <w:t>B</w:t>
                  </w:r>
                  <w:r>
                    <w:rPr>
                      <w:color w:val="auto"/>
                      <w:sz w:val="18"/>
                      <w:szCs w:val="18"/>
                    </w:rPr>
                    <w:t>OD</w:t>
                  </w:r>
                  <w:r>
                    <w:rPr>
                      <w:color w:val="auto"/>
                      <w:sz w:val="18"/>
                      <w:szCs w:val="18"/>
                      <w:vertAlign w:val="subscript"/>
                    </w:rPr>
                    <w:t>5</w:t>
                  </w:r>
                </w:p>
              </w:tc>
              <w:tc>
                <w:tcPr>
                  <w:tcW w:w="519" w:type="pct"/>
                  <w:vAlign w:val="center"/>
                </w:tcPr>
                <w:p w14:paraId="4BEA2287">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32E2768B">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222015EE">
                  <w:pPr>
                    <w:adjustRightInd w:val="0"/>
                    <w:snapToGrid w:val="0"/>
                    <w:jc w:val="center"/>
                    <w:rPr>
                      <w:color w:val="auto"/>
                      <w:sz w:val="18"/>
                      <w:szCs w:val="18"/>
                    </w:rPr>
                  </w:pPr>
                </w:p>
              </w:tc>
              <w:tc>
                <w:tcPr>
                  <w:tcW w:w="852" w:type="pct"/>
                  <w:vMerge w:val="continue"/>
                  <w:vAlign w:val="center"/>
                </w:tcPr>
                <w:p w14:paraId="2734BBC5">
                  <w:pPr>
                    <w:adjustRightInd w:val="0"/>
                    <w:snapToGrid w:val="0"/>
                    <w:jc w:val="center"/>
                    <w:rPr>
                      <w:color w:val="auto"/>
                      <w:sz w:val="18"/>
                      <w:szCs w:val="18"/>
                    </w:rPr>
                  </w:pPr>
                </w:p>
              </w:tc>
              <w:tc>
                <w:tcPr>
                  <w:tcW w:w="396" w:type="pct"/>
                  <w:vMerge w:val="continue"/>
                  <w:vAlign w:val="center"/>
                </w:tcPr>
                <w:p w14:paraId="30D80E8C">
                  <w:pPr>
                    <w:adjustRightInd w:val="0"/>
                    <w:snapToGrid w:val="0"/>
                    <w:jc w:val="center"/>
                    <w:rPr>
                      <w:color w:val="auto"/>
                      <w:sz w:val="18"/>
                      <w:szCs w:val="18"/>
                    </w:rPr>
                  </w:pPr>
                </w:p>
              </w:tc>
              <w:tc>
                <w:tcPr>
                  <w:tcW w:w="456" w:type="pct"/>
                  <w:vMerge w:val="continue"/>
                  <w:shd w:val="clear" w:color="auto" w:fill="auto"/>
                  <w:vAlign w:val="center"/>
                </w:tcPr>
                <w:p w14:paraId="3B0A1B78">
                  <w:pPr>
                    <w:adjustRightInd w:val="0"/>
                    <w:snapToGrid w:val="0"/>
                    <w:jc w:val="center"/>
                    <w:rPr>
                      <w:color w:val="auto"/>
                      <w:sz w:val="18"/>
                      <w:szCs w:val="18"/>
                    </w:rPr>
                  </w:pPr>
                </w:p>
              </w:tc>
              <w:tc>
                <w:tcPr>
                  <w:tcW w:w="510" w:type="pct"/>
                  <w:vMerge w:val="continue"/>
                  <w:shd w:val="clear" w:color="auto" w:fill="auto"/>
                  <w:vAlign w:val="center"/>
                </w:tcPr>
                <w:p w14:paraId="383F4756">
                  <w:pPr>
                    <w:adjustRightInd w:val="0"/>
                    <w:snapToGrid w:val="0"/>
                    <w:jc w:val="center"/>
                    <w:rPr>
                      <w:color w:val="auto"/>
                      <w:sz w:val="18"/>
                      <w:szCs w:val="18"/>
                    </w:rPr>
                  </w:pPr>
                </w:p>
              </w:tc>
              <w:tc>
                <w:tcPr>
                  <w:tcW w:w="465" w:type="pct"/>
                  <w:vMerge w:val="continue"/>
                  <w:shd w:val="clear" w:color="auto" w:fill="auto"/>
                  <w:vAlign w:val="center"/>
                </w:tcPr>
                <w:p w14:paraId="7847852D">
                  <w:pPr>
                    <w:adjustRightInd w:val="0"/>
                    <w:snapToGrid w:val="0"/>
                    <w:spacing w:line="360" w:lineRule="auto"/>
                    <w:jc w:val="center"/>
                    <w:rPr>
                      <w:b/>
                      <w:color w:val="auto"/>
                      <w:kern w:val="0"/>
                      <w:sz w:val="18"/>
                      <w:szCs w:val="18"/>
                    </w:rPr>
                  </w:pPr>
                </w:p>
              </w:tc>
            </w:tr>
            <w:tr w14:paraId="435A0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009621CE">
                  <w:pPr>
                    <w:adjustRightInd w:val="0"/>
                    <w:snapToGrid w:val="0"/>
                    <w:jc w:val="center"/>
                    <w:rPr>
                      <w:color w:val="auto"/>
                      <w:kern w:val="0"/>
                      <w:sz w:val="18"/>
                      <w:szCs w:val="18"/>
                    </w:rPr>
                  </w:pPr>
                  <w:r>
                    <w:rPr>
                      <w:color w:val="auto"/>
                      <w:kern w:val="0"/>
                      <w:sz w:val="18"/>
                      <w:szCs w:val="18"/>
                    </w:rPr>
                    <w:t>3</w:t>
                  </w:r>
                </w:p>
              </w:tc>
              <w:tc>
                <w:tcPr>
                  <w:tcW w:w="395" w:type="pct"/>
                  <w:vMerge w:val="continue"/>
                  <w:shd w:val="clear" w:color="auto" w:fill="auto"/>
                  <w:vAlign w:val="center"/>
                </w:tcPr>
                <w:p w14:paraId="5483B136">
                  <w:pPr>
                    <w:adjustRightInd w:val="0"/>
                    <w:snapToGrid w:val="0"/>
                    <w:jc w:val="center"/>
                    <w:rPr>
                      <w:b/>
                      <w:color w:val="auto"/>
                      <w:kern w:val="0"/>
                      <w:sz w:val="18"/>
                      <w:szCs w:val="18"/>
                    </w:rPr>
                  </w:pPr>
                </w:p>
              </w:tc>
              <w:tc>
                <w:tcPr>
                  <w:tcW w:w="571" w:type="pct"/>
                  <w:vAlign w:val="center"/>
                </w:tcPr>
                <w:p w14:paraId="7831607A">
                  <w:pPr>
                    <w:adjustRightInd w:val="0"/>
                    <w:snapToGrid w:val="0"/>
                    <w:jc w:val="center"/>
                    <w:rPr>
                      <w:color w:val="auto"/>
                      <w:sz w:val="18"/>
                      <w:szCs w:val="18"/>
                    </w:rPr>
                  </w:pPr>
                  <w:r>
                    <w:rPr>
                      <w:rFonts w:hint="eastAsia"/>
                      <w:color w:val="auto"/>
                      <w:sz w:val="18"/>
                      <w:szCs w:val="18"/>
                    </w:rPr>
                    <w:t>S</w:t>
                  </w:r>
                  <w:r>
                    <w:rPr>
                      <w:color w:val="auto"/>
                      <w:sz w:val="18"/>
                      <w:szCs w:val="18"/>
                    </w:rPr>
                    <w:t>S</w:t>
                  </w:r>
                </w:p>
              </w:tc>
              <w:tc>
                <w:tcPr>
                  <w:tcW w:w="519" w:type="pct"/>
                  <w:vAlign w:val="center"/>
                </w:tcPr>
                <w:p w14:paraId="0CB32BD0">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14494946">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4CAE0030">
                  <w:pPr>
                    <w:adjustRightInd w:val="0"/>
                    <w:snapToGrid w:val="0"/>
                    <w:jc w:val="center"/>
                    <w:rPr>
                      <w:color w:val="auto"/>
                      <w:sz w:val="18"/>
                      <w:szCs w:val="18"/>
                    </w:rPr>
                  </w:pPr>
                </w:p>
              </w:tc>
              <w:tc>
                <w:tcPr>
                  <w:tcW w:w="852" w:type="pct"/>
                  <w:vMerge w:val="continue"/>
                  <w:vAlign w:val="center"/>
                </w:tcPr>
                <w:p w14:paraId="49842091">
                  <w:pPr>
                    <w:adjustRightInd w:val="0"/>
                    <w:snapToGrid w:val="0"/>
                    <w:jc w:val="center"/>
                    <w:rPr>
                      <w:color w:val="auto"/>
                      <w:sz w:val="18"/>
                      <w:szCs w:val="18"/>
                    </w:rPr>
                  </w:pPr>
                </w:p>
              </w:tc>
              <w:tc>
                <w:tcPr>
                  <w:tcW w:w="396" w:type="pct"/>
                  <w:vMerge w:val="continue"/>
                  <w:vAlign w:val="center"/>
                </w:tcPr>
                <w:p w14:paraId="2D07C6BE">
                  <w:pPr>
                    <w:adjustRightInd w:val="0"/>
                    <w:snapToGrid w:val="0"/>
                    <w:jc w:val="center"/>
                    <w:rPr>
                      <w:color w:val="auto"/>
                      <w:sz w:val="18"/>
                      <w:szCs w:val="18"/>
                    </w:rPr>
                  </w:pPr>
                </w:p>
              </w:tc>
              <w:tc>
                <w:tcPr>
                  <w:tcW w:w="456" w:type="pct"/>
                  <w:vMerge w:val="continue"/>
                  <w:shd w:val="clear" w:color="auto" w:fill="auto"/>
                  <w:vAlign w:val="center"/>
                </w:tcPr>
                <w:p w14:paraId="62CDBA7D">
                  <w:pPr>
                    <w:adjustRightInd w:val="0"/>
                    <w:snapToGrid w:val="0"/>
                    <w:jc w:val="center"/>
                    <w:rPr>
                      <w:color w:val="auto"/>
                      <w:sz w:val="18"/>
                      <w:szCs w:val="18"/>
                    </w:rPr>
                  </w:pPr>
                </w:p>
              </w:tc>
              <w:tc>
                <w:tcPr>
                  <w:tcW w:w="510" w:type="pct"/>
                  <w:vMerge w:val="continue"/>
                  <w:shd w:val="clear" w:color="auto" w:fill="auto"/>
                  <w:vAlign w:val="center"/>
                </w:tcPr>
                <w:p w14:paraId="3CFD4E3A">
                  <w:pPr>
                    <w:adjustRightInd w:val="0"/>
                    <w:snapToGrid w:val="0"/>
                    <w:jc w:val="center"/>
                    <w:rPr>
                      <w:b/>
                      <w:color w:val="auto"/>
                      <w:kern w:val="0"/>
                      <w:sz w:val="18"/>
                      <w:szCs w:val="18"/>
                    </w:rPr>
                  </w:pPr>
                </w:p>
              </w:tc>
              <w:tc>
                <w:tcPr>
                  <w:tcW w:w="465" w:type="pct"/>
                  <w:vMerge w:val="continue"/>
                  <w:shd w:val="clear" w:color="auto" w:fill="auto"/>
                  <w:vAlign w:val="center"/>
                </w:tcPr>
                <w:p w14:paraId="65D512FF">
                  <w:pPr>
                    <w:adjustRightInd w:val="0"/>
                    <w:snapToGrid w:val="0"/>
                    <w:spacing w:line="360" w:lineRule="auto"/>
                    <w:jc w:val="center"/>
                    <w:rPr>
                      <w:b/>
                      <w:color w:val="auto"/>
                      <w:kern w:val="0"/>
                      <w:sz w:val="18"/>
                      <w:szCs w:val="18"/>
                    </w:rPr>
                  </w:pPr>
                </w:p>
              </w:tc>
            </w:tr>
            <w:tr w14:paraId="1C4A2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6ACA8C42">
                  <w:pPr>
                    <w:adjustRightInd w:val="0"/>
                    <w:snapToGrid w:val="0"/>
                    <w:jc w:val="center"/>
                    <w:rPr>
                      <w:color w:val="auto"/>
                      <w:kern w:val="0"/>
                      <w:sz w:val="18"/>
                      <w:szCs w:val="18"/>
                    </w:rPr>
                  </w:pPr>
                  <w:r>
                    <w:rPr>
                      <w:color w:val="auto"/>
                      <w:kern w:val="0"/>
                      <w:sz w:val="18"/>
                      <w:szCs w:val="18"/>
                    </w:rPr>
                    <w:t>4</w:t>
                  </w:r>
                </w:p>
              </w:tc>
              <w:tc>
                <w:tcPr>
                  <w:tcW w:w="395" w:type="pct"/>
                  <w:vMerge w:val="continue"/>
                  <w:shd w:val="clear" w:color="auto" w:fill="auto"/>
                  <w:vAlign w:val="center"/>
                </w:tcPr>
                <w:p w14:paraId="5393251B">
                  <w:pPr>
                    <w:adjustRightInd w:val="0"/>
                    <w:snapToGrid w:val="0"/>
                    <w:jc w:val="center"/>
                    <w:rPr>
                      <w:b/>
                      <w:color w:val="auto"/>
                      <w:kern w:val="0"/>
                      <w:sz w:val="18"/>
                      <w:szCs w:val="18"/>
                    </w:rPr>
                  </w:pPr>
                </w:p>
              </w:tc>
              <w:tc>
                <w:tcPr>
                  <w:tcW w:w="571" w:type="pct"/>
                  <w:vAlign w:val="center"/>
                </w:tcPr>
                <w:p w14:paraId="285C3F90">
                  <w:pPr>
                    <w:adjustRightInd w:val="0"/>
                    <w:snapToGrid w:val="0"/>
                    <w:jc w:val="center"/>
                    <w:rPr>
                      <w:color w:val="auto"/>
                      <w:sz w:val="18"/>
                      <w:szCs w:val="18"/>
                    </w:rPr>
                  </w:pPr>
                  <w:r>
                    <w:rPr>
                      <w:color w:val="auto"/>
                      <w:sz w:val="18"/>
                      <w:szCs w:val="18"/>
                    </w:rPr>
                    <w:t>氨氮</w:t>
                  </w:r>
                </w:p>
              </w:tc>
              <w:tc>
                <w:tcPr>
                  <w:tcW w:w="519" w:type="pct"/>
                  <w:vAlign w:val="center"/>
                </w:tcPr>
                <w:p w14:paraId="5366863C">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3841EE61">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5D29F644">
                  <w:pPr>
                    <w:adjustRightInd w:val="0"/>
                    <w:snapToGrid w:val="0"/>
                    <w:jc w:val="center"/>
                    <w:rPr>
                      <w:color w:val="auto"/>
                      <w:sz w:val="18"/>
                      <w:szCs w:val="18"/>
                    </w:rPr>
                  </w:pPr>
                </w:p>
              </w:tc>
              <w:tc>
                <w:tcPr>
                  <w:tcW w:w="852" w:type="pct"/>
                  <w:vMerge w:val="continue"/>
                  <w:vAlign w:val="center"/>
                </w:tcPr>
                <w:p w14:paraId="3CC92E1A">
                  <w:pPr>
                    <w:adjustRightInd w:val="0"/>
                    <w:snapToGrid w:val="0"/>
                    <w:jc w:val="center"/>
                    <w:rPr>
                      <w:color w:val="auto"/>
                      <w:sz w:val="18"/>
                      <w:szCs w:val="18"/>
                    </w:rPr>
                  </w:pPr>
                </w:p>
              </w:tc>
              <w:tc>
                <w:tcPr>
                  <w:tcW w:w="396" w:type="pct"/>
                  <w:vMerge w:val="continue"/>
                  <w:vAlign w:val="center"/>
                </w:tcPr>
                <w:p w14:paraId="67B8F25F">
                  <w:pPr>
                    <w:adjustRightInd w:val="0"/>
                    <w:snapToGrid w:val="0"/>
                    <w:jc w:val="center"/>
                    <w:rPr>
                      <w:color w:val="auto"/>
                      <w:sz w:val="18"/>
                      <w:szCs w:val="18"/>
                    </w:rPr>
                  </w:pPr>
                </w:p>
              </w:tc>
              <w:tc>
                <w:tcPr>
                  <w:tcW w:w="456" w:type="pct"/>
                  <w:vMerge w:val="continue"/>
                  <w:shd w:val="clear" w:color="auto" w:fill="auto"/>
                  <w:vAlign w:val="center"/>
                </w:tcPr>
                <w:p w14:paraId="6A564A79">
                  <w:pPr>
                    <w:adjustRightInd w:val="0"/>
                    <w:snapToGrid w:val="0"/>
                    <w:jc w:val="center"/>
                    <w:rPr>
                      <w:color w:val="auto"/>
                      <w:sz w:val="18"/>
                      <w:szCs w:val="18"/>
                    </w:rPr>
                  </w:pPr>
                </w:p>
              </w:tc>
              <w:tc>
                <w:tcPr>
                  <w:tcW w:w="510" w:type="pct"/>
                  <w:vMerge w:val="continue"/>
                  <w:shd w:val="clear" w:color="auto" w:fill="auto"/>
                  <w:vAlign w:val="center"/>
                </w:tcPr>
                <w:p w14:paraId="430C6256">
                  <w:pPr>
                    <w:adjustRightInd w:val="0"/>
                    <w:snapToGrid w:val="0"/>
                    <w:jc w:val="center"/>
                    <w:rPr>
                      <w:b/>
                      <w:color w:val="auto"/>
                      <w:kern w:val="0"/>
                      <w:sz w:val="18"/>
                      <w:szCs w:val="18"/>
                    </w:rPr>
                  </w:pPr>
                </w:p>
              </w:tc>
              <w:tc>
                <w:tcPr>
                  <w:tcW w:w="465" w:type="pct"/>
                  <w:vMerge w:val="continue"/>
                  <w:shd w:val="clear" w:color="auto" w:fill="auto"/>
                  <w:vAlign w:val="center"/>
                </w:tcPr>
                <w:p w14:paraId="6DE74A98">
                  <w:pPr>
                    <w:adjustRightInd w:val="0"/>
                    <w:snapToGrid w:val="0"/>
                    <w:spacing w:line="360" w:lineRule="auto"/>
                    <w:jc w:val="center"/>
                    <w:rPr>
                      <w:b/>
                      <w:color w:val="auto"/>
                      <w:kern w:val="0"/>
                      <w:sz w:val="18"/>
                      <w:szCs w:val="18"/>
                    </w:rPr>
                  </w:pPr>
                </w:p>
              </w:tc>
            </w:tr>
            <w:tr w14:paraId="2C77C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4A0C4850">
                  <w:pPr>
                    <w:adjustRightInd w:val="0"/>
                    <w:snapToGrid w:val="0"/>
                    <w:jc w:val="center"/>
                    <w:rPr>
                      <w:color w:val="auto"/>
                      <w:kern w:val="0"/>
                      <w:sz w:val="18"/>
                      <w:szCs w:val="18"/>
                    </w:rPr>
                  </w:pPr>
                  <w:r>
                    <w:rPr>
                      <w:color w:val="auto"/>
                      <w:kern w:val="0"/>
                      <w:sz w:val="18"/>
                      <w:szCs w:val="18"/>
                    </w:rPr>
                    <w:t>5</w:t>
                  </w:r>
                </w:p>
              </w:tc>
              <w:tc>
                <w:tcPr>
                  <w:tcW w:w="395" w:type="pct"/>
                  <w:vMerge w:val="continue"/>
                  <w:shd w:val="clear" w:color="auto" w:fill="auto"/>
                  <w:vAlign w:val="center"/>
                </w:tcPr>
                <w:p w14:paraId="0901755F">
                  <w:pPr>
                    <w:adjustRightInd w:val="0"/>
                    <w:snapToGrid w:val="0"/>
                    <w:jc w:val="center"/>
                    <w:rPr>
                      <w:b/>
                      <w:color w:val="auto"/>
                      <w:kern w:val="0"/>
                      <w:sz w:val="18"/>
                      <w:szCs w:val="18"/>
                    </w:rPr>
                  </w:pPr>
                </w:p>
              </w:tc>
              <w:tc>
                <w:tcPr>
                  <w:tcW w:w="571" w:type="pct"/>
                  <w:vAlign w:val="center"/>
                </w:tcPr>
                <w:p w14:paraId="4F8F7589">
                  <w:pPr>
                    <w:adjustRightInd w:val="0"/>
                    <w:snapToGrid w:val="0"/>
                    <w:jc w:val="center"/>
                    <w:rPr>
                      <w:color w:val="auto"/>
                      <w:sz w:val="18"/>
                      <w:szCs w:val="18"/>
                    </w:rPr>
                  </w:pPr>
                  <w:r>
                    <w:rPr>
                      <w:color w:val="auto"/>
                      <w:sz w:val="18"/>
                      <w:szCs w:val="18"/>
                    </w:rPr>
                    <w:t>总氮</w:t>
                  </w:r>
                </w:p>
              </w:tc>
              <w:tc>
                <w:tcPr>
                  <w:tcW w:w="519" w:type="pct"/>
                  <w:vAlign w:val="center"/>
                </w:tcPr>
                <w:p w14:paraId="63E438B0">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1E47984D">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18B5457C">
                  <w:pPr>
                    <w:adjustRightInd w:val="0"/>
                    <w:snapToGrid w:val="0"/>
                    <w:jc w:val="center"/>
                    <w:rPr>
                      <w:color w:val="auto"/>
                      <w:sz w:val="18"/>
                      <w:szCs w:val="18"/>
                    </w:rPr>
                  </w:pPr>
                </w:p>
              </w:tc>
              <w:tc>
                <w:tcPr>
                  <w:tcW w:w="852" w:type="pct"/>
                  <w:vMerge w:val="continue"/>
                  <w:vAlign w:val="center"/>
                </w:tcPr>
                <w:p w14:paraId="11E870DF">
                  <w:pPr>
                    <w:adjustRightInd w:val="0"/>
                    <w:snapToGrid w:val="0"/>
                    <w:jc w:val="center"/>
                    <w:rPr>
                      <w:color w:val="auto"/>
                      <w:sz w:val="18"/>
                      <w:szCs w:val="18"/>
                    </w:rPr>
                  </w:pPr>
                </w:p>
              </w:tc>
              <w:tc>
                <w:tcPr>
                  <w:tcW w:w="396" w:type="pct"/>
                  <w:vMerge w:val="continue"/>
                  <w:vAlign w:val="center"/>
                </w:tcPr>
                <w:p w14:paraId="76FAD313">
                  <w:pPr>
                    <w:adjustRightInd w:val="0"/>
                    <w:snapToGrid w:val="0"/>
                    <w:jc w:val="center"/>
                    <w:rPr>
                      <w:color w:val="auto"/>
                      <w:sz w:val="18"/>
                      <w:szCs w:val="18"/>
                    </w:rPr>
                  </w:pPr>
                </w:p>
              </w:tc>
              <w:tc>
                <w:tcPr>
                  <w:tcW w:w="456" w:type="pct"/>
                  <w:vMerge w:val="continue"/>
                  <w:shd w:val="clear" w:color="auto" w:fill="auto"/>
                  <w:vAlign w:val="center"/>
                </w:tcPr>
                <w:p w14:paraId="5675F11A">
                  <w:pPr>
                    <w:adjustRightInd w:val="0"/>
                    <w:snapToGrid w:val="0"/>
                    <w:jc w:val="center"/>
                    <w:rPr>
                      <w:color w:val="auto"/>
                      <w:sz w:val="18"/>
                      <w:szCs w:val="18"/>
                    </w:rPr>
                  </w:pPr>
                </w:p>
              </w:tc>
              <w:tc>
                <w:tcPr>
                  <w:tcW w:w="510" w:type="pct"/>
                  <w:vMerge w:val="continue"/>
                  <w:shd w:val="clear" w:color="auto" w:fill="auto"/>
                  <w:vAlign w:val="center"/>
                </w:tcPr>
                <w:p w14:paraId="6AB2E0E8">
                  <w:pPr>
                    <w:adjustRightInd w:val="0"/>
                    <w:snapToGrid w:val="0"/>
                    <w:jc w:val="center"/>
                    <w:rPr>
                      <w:b/>
                      <w:color w:val="auto"/>
                      <w:kern w:val="0"/>
                      <w:sz w:val="18"/>
                      <w:szCs w:val="18"/>
                    </w:rPr>
                  </w:pPr>
                </w:p>
              </w:tc>
              <w:tc>
                <w:tcPr>
                  <w:tcW w:w="465" w:type="pct"/>
                  <w:vMerge w:val="continue"/>
                  <w:shd w:val="clear" w:color="auto" w:fill="auto"/>
                  <w:vAlign w:val="center"/>
                </w:tcPr>
                <w:p w14:paraId="7F67108C">
                  <w:pPr>
                    <w:adjustRightInd w:val="0"/>
                    <w:snapToGrid w:val="0"/>
                    <w:spacing w:line="360" w:lineRule="auto"/>
                    <w:jc w:val="center"/>
                    <w:rPr>
                      <w:b/>
                      <w:color w:val="auto"/>
                      <w:kern w:val="0"/>
                      <w:sz w:val="18"/>
                      <w:szCs w:val="18"/>
                    </w:rPr>
                  </w:pPr>
                </w:p>
              </w:tc>
            </w:tr>
            <w:tr w14:paraId="6FFE9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05CBEB41">
                  <w:pPr>
                    <w:adjustRightInd w:val="0"/>
                    <w:snapToGrid w:val="0"/>
                    <w:jc w:val="center"/>
                    <w:rPr>
                      <w:color w:val="auto"/>
                      <w:kern w:val="0"/>
                      <w:sz w:val="18"/>
                      <w:szCs w:val="18"/>
                    </w:rPr>
                  </w:pPr>
                  <w:r>
                    <w:rPr>
                      <w:color w:val="auto"/>
                      <w:kern w:val="0"/>
                      <w:sz w:val="18"/>
                      <w:szCs w:val="18"/>
                    </w:rPr>
                    <w:t>6</w:t>
                  </w:r>
                </w:p>
              </w:tc>
              <w:tc>
                <w:tcPr>
                  <w:tcW w:w="395" w:type="pct"/>
                  <w:vMerge w:val="continue"/>
                  <w:shd w:val="clear" w:color="auto" w:fill="auto"/>
                  <w:vAlign w:val="center"/>
                </w:tcPr>
                <w:p w14:paraId="4BD8D842">
                  <w:pPr>
                    <w:adjustRightInd w:val="0"/>
                    <w:snapToGrid w:val="0"/>
                    <w:jc w:val="center"/>
                    <w:rPr>
                      <w:b/>
                      <w:color w:val="auto"/>
                      <w:kern w:val="0"/>
                      <w:sz w:val="18"/>
                      <w:szCs w:val="18"/>
                    </w:rPr>
                  </w:pPr>
                </w:p>
              </w:tc>
              <w:tc>
                <w:tcPr>
                  <w:tcW w:w="571" w:type="pct"/>
                  <w:vAlign w:val="center"/>
                </w:tcPr>
                <w:p w14:paraId="636B4408">
                  <w:pPr>
                    <w:adjustRightInd w:val="0"/>
                    <w:snapToGrid w:val="0"/>
                    <w:jc w:val="center"/>
                    <w:rPr>
                      <w:color w:val="auto"/>
                      <w:sz w:val="18"/>
                      <w:szCs w:val="18"/>
                    </w:rPr>
                  </w:pPr>
                  <w:r>
                    <w:rPr>
                      <w:color w:val="auto"/>
                      <w:sz w:val="18"/>
                      <w:szCs w:val="18"/>
                    </w:rPr>
                    <w:t>总磷</w:t>
                  </w:r>
                </w:p>
              </w:tc>
              <w:tc>
                <w:tcPr>
                  <w:tcW w:w="519" w:type="pct"/>
                  <w:vAlign w:val="center"/>
                </w:tcPr>
                <w:p w14:paraId="5B6D88C1">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10A3B05D">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78F8188C">
                  <w:pPr>
                    <w:adjustRightInd w:val="0"/>
                    <w:snapToGrid w:val="0"/>
                    <w:jc w:val="center"/>
                    <w:rPr>
                      <w:color w:val="auto"/>
                      <w:sz w:val="18"/>
                      <w:szCs w:val="18"/>
                    </w:rPr>
                  </w:pPr>
                </w:p>
              </w:tc>
              <w:tc>
                <w:tcPr>
                  <w:tcW w:w="852" w:type="pct"/>
                  <w:vMerge w:val="continue"/>
                  <w:vAlign w:val="center"/>
                </w:tcPr>
                <w:p w14:paraId="5FB936EB">
                  <w:pPr>
                    <w:adjustRightInd w:val="0"/>
                    <w:snapToGrid w:val="0"/>
                    <w:jc w:val="center"/>
                    <w:rPr>
                      <w:color w:val="auto"/>
                      <w:sz w:val="18"/>
                      <w:szCs w:val="18"/>
                    </w:rPr>
                  </w:pPr>
                </w:p>
              </w:tc>
              <w:tc>
                <w:tcPr>
                  <w:tcW w:w="396" w:type="pct"/>
                  <w:vMerge w:val="continue"/>
                  <w:vAlign w:val="center"/>
                </w:tcPr>
                <w:p w14:paraId="49A55905">
                  <w:pPr>
                    <w:adjustRightInd w:val="0"/>
                    <w:snapToGrid w:val="0"/>
                    <w:jc w:val="center"/>
                    <w:rPr>
                      <w:color w:val="auto"/>
                      <w:sz w:val="18"/>
                      <w:szCs w:val="18"/>
                    </w:rPr>
                  </w:pPr>
                </w:p>
              </w:tc>
              <w:tc>
                <w:tcPr>
                  <w:tcW w:w="456" w:type="pct"/>
                  <w:vMerge w:val="continue"/>
                  <w:shd w:val="clear" w:color="auto" w:fill="auto"/>
                  <w:vAlign w:val="center"/>
                </w:tcPr>
                <w:p w14:paraId="27436435">
                  <w:pPr>
                    <w:adjustRightInd w:val="0"/>
                    <w:snapToGrid w:val="0"/>
                    <w:jc w:val="center"/>
                    <w:rPr>
                      <w:color w:val="auto"/>
                      <w:sz w:val="18"/>
                      <w:szCs w:val="18"/>
                    </w:rPr>
                  </w:pPr>
                </w:p>
              </w:tc>
              <w:tc>
                <w:tcPr>
                  <w:tcW w:w="510" w:type="pct"/>
                  <w:vMerge w:val="continue"/>
                  <w:shd w:val="clear" w:color="auto" w:fill="auto"/>
                  <w:vAlign w:val="center"/>
                </w:tcPr>
                <w:p w14:paraId="1FD99379">
                  <w:pPr>
                    <w:adjustRightInd w:val="0"/>
                    <w:snapToGrid w:val="0"/>
                    <w:jc w:val="center"/>
                    <w:rPr>
                      <w:b/>
                      <w:color w:val="auto"/>
                      <w:kern w:val="0"/>
                      <w:sz w:val="18"/>
                      <w:szCs w:val="18"/>
                    </w:rPr>
                  </w:pPr>
                </w:p>
              </w:tc>
              <w:tc>
                <w:tcPr>
                  <w:tcW w:w="465" w:type="pct"/>
                  <w:vMerge w:val="continue"/>
                  <w:shd w:val="clear" w:color="auto" w:fill="auto"/>
                  <w:vAlign w:val="center"/>
                </w:tcPr>
                <w:p w14:paraId="507BE622">
                  <w:pPr>
                    <w:adjustRightInd w:val="0"/>
                    <w:snapToGrid w:val="0"/>
                    <w:spacing w:line="360" w:lineRule="auto"/>
                    <w:jc w:val="center"/>
                    <w:rPr>
                      <w:b/>
                      <w:color w:val="auto"/>
                      <w:kern w:val="0"/>
                      <w:sz w:val="18"/>
                      <w:szCs w:val="18"/>
                    </w:rPr>
                  </w:pPr>
                </w:p>
              </w:tc>
            </w:tr>
            <w:tr w14:paraId="70500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1BC87ED6">
                  <w:pPr>
                    <w:adjustRightInd w:val="0"/>
                    <w:snapToGrid w:val="0"/>
                    <w:jc w:val="center"/>
                    <w:rPr>
                      <w:color w:val="auto"/>
                      <w:kern w:val="0"/>
                      <w:sz w:val="18"/>
                      <w:szCs w:val="18"/>
                    </w:rPr>
                  </w:pPr>
                  <w:r>
                    <w:rPr>
                      <w:color w:val="auto"/>
                      <w:kern w:val="0"/>
                      <w:sz w:val="18"/>
                      <w:szCs w:val="18"/>
                    </w:rPr>
                    <w:t>7</w:t>
                  </w:r>
                </w:p>
              </w:tc>
              <w:tc>
                <w:tcPr>
                  <w:tcW w:w="395" w:type="pct"/>
                  <w:vMerge w:val="continue"/>
                  <w:shd w:val="clear" w:color="auto" w:fill="auto"/>
                  <w:vAlign w:val="center"/>
                </w:tcPr>
                <w:p w14:paraId="1995C2C6">
                  <w:pPr>
                    <w:adjustRightInd w:val="0"/>
                    <w:snapToGrid w:val="0"/>
                    <w:jc w:val="center"/>
                    <w:rPr>
                      <w:b/>
                      <w:color w:val="auto"/>
                      <w:kern w:val="0"/>
                      <w:sz w:val="18"/>
                      <w:szCs w:val="18"/>
                    </w:rPr>
                  </w:pPr>
                </w:p>
              </w:tc>
              <w:tc>
                <w:tcPr>
                  <w:tcW w:w="571" w:type="pct"/>
                  <w:vAlign w:val="center"/>
                </w:tcPr>
                <w:p w14:paraId="24A81450">
                  <w:pPr>
                    <w:adjustRightInd w:val="0"/>
                    <w:snapToGrid w:val="0"/>
                    <w:jc w:val="center"/>
                    <w:rPr>
                      <w:color w:val="auto"/>
                      <w:sz w:val="18"/>
                      <w:szCs w:val="18"/>
                    </w:rPr>
                  </w:pPr>
                  <w:r>
                    <w:rPr>
                      <w:color w:val="auto"/>
                      <w:sz w:val="18"/>
                      <w:szCs w:val="18"/>
                    </w:rPr>
                    <w:t>动植物油</w:t>
                  </w:r>
                </w:p>
              </w:tc>
              <w:tc>
                <w:tcPr>
                  <w:tcW w:w="519" w:type="pct"/>
                  <w:vAlign w:val="center"/>
                </w:tcPr>
                <w:p w14:paraId="624C320C">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531A246E">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504715D2">
                  <w:pPr>
                    <w:adjustRightInd w:val="0"/>
                    <w:snapToGrid w:val="0"/>
                    <w:jc w:val="center"/>
                    <w:rPr>
                      <w:color w:val="auto"/>
                      <w:sz w:val="18"/>
                      <w:szCs w:val="18"/>
                    </w:rPr>
                  </w:pPr>
                </w:p>
              </w:tc>
              <w:tc>
                <w:tcPr>
                  <w:tcW w:w="852" w:type="pct"/>
                  <w:vMerge w:val="continue"/>
                  <w:vAlign w:val="center"/>
                </w:tcPr>
                <w:p w14:paraId="117FC1CC">
                  <w:pPr>
                    <w:adjustRightInd w:val="0"/>
                    <w:snapToGrid w:val="0"/>
                    <w:jc w:val="center"/>
                    <w:rPr>
                      <w:color w:val="auto"/>
                      <w:sz w:val="18"/>
                      <w:szCs w:val="18"/>
                    </w:rPr>
                  </w:pPr>
                </w:p>
              </w:tc>
              <w:tc>
                <w:tcPr>
                  <w:tcW w:w="396" w:type="pct"/>
                  <w:vMerge w:val="continue"/>
                  <w:vAlign w:val="center"/>
                </w:tcPr>
                <w:p w14:paraId="71894CEE">
                  <w:pPr>
                    <w:adjustRightInd w:val="0"/>
                    <w:snapToGrid w:val="0"/>
                    <w:jc w:val="center"/>
                    <w:rPr>
                      <w:color w:val="auto"/>
                      <w:sz w:val="18"/>
                      <w:szCs w:val="18"/>
                    </w:rPr>
                  </w:pPr>
                </w:p>
              </w:tc>
              <w:tc>
                <w:tcPr>
                  <w:tcW w:w="456" w:type="pct"/>
                  <w:vMerge w:val="continue"/>
                  <w:shd w:val="clear" w:color="auto" w:fill="auto"/>
                  <w:vAlign w:val="center"/>
                </w:tcPr>
                <w:p w14:paraId="457A192A">
                  <w:pPr>
                    <w:adjustRightInd w:val="0"/>
                    <w:snapToGrid w:val="0"/>
                    <w:jc w:val="center"/>
                    <w:rPr>
                      <w:color w:val="auto"/>
                      <w:sz w:val="18"/>
                      <w:szCs w:val="18"/>
                    </w:rPr>
                  </w:pPr>
                </w:p>
              </w:tc>
              <w:tc>
                <w:tcPr>
                  <w:tcW w:w="510" w:type="pct"/>
                  <w:vMerge w:val="continue"/>
                  <w:shd w:val="clear" w:color="auto" w:fill="auto"/>
                  <w:vAlign w:val="center"/>
                </w:tcPr>
                <w:p w14:paraId="6A4B92DF">
                  <w:pPr>
                    <w:adjustRightInd w:val="0"/>
                    <w:snapToGrid w:val="0"/>
                    <w:jc w:val="center"/>
                    <w:rPr>
                      <w:b/>
                      <w:color w:val="auto"/>
                      <w:kern w:val="0"/>
                      <w:sz w:val="18"/>
                      <w:szCs w:val="18"/>
                    </w:rPr>
                  </w:pPr>
                </w:p>
              </w:tc>
              <w:tc>
                <w:tcPr>
                  <w:tcW w:w="465" w:type="pct"/>
                  <w:vMerge w:val="continue"/>
                  <w:shd w:val="clear" w:color="auto" w:fill="auto"/>
                  <w:vAlign w:val="center"/>
                </w:tcPr>
                <w:p w14:paraId="7DC9A642">
                  <w:pPr>
                    <w:adjustRightInd w:val="0"/>
                    <w:snapToGrid w:val="0"/>
                    <w:spacing w:line="360" w:lineRule="auto"/>
                    <w:jc w:val="center"/>
                    <w:rPr>
                      <w:b/>
                      <w:color w:val="auto"/>
                      <w:kern w:val="0"/>
                      <w:sz w:val="18"/>
                      <w:szCs w:val="18"/>
                    </w:rPr>
                  </w:pPr>
                </w:p>
              </w:tc>
            </w:tr>
            <w:tr w14:paraId="15B19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1ABF7E3C">
                  <w:pPr>
                    <w:adjustRightInd w:val="0"/>
                    <w:snapToGrid w:val="0"/>
                    <w:jc w:val="center"/>
                    <w:rPr>
                      <w:color w:val="auto"/>
                      <w:kern w:val="0"/>
                      <w:sz w:val="18"/>
                      <w:szCs w:val="18"/>
                    </w:rPr>
                  </w:pPr>
                  <w:r>
                    <w:rPr>
                      <w:color w:val="auto"/>
                      <w:kern w:val="0"/>
                      <w:sz w:val="18"/>
                      <w:szCs w:val="18"/>
                    </w:rPr>
                    <w:t>8</w:t>
                  </w:r>
                </w:p>
              </w:tc>
              <w:tc>
                <w:tcPr>
                  <w:tcW w:w="395" w:type="pct"/>
                  <w:vMerge w:val="continue"/>
                  <w:shd w:val="clear" w:color="auto" w:fill="auto"/>
                  <w:vAlign w:val="center"/>
                </w:tcPr>
                <w:p w14:paraId="4A200868">
                  <w:pPr>
                    <w:adjustRightInd w:val="0"/>
                    <w:snapToGrid w:val="0"/>
                    <w:jc w:val="center"/>
                    <w:rPr>
                      <w:b/>
                      <w:color w:val="auto"/>
                      <w:kern w:val="0"/>
                      <w:sz w:val="18"/>
                      <w:szCs w:val="18"/>
                    </w:rPr>
                  </w:pPr>
                </w:p>
              </w:tc>
              <w:tc>
                <w:tcPr>
                  <w:tcW w:w="571" w:type="pct"/>
                  <w:vAlign w:val="center"/>
                </w:tcPr>
                <w:p w14:paraId="47337BB4">
                  <w:pPr>
                    <w:adjustRightInd w:val="0"/>
                    <w:snapToGrid w:val="0"/>
                    <w:jc w:val="center"/>
                    <w:rPr>
                      <w:color w:val="auto"/>
                      <w:sz w:val="18"/>
                      <w:szCs w:val="18"/>
                    </w:rPr>
                  </w:pPr>
                  <w:r>
                    <w:rPr>
                      <w:rFonts w:hint="eastAsia"/>
                      <w:color w:val="auto"/>
                      <w:sz w:val="18"/>
                      <w:szCs w:val="18"/>
                    </w:rPr>
                    <w:t>LA</w:t>
                  </w:r>
                  <w:r>
                    <w:rPr>
                      <w:color w:val="auto"/>
                      <w:sz w:val="18"/>
                      <w:szCs w:val="18"/>
                    </w:rPr>
                    <w:t>S</w:t>
                  </w:r>
                </w:p>
              </w:tc>
              <w:tc>
                <w:tcPr>
                  <w:tcW w:w="519" w:type="pct"/>
                  <w:vAlign w:val="center"/>
                </w:tcPr>
                <w:p w14:paraId="70D5D54F">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0941E24B">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2345EC09">
                  <w:pPr>
                    <w:adjustRightInd w:val="0"/>
                    <w:snapToGrid w:val="0"/>
                    <w:jc w:val="center"/>
                    <w:rPr>
                      <w:color w:val="auto"/>
                      <w:sz w:val="18"/>
                      <w:szCs w:val="18"/>
                    </w:rPr>
                  </w:pPr>
                </w:p>
              </w:tc>
              <w:tc>
                <w:tcPr>
                  <w:tcW w:w="852" w:type="pct"/>
                  <w:vMerge w:val="continue"/>
                  <w:vAlign w:val="center"/>
                </w:tcPr>
                <w:p w14:paraId="520269E2">
                  <w:pPr>
                    <w:adjustRightInd w:val="0"/>
                    <w:snapToGrid w:val="0"/>
                    <w:jc w:val="center"/>
                    <w:rPr>
                      <w:color w:val="auto"/>
                      <w:sz w:val="18"/>
                      <w:szCs w:val="18"/>
                    </w:rPr>
                  </w:pPr>
                </w:p>
              </w:tc>
              <w:tc>
                <w:tcPr>
                  <w:tcW w:w="396" w:type="pct"/>
                  <w:vMerge w:val="continue"/>
                  <w:vAlign w:val="center"/>
                </w:tcPr>
                <w:p w14:paraId="2C15BAF2">
                  <w:pPr>
                    <w:adjustRightInd w:val="0"/>
                    <w:snapToGrid w:val="0"/>
                    <w:jc w:val="center"/>
                    <w:rPr>
                      <w:color w:val="auto"/>
                      <w:sz w:val="18"/>
                      <w:szCs w:val="18"/>
                    </w:rPr>
                  </w:pPr>
                </w:p>
              </w:tc>
              <w:tc>
                <w:tcPr>
                  <w:tcW w:w="456" w:type="pct"/>
                  <w:vMerge w:val="continue"/>
                  <w:shd w:val="clear" w:color="auto" w:fill="auto"/>
                  <w:vAlign w:val="center"/>
                </w:tcPr>
                <w:p w14:paraId="3CCF8B23">
                  <w:pPr>
                    <w:adjustRightInd w:val="0"/>
                    <w:snapToGrid w:val="0"/>
                    <w:jc w:val="center"/>
                    <w:rPr>
                      <w:color w:val="auto"/>
                      <w:sz w:val="18"/>
                      <w:szCs w:val="18"/>
                    </w:rPr>
                  </w:pPr>
                </w:p>
              </w:tc>
              <w:tc>
                <w:tcPr>
                  <w:tcW w:w="510" w:type="pct"/>
                  <w:vMerge w:val="continue"/>
                  <w:shd w:val="clear" w:color="auto" w:fill="auto"/>
                  <w:vAlign w:val="center"/>
                </w:tcPr>
                <w:p w14:paraId="50CB4EC1">
                  <w:pPr>
                    <w:adjustRightInd w:val="0"/>
                    <w:snapToGrid w:val="0"/>
                    <w:jc w:val="center"/>
                    <w:rPr>
                      <w:b/>
                      <w:color w:val="auto"/>
                      <w:kern w:val="0"/>
                      <w:sz w:val="18"/>
                      <w:szCs w:val="18"/>
                    </w:rPr>
                  </w:pPr>
                </w:p>
              </w:tc>
              <w:tc>
                <w:tcPr>
                  <w:tcW w:w="465" w:type="pct"/>
                  <w:vMerge w:val="continue"/>
                  <w:shd w:val="clear" w:color="auto" w:fill="auto"/>
                  <w:vAlign w:val="center"/>
                </w:tcPr>
                <w:p w14:paraId="04E1CE45">
                  <w:pPr>
                    <w:adjustRightInd w:val="0"/>
                    <w:snapToGrid w:val="0"/>
                    <w:spacing w:line="360" w:lineRule="auto"/>
                    <w:jc w:val="center"/>
                    <w:rPr>
                      <w:b/>
                      <w:color w:val="auto"/>
                      <w:kern w:val="0"/>
                      <w:sz w:val="18"/>
                      <w:szCs w:val="18"/>
                    </w:rPr>
                  </w:pPr>
                </w:p>
              </w:tc>
            </w:tr>
            <w:tr w14:paraId="0C818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24454E88">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9</w:t>
                  </w:r>
                </w:p>
              </w:tc>
              <w:tc>
                <w:tcPr>
                  <w:tcW w:w="395" w:type="pct"/>
                  <w:vMerge w:val="continue"/>
                  <w:shd w:val="clear" w:color="auto" w:fill="auto"/>
                  <w:vAlign w:val="center"/>
                </w:tcPr>
                <w:p w14:paraId="48307916">
                  <w:pPr>
                    <w:adjustRightInd w:val="0"/>
                    <w:snapToGrid w:val="0"/>
                    <w:jc w:val="center"/>
                    <w:rPr>
                      <w:b/>
                      <w:color w:val="auto"/>
                      <w:kern w:val="0"/>
                      <w:sz w:val="18"/>
                      <w:szCs w:val="18"/>
                    </w:rPr>
                  </w:pPr>
                </w:p>
              </w:tc>
              <w:tc>
                <w:tcPr>
                  <w:tcW w:w="571" w:type="pct"/>
                  <w:vAlign w:val="center"/>
                </w:tcPr>
                <w:p w14:paraId="57572298">
                  <w:pPr>
                    <w:adjustRightInd w:val="0"/>
                    <w:snapToGrid w:val="0"/>
                    <w:jc w:val="center"/>
                    <w:rPr>
                      <w:rFonts w:hint="eastAsia" w:eastAsia="宋体"/>
                      <w:color w:val="auto"/>
                      <w:sz w:val="18"/>
                      <w:szCs w:val="18"/>
                      <w:lang w:eastAsia="zh-CN"/>
                    </w:rPr>
                  </w:pPr>
                  <w:r>
                    <w:rPr>
                      <w:rFonts w:hint="eastAsia"/>
                      <w:color w:val="auto"/>
                      <w:sz w:val="18"/>
                      <w:szCs w:val="18"/>
                      <w:lang w:eastAsia="zh-CN"/>
                    </w:rPr>
                    <w:t>盐分</w:t>
                  </w:r>
                </w:p>
              </w:tc>
              <w:tc>
                <w:tcPr>
                  <w:tcW w:w="519" w:type="pct"/>
                  <w:shd w:val="clear" w:color="auto" w:fill="auto"/>
                  <w:vAlign w:val="center"/>
                </w:tcPr>
                <w:p w14:paraId="664BFDAE">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7929944A">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sym w:font="Wingdings 2" w:char="F052"/>
                  </w:r>
                  <w:r>
                    <w:rPr>
                      <w:color w:val="auto"/>
                      <w:kern w:val="0"/>
                      <w:sz w:val="18"/>
                      <w:szCs w:val="18"/>
                    </w:rPr>
                    <w:t>手动</w:t>
                  </w:r>
                </w:p>
              </w:tc>
              <w:tc>
                <w:tcPr>
                  <w:tcW w:w="625" w:type="pct"/>
                  <w:vMerge w:val="continue"/>
                  <w:vAlign w:val="center"/>
                </w:tcPr>
                <w:p w14:paraId="1BF5744D">
                  <w:pPr>
                    <w:adjustRightInd w:val="0"/>
                    <w:snapToGrid w:val="0"/>
                    <w:jc w:val="center"/>
                    <w:rPr>
                      <w:color w:val="auto"/>
                      <w:sz w:val="18"/>
                      <w:szCs w:val="18"/>
                    </w:rPr>
                  </w:pPr>
                </w:p>
              </w:tc>
              <w:tc>
                <w:tcPr>
                  <w:tcW w:w="852" w:type="pct"/>
                  <w:vMerge w:val="continue"/>
                  <w:vAlign w:val="center"/>
                </w:tcPr>
                <w:p w14:paraId="4812B183">
                  <w:pPr>
                    <w:adjustRightInd w:val="0"/>
                    <w:snapToGrid w:val="0"/>
                    <w:jc w:val="center"/>
                    <w:rPr>
                      <w:color w:val="auto"/>
                      <w:sz w:val="18"/>
                      <w:szCs w:val="18"/>
                    </w:rPr>
                  </w:pPr>
                </w:p>
              </w:tc>
              <w:tc>
                <w:tcPr>
                  <w:tcW w:w="396" w:type="pct"/>
                  <w:vMerge w:val="continue"/>
                  <w:vAlign w:val="center"/>
                </w:tcPr>
                <w:p w14:paraId="6BC9A484">
                  <w:pPr>
                    <w:adjustRightInd w:val="0"/>
                    <w:snapToGrid w:val="0"/>
                    <w:jc w:val="center"/>
                    <w:rPr>
                      <w:color w:val="auto"/>
                      <w:sz w:val="18"/>
                      <w:szCs w:val="18"/>
                    </w:rPr>
                  </w:pPr>
                </w:p>
              </w:tc>
              <w:tc>
                <w:tcPr>
                  <w:tcW w:w="456" w:type="pct"/>
                  <w:vMerge w:val="continue"/>
                  <w:shd w:val="clear" w:color="auto" w:fill="auto"/>
                  <w:vAlign w:val="center"/>
                </w:tcPr>
                <w:p w14:paraId="2E0DBD44">
                  <w:pPr>
                    <w:adjustRightInd w:val="0"/>
                    <w:snapToGrid w:val="0"/>
                    <w:jc w:val="center"/>
                    <w:rPr>
                      <w:color w:val="auto"/>
                      <w:sz w:val="18"/>
                      <w:szCs w:val="18"/>
                    </w:rPr>
                  </w:pPr>
                </w:p>
              </w:tc>
              <w:tc>
                <w:tcPr>
                  <w:tcW w:w="510" w:type="pct"/>
                  <w:vMerge w:val="continue"/>
                  <w:shd w:val="clear" w:color="auto" w:fill="auto"/>
                  <w:vAlign w:val="center"/>
                </w:tcPr>
                <w:p w14:paraId="0FCFC5D8">
                  <w:pPr>
                    <w:adjustRightInd w:val="0"/>
                    <w:snapToGrid w:val="0"/>
                    <w:jc w:val="center"/>
                    <w:rPr>
                      <w:b/>
                      <w:color w:val="auto"/>
                      <w:kern w:val="0"/>
                      <w:sz w:val="18"/>
                      <w:szCs w:val="18"/>
                    </w:rPr>
                  </w:pPr>
                </w:p>
              </w:tc>
              <w:tc>
                <w:tcPr>
                  <w:tcW w:w="465" w:type="pct"/>
                  <w:vMerge w:val="continue"/>
                  <w:shd w:val="clear" w:color="auto" w:fill="auto"/>
                  <w:vAlign w:val="center"/>
                </w:tcPr>
                <w:p w14:paraId="3F595443">
                  <w:pPr>
                    <w:adjustRightInd w:val="0"/>
                    <w:snapToGrid w:val="0"/>
                    <w:spacing w:line="360" w:lineRule="auto"/>
                    <w:jc w:val="center"/>
                    <w:rPr>
                      <w:b/>
                      <w:color w:val="auto"/>
                      <w:kern w:val="0"/>
                      <w:sz w:val="18"/>
                      <w:szCs w:val="18"/>
                    </w:rPr>
                  </w:pPr>
                </w:p>
              </w:tc>
            </w:tr>
          </w:tbl>
          <w:p w14:paraId="0C3B7DF6">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2.3废水防治措施可行性分析</w:t>
            </w:r>
          </w:p>
          <w:p w14:paraId="50ED09DA">
            <w:pPr>
              <w:spacing w:line="360" w:lineRule="auto"/>
              <w:ind w:firstLine="480" w:firstLineChars="200"/>
              <w:rPr>
                <w:color w:val="auto"/>
                <w:sz w:val="24"/>
              </w:rPr>
            </w:pPr>
            <w:r>
              <w:rPr>
                <w:color w:val="auto"/>
                <w:sz w:val="24"/>
              </w:rPr>
              <w:t>本项目</w:t>
            </w:r>
            <w:r>
              <w:rPr>
                <w:rFonts w:hint="eastAsia"/>
                <w:color w:val="auto"/>
                <w:sz w:val="24"/>
              </w:rPr>
              <w:t>产生的废水为</w:t>
            </w:r>
            <w:r>
              <w:rPr>
                <w:rFonts w:hint="eastAsia"/>
                <w:color w:val="auto"/>
                <w:sz w:val="24"/>
                <w:lang w:eastAsia="zh-CN"/>
              </w:rPr>
              <w:t>生活污水</w:t>
            </w:r>
            <w:r>
              <w:rPr>
                <w:rFonts w:hint="eastAsia"/>
                <w:color w:val="auto"/>
                <w:sz w:val="24"/>
              </w:rPr>
              <w:t>、生产废水、冲洗废水。生活污水主要有食堂废水和职工</w:t>
            </w:r>
            <w:r>
              <w:rPr>
                <w:rFonts w:hint="eastAsia"/>
                <w:color w:val="auto"/>
                <w:sz w:val="24"/>
                <w:lang w:eastAsia="zh-CN"/>
              </w:rPr>
              <w:t>生活污水</w:t>
            </w:r>
            <w:r>
              <w:rPr>
                <w:rFonts w:hint="eastAsia"/>
                <w:color w:val="auto"/>
                <w:sz w:val="24"/>
              </w:rPr>
              <w:t>；</w:t>
            </w:r>
            <w:r>
              <w:rPr>
                <w:color w:val="auto"/>
                <w:sz w:val="24"/>
              </w:rPr>
              <w:t>生产废水</w:t>
            </w:r>
            <w:r>
              <w:rPr>
                <w:rFonts w:hint="eastAsia"/>
                <w:color w:val="auto"/>
                <w:sz w:val="24"/>
                <w:lang w:eastAsia="zh-CN"/>
              </w:rPr>
              <w:t>：</w:t>
            </w:r>
            <w:r>
              <w:rPr>
                <w:color w:val="auto"/>
                <w:sz w:val="24"/>
              </w:rPr>
              <w:t>主要</w:t>
            </w:r>
            <w:r>
              <w:rPr>
                <w:rFonts w:hint="eastAsia"/>
                <w:color w:val="auto"/>
                <w:sz w:val="24"/>
              </w:rPr>
              <w:t>有</w:t>
            </w:r>
            <w:r>
              <w:rPr>
                <w:rFonts w:hint="eastAsia"/>
                <w:color w:val="auto"/>
                <w:sz w:val="24"/>
                <w:lang w:eastAsia="zh-CN"/>
              </w:rPr>
              <w:t>脱盐清洗、消毒、清洗、脱水、解冻、泡发、漂烫等工序生产</w:t>
            </w:r>
            <w:r>
              <w:rPr>
                <w:rFonts w:hint="eastAsia"/>
                <w:color w:val="auto"/>
                <w:sz w:val="24"/>
              </w:rPr>
              <w:t>废水；冲洗废水主要有设备清洗废水</w:t>
            </w:r>
            <w:r>
              <w:rPr>
                <w:rFonts w:hint="eastAsia"/>
                <w:color w:val="auto"/>
                <w:sz w:val="24"/>
                <w:lang w:eastAsia="zh-CN"/>
              </w:rPr>
              <w:t>和</w:t>
            </w:r>
            <w:r>
              <w:rPr>
                <w:rFonts w:hint="eastAsia"/>
                <w:color w:val="auto"/>
                <w:sz w:val="24"/>
              </w:rPr>
              <w:t>地面清洁废水</w:t>
            </w:r>
            <w:r>
              <w:rPr>
                <w:color w:val="auto"/>
                <w:sz w:val="24"/>
              </w:rPr>
              <w:t>。</w:t>
            </w:r>
            <w:r>
              <w:rPr>
                <w:rFonts w:hint="eastAsia"/>
                <w:color w:val="auto"/>
                <w:sz w:val="24"/>
                <w:lang w:eastAsia="zh-CN"/>
              </w:rPr>
              <w:t>生活污水</w:t>
            </w:r>
            <w:r>
              <w:rPr>
                <w:rFonts w:hint="eastAsia"/>
                <w:color w:val="auto"/>
                <w:sz w:val="24"/>
              </w:rPr>
              <w:t>经化粪池处理后排入厂区污水处理站；食堂废水和设备冲洗废水经隔油池处理后排入厂区污水处理站，其余废水排入厂区污水处理站，综合废水</w:t>
            </w:r>
            <w:r>
              <w:rPr>
                <w:color w:val="auto"/>
                <w:sz w:val="24"/>
              </w:rPr>
              <w:t>经污水处理站处置达标后接管至涟水经济开发区西区污水处理厂集中处置，</w:t>
            </w:r>
            <w:r>
              <w:rPr>
                <w:rFonts w:hint="eastAsia"/>
                <w:color w:val="auto"/>
                <w:sz w:val="24"/>
              </w:rPr>
              <w:t>处理达标后</w:t>
            </w:r>
            <w:r>
              <w:rPr>
                <w:color w:val="auto"/>
                <w:sz w:val="24"/>
              </w:rPr>
              <w:t>尾水排放至公兴河。</w:t>
            </w:r>
          </w:p>
          <w:p w14:paraId="22332C41">
            <w:pPr>
              <w:spacing w:line="360" w:lineRule="auto"/>
              <w:ind w:firstLine="482" w:firstLineChars="200"/>
              <w:jc w:val="left"/>
              <w:rPr>
                <w:b/>
                <w:color w:val="auto"/>
                <w:sz w:val="24"/>
              </w:rPr>
            </w:pPr>
            <w:r>
              <w:rPr>
                <w:rFonts w:hint="eastAsia"/>
                <w:b/>
                <w:color w:val="auto"/>
                <w:sz w:val="24"/>
              </w:rPr>
              <w:t>（1）隔油池和化粪池可行性分析</w:t>
            </w:r>
          </w:p>
          <w:p w14:paraId="65DFD22D">
            <w:pPr>
              <w:spacing w:line="360" w:lineRule="auto"/>
              <w:ind w:firstLine="480" w:firstLineChars="200"/>
              <w:rPr>
                <w:b/>
                <w:color w:val="auto"/>
                <w:sz w:val="24"/>
              </w:rPr>
            </w:pPr>
            <w:r>
              <w:rPr>
                <w:color w:val="auto"/>
                <w:sz w:val="24"/>
              </w:rPr>
              <w:t>隔油池是利用油滴与水的密度差产生上浮作用来去除含油废水中可浮性油类物质的一种废水预处理构筑物。隔油池的构造多采用平流式，含油废水通过配水槽进入平面为矩形的隔油池，沿水平方向缓慢流动，在流动中油品上浮水面，由集油管或设置在池面的刮油机推送到集油管中流入脱水罐。</w:t>
            </w:r>
          </w:p>
          <w:p w14:paraId="2E720ED7">
            <w:pPr>
              <w:spacing w:line="360" w:lineRule="auto"/>
              <w:ind w:firstLine="480" w:firstLineChars="200"/>
              <w:rPr>
                <w:color w:val="auto"/>
                <w:sz w:val="24"/>
              </w:rPr>
            </w:pPr>
            <w:r>
              <w:rPr>
                <w:color w:val="auto"/>
                <w:sz w:val="24"/>
              </w:rPr>
              <w:t>化粪池是利用沉淀和厌氧发酵的原理，去除生活污水中悬浮性有机物的处理设施。其原理是固化物在池底分解，上层的水化物体，进入管道流走，防止了管道堵塞，给固化物体（粪便等垃圾）有充足的时间水解。</w:t>
            </w:r>
          </w:p>
          <w:p w14:paraId="5C741081">
            <w:pPr>
              <w:spacing w:line="360" w:lineRule="auto"/>
              <w:ind w:firstLine="480" w:firstLineChars="200"/>
              <w:rPr>
                <w:color w:val="auto"/>
                <w:sz w:val="24"/>
              </w:rPr>
            </w:pPr>
            <w:r>
              <w:rPr>
                <w:rFonts w:hint="eastAsia"/>
                <w:color w:val="auto"/>
                <w:sz w:val="24"/>
                <w:lang w:eastAsia="zh-CN"/>
              </w:rPr>
              <w:t>生活污水</w:t>
            </w:r>
            <w:r>
              <w:rPr>
                <w:rFonts w:hint="eastAsia"/>
                <w:color w:val="auto"/>
                <w:sz w:val="24"/>
              </w:rPr>
              <w:t>经化粪池处理、食堂废水和设备冲洗废水经隔油池处理后可接入厂区污水处理站进行下一步处理。</w:t>
            </w:r>
          </w:p>
          <w:p w14:paraId="13302849">
            <w:pPr>
              <w:spacing w:line="360" w:lineRule="auto"/>
              <w:ind w:firstLine="482" w:firstLineChars="200"/>
              <w:jc w:val="left"/>
              <w:rPr>
                <w:b/>
                <w:color w:val="auto"/>
                <w:sz w:val="24"/>
              </w:rPr>
            </w:pPr>
            <w:r>
              <w:rPr>
                <w:rFonts w:hint="eastAsia"/>
                <w:b/>
                <w:color w:val="auto"/>
                <w:sz w:val="24"/>
              </w:rPr>
              <w:t>（</w:t>
            </w:r>
            <w:r>
              <w:rPr>
                <w:b/>
                <w:color w:val="auto"/>
                <w:sz w:val="24"/>
              </w:rPr>
              <w:t>2</w:t>
            </w:r>
            <w:r>
              <w:rPr>
                <w:rFonts w:hint="eastAsia"/>
                <w:b/>
                <w:color w:val="auto"/>
                <w:sz w:val="24"/>
              </w:rPr>
              <w:t>）污水处理站可行性分析</w:t>
            </w:r>
          </w:p>
          <w:p w14:paraId="07DE85D2">
            <w:pPr>
              <w:spacing w:line="360" w:lineRule="auto"/>
              <w:ind w:firstLine="480" w:firstLineChars="200"/>
              <w:jc w:val="left"/>
              <w:rPr>
                <w:b/>
                <w:color w:val="auto"/>
                <w:sz w:val="24"/>
              </w:rPr>
            </w:pPr>
            <w:r>
              <w:rPr>
                <w:color w:val="auto"/>
                <w:sz w:val="24"/>
              </w:rPr>
              <w:t>本项目厂内污水处理站设计日处理量达1600t/d</w:t>
            </w:r>
            <w:r>
              <w:rPr>
                <w:rFonts w:hint="eastAsia"/>
                <w:color w:val="auto"/>
                <w:sz w:val="24"/>
              </w:rPr>
              <w:t>。</w:t>
            </w:r>
          </w:p>
          <w:p w14:paraId="14196679">
            <w:pPr>
              <w:pStyle w:val="146"/>
              <w:ind w:left="480" w:firstLine="0" w:firstLineChars="0"/>
              <w:rPr>
                <w:rFonts w:eastAsia="宋体"/>
                <w:b/>
                <w:color w:val="auto"/>
                <w:kern w:val="0"/>
                <w:szCs w:val="24"/>
              </w:rPr>
            </w:pPr>
            <w:r>
              <w:rPr>
                <w:color w:val="auto"/>
              </w:rPr>
              <mc:AlternateContent>
                <mc:Choice Requires="wpc">
                  <w:drawing>
                    <wp:anchor distT="0" distB="0" distL="114300" distR="114300" simplePos="0" relativeHeight="251659264" behindDoc="0" locked="0" layoutInCell="1" allowOverlap="1">
                      <wp:simplePos x="0" y="0"/>
                      <wp:positionH relativeFrom="column">
                        <wp:posOffset>-65405</wp:posOffset>
                      </wp:positionH>
                      <wp:positionV relativeFrom="paragraph">
                        <wp:posOffset>297815</wp:posOffset>
                      </wp:positionV>
                      <wp:extent cx="5413375" cy="3761105"/>
                      <wp:effectExtent l="0" t="0" r="15875" b="10795"/>
                      <wp:wrapSquare wrapText="bothSides"/>
                      <wp:docPr id="42" name="画布 42"/>
                      <wp:cNvGraphicFramePr/>
                      <a:graphic xmlns:a="http://schemas.openxmlformats.org/drawingml/2006/main">
                        <a:graphicData uri="http://schemas.microsoft.com/office/word/2010/wordprocessingCanvas">
                          <wpc:wpc>
                            <wpc:bg>
                              <a:noFill/>
                            </wpc:bg>
                            <wpc:whole>
                              <a:ln>
                                <a:noFill/>
                              </a:ln>
                            </wpc:whole>
                            <wps:wsp>
                              <wps:cNvPr id="1" name="矩形 62"/>
                              <wps:cNvSpPr>
                                <a:spLocks noChangeArrowheads="1"/>
                              </wps:cNvSpPr>
                              <wps:spPr bwMode="auto">
                                <a:xfrm>
                                  <a:off x="3871399" y="136964"/>
                                  <a:ext cx="842645" cy="269240"/>
                                </a:xfrm>
                                <a:prstGeom prst="rect">
                                  <a:avLst/>
                                </a:prstGeom>
                                <a:solidFill>
                                  <a:srgbClr val="FFFFFF"/>
                                </a:solidFill>
                                <a:ln>
                                  <a:noFill/>
                                </a:ln>
                                <a:effectLst/>
                              </wps:spPr>
                              <wps:txbx>
                                <w:txbxContent>
                                  <w:p w14:paraId="50B99F57">
                                    <w:pPr>
                                      <w:jc w:val="center"/>
                                    </w:pPr>
                                    <w:r>
                                      <w:rPr>
                                        <w:rFonts w:hint="eastAsia"/>
                                      </w:rPr>
                                      <w:t>污泥回流</w:t>
                                    </w:r>
                                  </w:p>
                                </w:txbxContent>
                              </wps:txbx>
                              <wps:bodyPr rot="0" vert="horz" wrap="square" lIns="91440" tIns="45720" rIns="91440" bIns="45720" anchor="ctr" anchorCtr="0" upright="1">
                                <a:noAutofit/>
                              </wps:bodyPr>
                            </wps:wsp>
                            <wps:wsp>
                              <wps:cNvPr id="3" name="矩形 2"/>
                              <wps:cNvSpPr>
                                <a:spLocks noChangeArrowheads="1"/>
                              </wps:cNvSpPr>
                              <wps:spPr bwMode="auto">
                                <a:xfrm>
                                  <a:off x="35999" y="841179"/>
                                  <a:ext cx="347980" cy="903605"/>
                                </a:xfrm>
                                <a:prstGeom prst="rect">
                                  <a:avLst/>
                                </a:prstGeom>
                                <a:solidFill>
                                  <a:srgbClr val="FFFFFF"/>
                                </a:solidFill>
                                <a:ln>
                                  <a:noFill/>
                                </a:ln>
                                <a:effectLst/>
                              </wps:spPr>
                              <wps:txbx>
                                <w:txbxContent>
                                  <w:p w14:paraId="6BB8D4D0">
                                    <w:pPr>
                                      <w:jc w:val="center"/>
                                    </w:pPr>
                                    <w:r>
                                      <w:rPr>
                                        <w:rFonts w:hint="eastAsia"/>
                                      </w:rPr>
                                      <w:t>综合废水</w:t>
                                    </w:r>
                                  </w:p>
                                </w:txbxContent>
                              </wps:txbx>
                              <wps:bodyPr rot="0" vert="horz" wrap="square" lIns="91440" tIns="45720" rIns="91440" bIns="45720" anchor="ctr" anchorCtr="0" upright="1">
                                <a:noAutofit/>
                              </wps:bodyPr>
                            </wps:wsp>
                            <wps:wsp>
                              <wps:cNvPr id="4" name="矩形 8"/>
                              <wps:cNvSpPr>
                                <a:spLocks noChangeArrowheads="1"/>
                              </wps:cNvSpPr>
                              <wps:spPr bwMode="auto">
                                <a:xfrm>
                                  <a:off x="693859" y="723704"/>
                                  <a:ext cx="321945" cy="1207770"/>
                                </a:xfrm>
                                <a:prstGeom prst="rect">
                                  <a:avLst/>
                                </a:prstGeom>
                                <a:noFill/>
                                <a:ln w="25400">
                                  <a:solidFill>
                                    <a:srgbClr val="000000"/>
                                  </a:solidFill>
                                  <a:round/>
                                </a:ln>
                                <a:effectLst/>
                              </wps:spPr>
                              <wps:txbx>
                                <w:txbxContent>
                                  <w:p w14:paraId="529BA655">
                                    <w:pPr>
                                      <w:jc w:val="center"/>
                                      <w:rPr>
                                        <w:color w:val="000000"/>
                                      </w:rPr>
                                    </w:pPr>
                                    <w:r>
                                      <w:rPr>
                                        <w:rFonts w:hint="eastAsia"/>
                                        <w:color w:val="000000"/>
                                      </w:rPr>
                                      <w:t>机械格栅</w:t>
                                    </w:r>
                                  </w:p>
                                </w:txbxContent>
                              </wps:txbx>
                              <wps:bodyPr rot="0" vert="horz" wrap="square" lIns="91440" tIns="45720" rIns="91440" bIns="45720" anchor="ctr" anchorCtr="0" upright="1">
                                <a:noAutofit/>
                              </wps:bodyPr>
                            </wps:wsp>
                            <wps:wsp>
                              <wps:cNvPr id="5" name="矩形 13"/>
                              <wps:cNvSpPr>
                                <a:spLocks noChangeArrowheads="1"/>
                              </wps:cNvSpPr>
                              <wps:spPr bwMode="auto">
                                <a:xfrm>
                                  <a:off x="1294569" y="705289"/>
                                  <a:ext cx="325755" cy="1228090"/>
                                </a:xfrm>
                                <a:prstGeom prst="rect">
                                  <a:avLst/>
                                </a:prstGeom>
                                <a:noFill/>
                                <a:ln w="25400">
                                  <a:solidFill>
                                    <a:srgbClr val="000000"/>
                                  </a:solidFill>
                                  <a:round/>
                                </a:ln>
                                <a:effectLst/>
                              </wps:spPr>
                              <wps:txbx>
                                <w:txbxContent>
                                  <w:p w14:paraId="04CFF591">
                                    <w:pPr>
                                      <w:jc w:val="center"/>
                                      <w:rPr>
                                        <w:color w:val="000000"/>
                                      </w:rPr>
                                    </w:pPr>
                                    <w:r>
                                      <w:rPr>
                                        <w:rFonts w:hint="eastAsia"/>
                                        <w:color w:val="000000"/>
                                      </w:rPr>
                                      <w:t>折流沉淀池</w:t>
                                    </w:r>
                                  </w:p>
                                </w:txbxContent>
                              </wps:txbx>
                              <wps:bodyPr rot="0" vert="horz" wrap="square" lIns="91440" tIns="45720" rIns="91440" bIns="45720" anchor="ctr" anchorCtr="0" upright="1">
                                <a:noAutofit/>
                              </wps:bodyPr>
                            </wps:wsp>
                            <wps:wsp>
                              <wps:cNvPr id="6" name="矩形 17"/>
                              <wps:cNvSpPr>
                                <a:spLocks noChangeArrowheads="1"/>
                              </wps:cNvSpPr>
                              <wps:spPr bwMode="auto">
                                <a:xfrm>
                                  <a:off x="1894644" y="706559"/>
                                  <a:ext cx="324485" cy="1247775"/>
                                </a:xfrm>
                                <a:prstGeom prst="rect">
                                  <a:avLst/>
                                </a:prstGeom>
                                <a:noFill/>
                                <a:ln w="25400">
                                  <a:solidFill>
                                    <a:srgbClr val="000000"/>
                                  </a:solidFill>
                                  <a:round/>
                                </a:ln>
                                <a:effectLst/>
                              </wps:spPr>
                              <wps:txbx>
                                <w:txbxContent>
                                  <w:p w14:paraId="10C7D70E">
                                    <w:pPr>
                                      <w:jc w:val="center"/>
                                      <w:rPr>
                                        <w:color w:val="000000"/>
                                      </w:rPr>
                                    </w:pPr>
                                  </w:p>
                                  <w:p w14:paraId="5955A803">
                                    <w:pPr>
                                      <w:jc w:val="center"/>
                                      <w:rPr>
                                        <w:color w:val="000000"/>
                                      </w:rPr>
                                    </w:pPr>
                                    <w:r>
                                      <w:rPr>
                                        <w:rFonts w:hint="eastAsia"/>
                                        <w:color w:val="000000"/>
                                      </w:rPr>
                                      <w:t>调节池</w:t>
                                    </w:r>
                                  </w:p>
                                </w:txbxContent>
                              </wps:txbx>
                              <wps:bodyPr rot="0" vert="horz" wrap="square" lIns="91440" tIns="45720" rIns="91440" bIns="45720" anchor="ctr" anchorCtr="0" upright="1">
                                <a:noAutofit/>
                              </wps:bodyPr>
                            </wps:wsp>
                            <wps:wsp>
                              <wps:cNvPr id="7" name="矩形 19"/>
                              <wps:cNvSpPr>
                                <a:spLocks noChangeArrowheads="1"/>
                              </wps:cNvSpPr>
                              <wps:spPr bwMode="auto">
                                <a:xfrm>
                                  <a:off x="2440744" y="684334"/>
                                  <a:ext cx="346710" cy="1278255"/>
                                </a:xfrm>
                                <a:prstGeom prst="rect">
                                  <a:avLst/>
                                </a:prstGeom>
                                <a:noFill/>
                                <a:ln w="25400">
                                  <a:solidFill>
                                    <a:srgbClr val="000000"/>
                                  </a:solidFill>
                                  <a:round/>
                                </a:ln>
                                <a:effectLst/>
                              </wps:spPr>
                              <wps:txbx>
                                <w:txbxContent>
                                  <w:p w14:paraId="62F64BBC">
                                    <w:pPr>
                                      <w:jc w:val="center"/>
                                      <w:rPr>
                                        <w:color w:val="000000"/>
                                      </w:rPr>
                                    </w:pPr>
                                    <w:r>
                                      <w:rPr>
                                        <w:rFonts w:hint="eastAsia"/>
                                        <w:color w:val="000000"/>
                                      </w:rPr>
                                      <w:t>混凝气浮池</w:t>
                                    </w:r>
                                  </w:p>
                                </w:txbxContent>
                              </wps:txbx>
                              <wps:bodyPr rot="0" vert="horz" wrap="square" lIns="91440" tIns="45720" rIns="91440" bIns="45720" anchor="ctr" anchorCtr="0" upright="1">
                                <a:noAutofit/>
                              </wps:bodyPr>
                            </wps:wsp>
                            <wps:wsp>
                              <wps:cNvPr id="8" name="矩形 22"/>
                              <wps:cNvSpPr>
                                <a:spLocks noChangeArrowheads="1"/>
                              </wps:cNvSpPr>
                              <wps:spPr bwMode="auto">
                                <a:xfrm>
                                  <a:off x="3068759" y="692589"/>
                                  <a:ext cx="346710" cy="1283970"/>
                                </a:xfrm>
                                <a:prstGeom prst="rect">
                                  <a:avLst/>
                                </a:prstGeom>
                                <a:noFill/>
                                <a:ln w="25400">
                                  <a:solidFill>
                                    <a:srgbClr val="000000"/>
                                  </a:solidFill>
                                  <a:round/>
                                </a:ln>
                                <a:effectLst/>
                              </wps:spPr>
                              <wps:txbx>
                                <w:txbxContent>
                                  <w:p w14:paraId="6086DF53">
                                    <w:pPr>
                                      <w:jc w:val="center"/>
                                      <w:rPr>
                                        <w:color w:val="000000"/>
                                      </w:rPr>
                                    </w:pPr>
                                    <w:r>
                                      <w:rPr>
                                        <w:rFonts w:hint="eastAsia"/>
                                        <w:color w:val="000000"/>
                                      </w:rPr>
                                      <w:t>水解酸化池</w:t>
                                    </w:r>
                                  </w:p>
                                </w:txbxContent>
                              </wps:txbx>
                              <wps:bodyPr rot="0" vert="horz" wrap="square" lIns="91440" tIns="45720" rIns="91440" bIns="45720" anchor="ctr" anchorCtr="0" upright="1">
                                <a:noAutofit/>
                              </wps:bodyPr>
                            </wps:wsp>
                            <wps:wsp>
                              <wps:cNvPr id="9" name="矩形 28"/>
                              <wps:cNvSpPr>
                                <a:spLocks noChangeArrowheads="1"/>
                              </wps:cNvSpPr>
                              <wps:spPr bwMode="auto">
                                <a:xfrm>
                                  <a:off x="3700584" y="689414"/>
                                  <a:ext cx="346710" cy="1261110"/>
                                </a:xfrm>
                                <a:prstGeom prst="rect">
                                  <a:avLst/>
                                </a:prstGeom>
                                <a:noFill/>
                                <a:ln w="25400">
                                  <a:solidFill>
                                    <a:srgbClr val="000000"/>
                                  </a:solidFill>
                                  <a:round/>
                                </a:ln>
                                <a:effectLst/>
                              </wps:spPr>
                              <wps:txbx>
                                <w:txbxContent>
                                  <w:p w14:paraId="0D64ADC2">
                                    <w:pPr>
                                      <w:jc w:val="center"/>
                                      <w:rPr>
                                        <w:color w:val="000000"/>
                                      </w:rPr>
                                    </w:pPr>
                                    <w:r>
                                      <w:rPr>
                                        <w:rFonts w:hint="eastAsia"/>
                                        <w:color w:val="000000"/>
                                      </w:rPr>
                                      <w:t>接触氧化池</w:t>
                                    </w:r>
                                  </w:p>
                                </w:txbxContent>
                              </wps:txbx>
                              <wps:bodyPr rot="0" vert="horz" wrap="square" lIns="91440" tIns="45720" rIns="91440" bIns="45720" anchor="ctr" anchorCtr="0" upright="1">
                                <a:noAutofit/>
                              </wps:bodyPr>
                            </wps:wsp>
                            <wps:wsp>
                              <wps:cNvPr id="10" name="矩形 32"/>
                              <wps:cNvSpPr>
                                <a:spLocks noChangeArrowheads="1"/>
                              </wps:cNvSpPr>
                              <wps:spPr bwMode="auto">
                                <a:xfrm>
                                  <a:off x="4284784" y="681159"/>
                                  <a:ext cx="346710" cy="1269365"/>
                                </a:xfrm>
                                <a:prstGeom prst="rect">
                                  <a:avLst/>
                                </a:prstGeom>
                                <a:noFill/>
                                <a:ln w="25400">
                                  <a:solidFill>
                                    <a:srgbClr val="000000"/>
                                  </a:solidFill>
                                  <a:round/>
                                </a:ln>
                                <a:effectLst/>
                              </wps:spPr>
                              <wps:txbx>
                                <w:txbxContent>
                                  <w:p w14:paraId="47DCED08">
                                    <w:pPr>
                                      <w:jc w:val="center"/>
                                      <w:rPr>
                                        <w:color w:val="000000"/>
                                      </w:rPr>
                                    </w:pPr>
                                  </w:p>
                                  <w:p w14:paraId="03C1B2C3">
                                    <w:pPr>
                                      <w:jc w:val="center"/>
                                      <w:rPr>
                                        <w:color w:val="000000"/>
                                      </w:rPr>
                                    </w:pPr>
                                    <w:r>
                                      <w:rPr>
                                        <w:rFonts w:hint="eastAsia"/>
                                        <w:color w:val="000000"/>
                                      </w:rPr>
                                      <w:t>二沉池</w:t>
                                    </w:r>
                                  </w:p>
                                </w:txbxContent>
                              </wps:txbx>
                              <wps:bodyPr rot="0" vert="horz" wrap="square" lIns="91440" tIns="45720" rIns="91440" bIns="45720" anchor="ctr" anchorCtr="0" upright="1">
                                <a:noAutofit/>
                              </wps:bodyPr>
                            </wps:wsp>
                            <wps:wsp>
                              <wps:cNvPr id="11" name="肘形连接符 45"/>
                              <wps:cNvCnPr>
                                <a:cxnSpLocks noChangeShapeType="1"/>
                              </wps:cNvCnPr>
                              <wps:spPr bwMode="auto">
                                <a:xfrm flipV="1">
                                  <a:off x="2227384" y="1339654"/>
                                  <a:ext cx="221615" cy="2540"/>
                                </a:xfrm>
                                <a:prstGeom prst="bentConnector3">
                                  <a:avLst>
                                    <a:gd name="adj1" fmla="val 50144"/>
                                  </a:avLst>
                                </a:prstGeom>
                                <a:noFill/>
                                <a:ln w="9525">
                                  <a:solidFill>
                                    <a:srgbClr val="4A7EBB"/>
                                  </a:solidFill>
                                  <a:round/>
                                  <a:tailEnd type="arrow" w="med" len="med"/>
                                </a:ln>
                                <a:effectLst/>
                              </wps:spPr>
                              <wps:bodyPr/>
                            </wps:wsp>
                            <wps:wsp>
                              <wps:cNvPr id="12" name="肘形连接符 47"/>
                              <wps:cNvCnPr>
                                <a:cxnSpLocks noChangeShapeType="1"/>
                              </wps:cNvCnPr>
                              <wps:spPr bwMode="auto">
                                <a:xfrm flipV="1">
                                  <a:off x="3454839" y="1307904"/>
                                  <a:ext cx="252730" cy="2540"/>
                                </a:xfrm>
                                <a:prstGeom prst="bentConnector3">
                                  <a:avLst>
                                    <a:gd name="adj1" fmla="val 50000"/>
                                  </a:avLst>
                                </a:prstGeom>
                                <a:noFill/>
                                <a:ln w="9525">
                                  <a:solidFill>
                                    <a:srgbClr val="4A7EBB"/>
                                  </a:solidFill>
                                  <a:round/>
                                  <a:tailEnd type="arrow" w="med" len="med"/>
                                </a:ln>
                                <a:effectLst/>
                              </wps:spPr>
                              <wps:bodyPr/>
                            </wps:wsp>
                            <wps:wsp>
                              <wps:cNvPr id="13" name="肘形连接符 48"/>
                              <wps:cNvCnPr>
                                <a:cxnSpLocks noChangeShapeType="1"/>
                              </wps:cNvCnPr>
                              <wps:spPr bwMode="auto">
                                <a:xfrm>
                                  <a:off x="4070154" y="1292664"/>
                                  <a:ext cx="232410" cy="2540"/>
                                </a:xfrm>
                                <a:prstGeom prst="bentConnector3">
                                  <a:avLst>
                                    <a:gd name="adj1" fmla="val 50000"/>
                                  </a:avLst>
                                </a:prstGeom>
                                <a:noFill/>
                                <a:ln w="9525">
                                  <a:solidFill>
                                    <a:srgbClr val="4A7EBB"/>
                                  </a:solidFill>
                                  <a:round/>
                                  <a:tailEnd type="arrow" w="med" len="med"/>
                                </a:ln>
                                <a:effectLst/>
                              </wps:spPr>
                              <wps:bodyPr/>
                            </wps:wsp>
                            <wps:wsp>
                              <wps:cNvPr id="14" name="矩形 63"/>
                              <wps:cNvSpPr>
                                <a:spLocks noChangeArrowheads="1"/>
                              </wps:cNvSpPr>
                              <wps:spPr bwMode="auto">
                                <a:xfrm>
                                  <a:off x="2130864" y="35999"/>
                                  <a:ext cx="897890" cy="269240"/>
                                </a:xfrm>
                                <a:prstGeom prst="rect">
                                  <a:avLst/>
                                </a:prstGeom>
                                <a:solidFill>
                                  <a:srgbClr val="FFFFFF"/>
                                </a:solidFill>
                                <a:ln>
                                  <a:noFill/>
                                </a:ln>
                                <a:effectLst/>
                              </wps:spPr>
                              <wps:txbx>
                                <w:txbxContent>
                                  <w:p w14:paraId="587D0B1C">
                                    <w:pPr>
                                      <w:jc w:val="center"/>
                                    </w:pPr>
                                    <w:r>
                                      <w:rPr>
                                        <w:rFonts w:hint="eastAsia"/>
                                      </w:rPr>
                                      <w:t>PAC、PAM</w:t>
                                    </w:r>
                                  </w:p>
                                </w:txbxContent>
                              </wps:txbx>
                              <wps:bodyPr rot="0" vert="horz" wrap="square" lIns="91440" tIns="45720" rIns="91440" bIns="45720" anchor="ctr" anchorCtr="0" upright="1">
                                <a:noAutofit/>
                              </wps:bodyPr>
                            </wps:wsp>
                            <wps:wsp>
                              <wps:cNvPr id="15" name="肘形连接符 64"/>
                              <wps:cNvCnPr>
                                <a:cxnSpLocks noChangeShapeType="1"/>
                              </wps:cNvCnPr>
                              <wps:spPr bwMode="auto">
                                <a:xfrm rot="5400000" flipV="1">
                                  <a:off x="2460427" y="514152"/>
                                  <a:ext cx="323215" cy="635"/>
                                </a:xfrm>
                                <a:prstGeom prst="bentConnector3">
                                  <a:avLst>
                                    <a:gd name="adj1" fmla="val 50097"/>
                                  </a:avLst>
                                </a:prstGeom>
                                <a:noFill/>
                                <a:ln w="9525">
                                  <a:solidFill>
                                    <a:srgbClr val="4A7EBB"/>
                                  </a:solidFill>
                                  <a:prstDash val="dash"/>
                                  <a:round/>
                                  <a:tailEnd type="arrow" w="med" len="med"/>
                                </a:ln>
                                <a:effectLst/>
                              </wps:spPr>
                              <wps:bodyPr/>
                            </wps:wsp>
                            <wps:wsp>
                              <wps:cNvPr id="16" name="矩形 67"/>
                              <wps:cNvSpPr>
                                <a:spLocks noChangeArrowheads="1"/>
                              </wps:cNvSpPr>
                              <wps:spPr bwMode="auto">
                                <a:xfrm>
                                  <a:off x="4903909" y="1036124"/>
                                  <a:ext cx="509905" cy="550545"/>
                                </a:xfrm>
                                <a:prstGeom prst="rect">
                                  <a:avLst/>
                                </a:prstGeom>
                                <a:solidFill>
                                  <a:srgbClr val="FFFFFF"/>
                                </a:solidFill>
                                <a:ln>
                                  <a:noFill/>
                                </a:ln>
                                <a:effectLst/>
                              </wps:spPr>
                              <wps:txbx>
                                <w:txbxContent>
                                  <w:p w14:paraId="6C3ABD60">
                                    <w:pPr>
                                      <w:jc w:val="center"/>
                                    </w:pPr>
                                    <w:r>
                                      <w:rPr>
                                        <w:rFonts w:hint="eastAsia"/>
                                      </w:rPr>
                                      <w:t>达标接管</w:t>
                                    </w:r>
                                  </w:p>
                                </w:txbxContent>
                              </wps:txbx>
                              <wps:bodyPr rot="0" vert="horz" wrap="square" lIns="91440" tIns="45720" rIns="91440" bIns="45720" anchor="ctr" anchorCtr="0" upright="1">
                                <a:noAutofit/>
                              </wps:bodyPr>
                            </wps:wsp>
                            <wps:wsp>
                              <wps:cNvPr id="17" name="矩形 69"/>
                              <wps:cNvSpPr>
                                <a:spLocks noChangeArrowheads="1"/>
                              </wps:cNvSpPr>
                              <wps:spPr bwMode="auto">
                                <a:xfrm>
                                  <a:off x="1707319" y="2875719"/>
                                  <a:ext cx="628015" cy="297815"/>
                                </a:xfrm>
                                <a:prstGeom prst="rect">
                                  <a:avLst/>
                                </a:prstGeom>
                                <a:noFill/>
                                <a:ln w="25400">
                                  <a:solidFill>
                                    <a:srgbClr val="000000"/>
                                  </a:solidFill>
                                  <a:round/>
                                </a:ln>
                                <a:effectLst/>
                              </wps:spPr>
                              <wps:txbx>
                                <w:txbxContent>
                                  <w:p w14:paraId="19666DE4">
                                    <w:pPr>
                                      <w:jc w:val="center"/>
                                      <w:rPr>
                                        <w:color w:val="000000"/>
                                      </w:rPr>
                                    </w:pPr>
                                    <w:r>
                                      <w:rPr>
                                        <w:rFonts w:hint="eastAsia"/>
                                        <w:color w:val="000000"/>
                                      </w:rPr>
                                      <w:t>污泥池</w:t>
                                    </w:r>
                                  </w:p>
                                </w:txbxContent>
                              </wps:txbx>
                              <wps:bodyPr rot="0" vert="horz" wrap="square" lIns="91440" tIns="45720" rIns="91440" bIns="45720" anchor="ctr" anchorCtr="0" upright="1">
                                <a:noAutofit/>
                              </wps:bodyPr>
                            </wps:wsp>
                            <wps:wsp>
                              <wps:cNvPr id="18" name="矩形 93"/>
                              <wps:cNvSpPr>
                                <a:spLocks noChangeArrowheads="1"/>
                              </wps:cNvSpPr>
                              <wps:spPr bwMode="auto">
                                <a:xfrm>
                                  <a:off x="2774119" y="2875084"/>
                                  <a:ext cx="882015" cy="297815"/>
                                </a:xfrm>
                                <a:prstGeom prst="rect">
                                  <a:avLst/>
                                </a:prstGeom>
                                <a:noFill/>
                                <a:ln w="25400">
                                  <a:solidFill>
                                    <a:srgbClr val="000000"/>
                                  </a:solidFill>
                                  <a:round/>
                                </a:ln>
                                <a:effectLst/>
                              </wps:spPr>
                              <wps:txbx>
                                <w:txbxContent>
                                  <w:p w14:paraId="50E75BEC">
                                    <w:pPr>
                                      <w:rPr>
                                        <w:color w:val="000000"/>
                                      </w:rPr>
                                    </w:pPr>
                                    <w:r>
                                      <w:rPr>
                                        <w:rFonts w:hint="eastAsia"/>
                                        <w:color w:val="000000"/>
                                      </w:rPr>
                                      <w:t>板框压滤机</w:t>
                                    </w:r>
                                  </w:p>
                                </w:txbxContent>
                              </wps:txbx>
                              <wps:bodyPr rot="0" vert="horz" wrap="square" lIns="91440" tIns="45720" rIns="91440" bIns="45720" anchor="ctr" anchorCtr="0" upright="1">
                                <a:noAutofit/>
                              </wps:bodyPr>
                            </wps:wsp>
                            <wps:wsp>
                              <wps:cNvPr id="19" name="肘形连接符 94"/>
                              <wps:cNvCnPr>
                                <a:cxnSpLocks noChangeShapeType="1"/>
                              </wps:cNvCnPr>
                              <wps:spPr bwMode="auto">
                                <a:xfrm>
                                  <a:off x="2366449" y="3000814"/>
                                  <a:ext cx="296545" cy="6985"/>
                                </a:xfrm>
                                <a:prstGeom prst="bentConnector3">
                                  <a:avLst>
                                    <a:gd name="adj1" fmla="val 50106"/>
                                  </a:avLst>
                                </a:prstGeom>
                                <a:noFill/>
                                <a:ln w="9525">
                                  <a:solidFill>
                                    <a:srgbClr val="BE4B48"/>
                                  </a:solidFill>
                                  <a:prstDash val="sysDot"/>
                                  <a:round/>
                                  <a:tailEnd type="arrow" w="med" len="med"/>
                                </a:ln>
                                <a:effectLst/>
                              </wps:spPr>
                              <wps:bodyPr/>
                            </wps:wsp>
                            <wps:wsp>
                              <wps:cNvPr id="20" name="矩形 95"/>
                              <wps:cNvSpPr>
                                <a:spLocks noChangeArrowheads="1"/>
                              </wps:cNvSpPr>
                              <wps:spPr bwMode="auto">
                                <a:xfrm>
                                  <a:off x="3930454" y="2867464"/>
                                  <a:ext cx="1120140" cy="297815"/>
                                </a:xfrm>
                                <a:prstGeom prst="rect">
                                  <a:avLst/>
                                </a:prstGeom>
                                <a:noFill/>
                                <a:ln>
                                  <a:noFill/>
                                </a:ln>
                                <a:effectLst/>
                              </wps:spPr>
                              <wps:txbx>
                                <w:txbxContent>
                                  <w:p w14:paraId="3B9097F4">
                                    <w:pPr>
                                      <w:rPr>
                                        <w:color w:val="000000"/>
                                      </w:rPr>
                                    </w:pPr>
                                    <w:r>
                                      <w:rPr>
                                        <w:rFonts w:hint="eastAsia"/>
                                        <w:color w:val="000000"/>
                                      </w:rPr>
                                      <w:t>干泥外运处置</w:t>
                                    </w:r>
                                  </w:p>
                                </w:txbxContent>
                              </wps:txbx>
                              <wps:bodyPr rot="0" vert="horz" wrap="square" lIns="91440" tIns="45720" rIns="91440" bIns="45720" anchor="ctr" anchorCtr="0" upright="1">
                                <a:noAutofit/>
                              </wps:bodyPr>
                            </wps:wsp>
                            <wps:wsp>
                              <wps:cNvPr id="21" name="肘形连接符 96"/>
                              <wps:cNvCnPr>
                                <a:cxnSpLocks noChangeShapeType="1"/>
                              </wps:cNvCnPr>
                              <wps:spPr bwMode="auto">
                                <a:xfrm>
                                  <a:off x="3680264" y="3023039"/>
                                  <a:ext cx="296545" cy="6985"/>
                                </a:xfrm>
                                <a:prstGeom prst="bentConnector3">
                                  <a:avLst>
                                    <a:gd name="adj1" fmla="val 50106"/>
                                  </a:avLst>
                                </a:prstGeom>
                                <a:noFill/>
                                <a:ln w="9525">
                                  <a:solidFill>
                                    <a:srgbClr val="BE4B48"/>
                                  </a:solidFill>
                                  <a:prstDash val="sysDot"/>
                                  <a:round/>
                                  <a:tailEnd type="arrow" w="med" len="med"/>
                                </a:ln>
                                <a:effectLst/>
                              </wps:spPr>
                              <wps:bodyPr/>
                            </wps:wsp>
                            <wps:wsp>
                              <wps:cNvPr id="22" name="矩形 99"/>
                              <wps:cNvSpPr>
                                <a:spLocks noChangeArrowheads="1"/>
                              </wps:cNvSpPr>
                              <wps:spPr bwMode="auto">
                                <a:xfrm>
                                  <a:off x="4021259" y="3284024"/>
                                  <a:ext cx="676910" cy="297815"/>
                                </a:xfrm>
                                <a:prstGeom prst="rect">
                                  <a:avLst/>
                                </a:prstGeom>
                                <a:noFill/>
                                <a:ln w="25400">
                                  <a:solidFill>
                                    <a:srgbClr val="000000"/>
                                  </a:solidFill>
                                  <a:round/>
                                </a:ln>
                                <a:effectLst/>
                              </wps:spPr>
                              <wps:txbx>
                                <w:txbxContent>
                                  <w:p w14:paraId="1CF14A17">
                                    <w:pPr>
                                      <w:rPr>
                                        <w:color w:val="000000"/>
                                      </w:rPr>
                                    </w:pPr>
                                    <w:r>
                                      <w:rPr>
                                        <w:rFonts w:hint="eastAsia"/>
                                        <w:color w:val="000000"/>
                                      </w:rPr>
                                      <w:t>调节池</w:t>
                                    </w:r>
                                  </w:p>
                                </w:txbxContent>
                              </wps:txbx>
                              <wps:bodyPr rot="0" vert="horz" wrap="square" lIns="91440" tIns="45720" rIns="91440" bIns="45720" anchor="ctr" anchorCtr="0" upright="1">
                                <a:noAutofit/>
                              </wps:bodyPr>
                            </wps:wsp>
                            <wps:wsp>
                              <wps:cNvPr id="23" name="肘形连接符 100"/>
                              <wps:cNvCnPr>
                                <a:cxnSpLocks noChangeShapeType="1"/>
                              </wps:cNvCnPr>
                              <wps:spPr bwMode="auto">
                                <a:xfrm rot="5400000" flipV="1">
                                  <a:off x="3512622" y="2883973"/>
                                  <a:ext cx="197485" cy="821690"/>
                                </a:xfrm>
                                <a:prstGeom prst="bentConnector2">
                                  <a:avLst/>
                                </a:prstGeom>
                                <a:noFill/>
                                <a:ln w="9525">
                                  <a:solidFill>
                                    <a:srgbClr val="4A7EBB"/>
                                  </a:solidFill>
                                  <a:round/>
                                  <a:tailEnd type="arrow" w="med" len="med"/>
                                </a:ln>
                                <a:effectLst/>
                              </wps:spPr>
                              <wps:bodyPr/>
                            </wps:wsp>
                            <wps:wsp>
                              <wps:cNvPr id="24" name="矩形 101"/>
                              <wps:cNvSpPr>
                                <a:spLocks noChangeArrowheads="1"/>
                              </wps:cNvSpPr>
                              <wps:spPr bwMode="auto">
                                <a:xfrm>
                                  <a:off x="3186234" y="3492304"/>
                                  <a:ext cx="821055" cy="269240"/>
                                </a:xfrm>
                                <a:prstGeom prst="rect">
                                  <a:avLst/>
                                </a:prstGeom>
                                <a:solidFill>
                                  <a:srgbClr val="FFFFFF"/>
                                </a:solidFill>
                                <a:ln>
                                  <a:noFill/>
                                </a:ln>
                                <a:effectLst/>
                              </wps:spPr>
                              <wps:txbx>
                                <w:txbxContent>
                                  <w:p w14:paraId="2E956538">
                                    <w:pPr>
                                      <w:jc w:val="center"/>
                                    </w:pPr>
                                    <w:r>
                                      <w:rPr>
                                        <w:rFonts w:hint="eastAsia"/>
                                      </w:rPr>
                                      <w:t>压滤液</w:t>
                                    </w:r>
                                  </w:p>
                                </w:txbxContent>
                              </wps:txbx>
                              <wps:bodyPr rot="0" vert="horz" wrap="square" lIns="91440" tIns="45720" rIns="91440" bIns="45720" anchor="ctr" anchorCtr="0" upright="1">
                                <a:noAutofit/>
                              </wps:bodyPr>
                            </wps:wsp>
                            <wps:wsp>
                              <wps:cNvPr id="25" name="肘形连接符 103"/>
                              <wps:cNvCnPr>
                                <a:cxnSpLocks noChangeShapeType="1"/>
                              </wps:cNvCnPr>
                              <wps:spPr bwMode="auto">
                                <a:xfrm rot="5400000" flipV="1">
                                  <a:off x="709733" y="2090223"/>
                                  <a:ext cx="323215" cy="635"/>
                                </a:xfrm>
                                <a:prstGeom prst="bentConnector3">
                                  <a:avLst>
                                    <a:gd name="adj1" fmla="val 50097"/>
                                  </a:avLst>
                                </a:prstGeom>
                                <a:noFill/>
                                <a:ln w="9525">
                                  <a:solidFill>
                                    <a:srgbClr val="984807"/>
                                  </a:solidFill>
                                  <a:prstDash val="dash"/>
                                  <a:round/>
                                  <a:tailEnd type="arrow" w="med" len="med"/>
                                </a:ln>
                                <a:effectLst/>
                              </wps:spPr>
                              <wps:bodyPr/>
                            </wps:wsp>
                            <wps:wsp>
                              <wps:cNvPr id="26" name="矩形 104"/>
                              <wps:cNvSpPr>
                                <a:spLocks noChangeArrowheads="1"/>
                              </wps:cNvSpPr>
                              <wps:spPr bwMode="auto">
                                <a:xfrm>
                                  <a:off x="190939" y="2348669"/>
                                  <a:ext cx="1176655" cy="297815"/>
                                </a:xfrm>
                                <a:prstGeom prst="rect">
                                  <a:avLst/>
                                </a:prstGeom>
                                <a:noFill/>
                                <a:ln>
                                  <a:noFill/>
                                </a:ln>
                                <a:effectLst/>
                              </wps:spPr>
                              <wps:txbx>
                                <w:txbxContent>
                                  <w:p w14:paraId="5DFD010B">
                                    <w:pPr>
                                      <w:rPr>
                                        <w:color w:val="000000"/>
                                      </w:rPr>
                                    </w:pPr>
                                    <w:r>
                                      <w:rPr>
                                        <w:rFonts w:hint="eastAsia"/>
                                        <w:color w:val="000000"/>
                                      </w:rPr>
                                      <w:t>栅渣外运处置</w:t>
                                    </w:r>
                                  </w:p>
                                </w:txbxContent>
                              </wps:txbx>
                              <wps:bodyPr rot="0" vert="horz" wrap="square" lIns="91440" tIns="45720" rIns="91440" bIns="45720" anchor="ctr" anchorCtr="0" upright="1">
                                <a:noAutofit/>
                              </wps:bodyPr>
                            </wps:wsp>
                            <wps:wsp>
                              <wps:cNvPr id="27" name="肘形连接符 110"/>
                              <wps:cNvCnPr>
                                <a:cxnSpLocks noChangeShapeType="1"/>
                              </wps:cNvCnPr>
                              <wps:spPr bwMode="auto">
                                <a:xfrm rot="5400000" flipV="1">
                                  <a:off x="1300282" y="540187"/>
                                  <a:ext cx="323215" cy="635"/>
                                </a:xfrm>
                                <a:prstGeom prst="bentConnector3">
                                  <a:avLst>
                                    <a:gd name="adj1" fmla="val 50097"/>
                                  </a:avLst>
                                </a:prstGeom>
                                <a:noFill/>
                                <a:ln w="9525">
                                  <a:solidFill>
                                    <a:srgbClr val="4A7EBB"/>
                                  </a:solidFill>
                                  <a:prstDash val="dash"/>
                                  <a:round/>
                                  <a:tailEnd type="arrow" w="med" len="med"/>
                                </a:ln>
                                <a:effectLst/>
                              </wps:spPr>
                              <wps:bodyPr/>
                            </wps:wsp>
                            <wps:wsp>
                              <wps:cNvPr id="28" name="矩形 111"/>
                              <wps:cNvSpPr>
                                <a:spLocks noChangeArrowheads="1"/>
                              </wps:cNvSpPr>
                              <wps:spPr bwMode="auto">
                                <a:xfrm>
                                  <a:off x="1022789" y="66479"/>
                                  <a:ext cx="897890" cy="269240"/>
                                </a:xfrm>
                                <a:prstGeom prst="rect">
                                  <a:avLst/>
                                </a:prstGeom>
                                <a:solidFill>
                                  <a:srgbClr val="FFFFFF"/>
                                </a:solidFill>
                                <a:ln>
                                  <a:noFill/>
                                </a:ln>
                                <a:effectLst/>
                              </wps:spPr>
                              <wps:txbx>
                                <w:txbxContent>
                                  <w:p w14:paraId="58483F8D">
                                    <w:pPr>
                                      <w:jc w:val="center"/>
                                    </w:pPr>
                                    <w:r>
                                      <w:rPr>
                                        <w:rFonts w:hint="eastAsia"/>
                                      </w:rPr>
                                      <w:t>PAC、PAM</w:t>
                                    </w:r>
                                  </w:p>
                                </w:txbxContent>
                              </wps:txbx>
                              <wps:bodyPr rot="0" vert="horz" wrap="square" lIns="91440" tIns="45720" rIns="91440" bIns="45720" anchor="ctr" anchorCtr="0" upright="1">
                                <a:noAutofit/>
                              </wps:bodyPr>
                            </wps:wsp>
                            <wps:wsp>
                              <wps:cNvPr id="29" name="肘形连接符 48"/>
                              <wps:cNvCnPr>
                                <a:cxnSpLocks noChangeShapeType="1"/>
                              </wps:cNvCnPr>
                              <wps:spPr bwMode="auto">
                                <a:xfrm>
                                  <a:off x="4646099" y="1279329"/>
                                  <a:ext cx="228600" cy="0"/>
                                </a:xfrm>
                                <a:prstGeom prst="bentConnector3">
                                  <a:avLst>
                                    <a:gd name="adj1" fmla="val 50000"/>
                                  </a:avLst>
                                </a:prstGeom>
                                <a:noFill/>
                                <a:ln w="9525">
                                  <a:solidFill>
                                    <a:srgbClr val="4A7EBB"/>
                                  </a:solidFill>
                                  <a:round/>
                                  <a:tailEnd type="arrow" w="med" len="med"/>
                                </a:ln>
                                <a:effectLst/>
                              </wps:spPr>
                              <wps:bodyPr/>
                            </wps:wsp>
                            <wps:wsp>
                              <wps:cNvPr id="30" name="自选图形 309"/>
                              <wps:cNvCnPr>
                                <a:cxnSpLocks noChangeShapeType="1"/>
                              </wps:cNvCnPr>
                              <wps:spPr bwMode="auto">
                                <a:xfrm rot="16200000" flipV="1">
                                  <a:off x="3478967" y="363023"/>
                                  <a:ext cx="20955" cy="599440"/>
                                </a:xfrm>
                                <a:prstGeom prst="bentConnector3">
                                  <a:avLst>
                                    <a:gd name="adj1" fmla="val 1237880"/>
                                  </a:avLst>
                                </a:prstGeom>
                                <a:noFill/>
                                <a:ln w="9525">
                                  <a:solidFill>
                                    <a:srgbClr val="4F81BD"/>
                                  </a:solidFill>
                                  <a:miter lim="800000"/>
                                  <a:tailEnd type="arrow" w="med" len="med"/>
                                </a:ln>
                                <a:effectLst/>
                              </wps:spPr>
                              <wps:bodyPr/>
                            </wps:wsp>
                            <wps:wsp>
                              <wps:cNvPr id="31" name="自选图形 310"/>
                              <wps:cNvCnPr>
                                <a:cxnSpLocks noChangeShapeType="1"/>
                              </wps:cNvCnPr>
                              <wps:spPr bwMode="auto">
                                <a:xfrm rot="16200000" flipV="1">
                                  <a:off x="4197788" y="380802"/>
                                  <a:ext cx="6350" cy="592455"/>
                                </a:xfrm>
                                <a:prstGeom prst="bentConnector3">
                                  <a:avLst>
                                    <a:gd name="adj1" fmla="val 3855000"/>
                                  </a:avLst>
                                </a:prstGeom>
                                <a:noFill/>
                                <a:ln w="9525" cap="rnd">
                                  <a:solidFill>
                                    <a:srgbClr val="984807"/>
                                  </a:solidFill>
                                  <a:prstDash val="sysDot"/>
                                  <a:miter lim="800000"/>
                                  <a:tailEnd type="arrow" w="med" len="med"/>
                                </a:ln>
                                <a:effectLst/>
                              </wps:spPr>
                              <wps:bodyPr/>
                            </wps:wsp>
                            <wps:wsp>
                              <wps:cNvPr id="32" name="矩形 61"/>
                              <wps:cNvSpPr>
                                <a:spLocks noChangeArrowheads="1"/>
                              </wps:cNvSpPr>
                              <wps:spPr bwMode="auto">
                                <a:xfrm>
                                  <a:off x="3003354" y="112834"/>
                                  <a:ext cx="954405" cy="269240"/>
                                </a:xfrm>
                                <a:prstGeom prst="rect">
                                  <a:avLst/>
                                </a:prstGeom>
                                <a:solidFill>
                                  <a:srgbClr val="FFFFFF"/>
                                </a:solidFill>
                                <a:ln>
                                  <a:noFill/>
                                </a:ln>
                                <a:effectLst/>
                              </wps:spPr>
                              <wps:txbx>
                                <w:txbxContent>
                                  <w:p w14:paraId="48A91EF9">
                                    <w:pPr>
                                      <w:jc w:val="center"/>
                                    </w:pPr>
                                    <w:r>
                                      <w:rPr>
                                        <w:rFonts w:hint="eastAsia"/>
                                      </w:rPr>
                                      <w:t>混合液回流</w:t>
                                    </w:r>
                                  </w:p>
                                </w:txbxContent>
                              </wps:txbx>
                              <wps:bodyPr rot="0" vert="horz" wrap="square" lIns="91440" tIns="45720" rIns="91440" bIns="45720" anchor="ctr" anchorCtr="0" upright="1">
                                <a:noAutofit/>
                              </wps:bodyPr>
                            </wps:wsp>
                            <wps:wsp>
                              <wps:cNvPr id="33" name="肘形连接符 47"/>
                              <wps:cNvCnPr>
                                <a:cxnSpLocks noChangeShapeType="1"/>
                              </wps:cNvCnPr>
                              <wps:spPr bwMode="auto">
                                <a:xfrm flipV="1">
                                  <a:off x="2820474" y="1334574"/>
                                  <a:ext cx="241300" cy="0"/>
                                </a:xfrm>
                                <a:prstGeom prst="bentConnector3">
                                  <a:avLst>
                                    <a:gd name="adj1" fmla="val 50000"/>
                                  </a:avLst>
                                </a:prstGeom>
                                <a:noFill/>
                                <a:ln w="9525">
                                  <a:solidFill>
                                    <a:srgbClr val="4A7EBB"/>
                                  </a:solidFill>
                                  <a:round/>
                                  <a:tailEnd type="arrow" w="med" len="med"/>
                                </a:ln>
                                <a:effectLst/>
                              </wps:spPr>
                              <wps:bodyPr/>
                            </wps:wsp>
                            <wps:wsp>
                              <wps:cNvPr id="34" name="肘形连接符 47"/>
                              <wps:cNvCnPr>
                                <a:cxnSpLocks noChangeShapeType="1"/>
                              </wps:cNvCnPr>
                              <wps:spPr bwMode="auto">
                                <a:xfrm flipV="1">
                                  <a:off x="1645089" y="1342194"/>
                                  <a:ext cx="241300" cy="0"/>
                                </a:xfrm>
                                <a:prstGeom prst="bentConnector3">
                                  <a:avLst>
                                    <a:gd name="adj1" fmla="val 50000"/>
                                  </a:avLst>
                                </a:prstGeom>
                                <a:noFill/>
                                <a:ln w="9525">
                                  <a:solidFill>
                                    <a:srgbClr val="4A7EBB"/>
                                  </a:solidFill>
                                  <a:round/>
                                  <a:tailEnd type="arrow" w="med" len="med"/>
                                </a:ln>
                                <a:effectLst/>
                              </wps:spPr>
                              <wps:bodyPr/>
                            </wps:wsp>
                            <wps:wsp>
                              <wps:cNvPr id="35" name="肘形连接符 47"/>
                              <wps:cNvCnPr>
                                <a:cxnSpLocks noChangeShapeType="1"/>
                              </wps:cNvCnPr>
                              <wps:spPr bwMode="auto">
                                <a:xfrm flipV="1">
                                  <a:off x="1041839" y="1334574"/>
                                  <a:ext cx="241300" cy="0"/>
                                </a:xfrm>
                                <a:prstGeom prst="bentConnector3">
                                  <a:avLst>
                                    <a:gd name="adj1" fmla="val 50000"/>
                                  </a:avLst>
                                </a:prstGeom>
                                <a:noFill/>
                                <a:ln w="9525">
                                  <a:solidFill>
                                    <a:srgbClr val="4A7EBB"/>
                                  </a:solidFill>
                                  <a:round/>
                                  <a:tailEnd type="arrow" w="med" len="med"/>
                                </a:ln>
                                <a:effectLst/>
                              </wps:spPr>
                              <wps:bodyPr/>
                            </wps:wsp>
                            <wps:wsp>
                              <wps:cNvPr id="36" name="肘形连接符 47"/>
                              <wps:cNvCnPr>
                                <a:cxnSpLocks noChangeShapeType="1"/>
                              </wps:cNvCnPr>
                              <wps:spPr bwMode="auto">
                                <a:xfrm flipV="1">
                                  <a:off x="415094" y="1350449"/>
                                  <a:ext cx="241300" cy="0"/>
                                </a:xfrm>
                                <a:prstGeom prst="bentConnector3">
                                  <a:avLst>
                                    <a:gd name="adj1" fmla="val 50000"/>
                                  </a:avLst>
                                </a:prstGeom>
                                <a:noFill/>
                                <a:ln w="9525">
                                  <a:solidFill>
                                    <a:srgbClr val="4A7EBB"/>
                                  </a:solidFill>
                                  <a:round/>
                                  <a:tailEnd type="arrow" w="med" len="med"/>
                                </a:ln>
                                <a:effectLst/>
                              </wps:spPr>
                              <wps:bodyPr/>
                            </wps:wsp>
                            <wps:wsp>
                              <wps:cNvPr id="37" name="自选图形 316"/>
                              <wps:cNvCnPr>
                                <a:cxnSpLocks noChangeShapeType="1"/>
                              </wps:cNvCnPr>
                              <wps:spPr bwMode="auto">
                                <a:xfrm rot="5400000" flipV="1">
                                  <a:off x="1268534" y="2122609"/>
                                  <a:ext cx="942340" cy="563880"/>
                                </a:xfrm>
                                <a:prstGeom prst="bentConnector3">
                                  <a:avLst>
                                    <a:gd name="adj1" fmla="val 50000"/>
                                  </a:avLst>
                                </a:prstGeom>
                                <a:noFill/>
                                <a:ln w="9525" cap="rnd">
                                  <a:solidFill>
                                    <a:srgbClr val="984807"/>
                                  </a:solidFill>
                                  <a:prstDash val="sysDot"/>
                                  <a:miter lim="800000"/>
                                  <a:tailEnd type="arrow" w="med" len="med"/>
                                </a:ln>
                                <a:effectLst/>
                              </wps:spPr>
                              <wps:bodyPr/>
                            </wps:wsp>
                            <wps:wsp>
                              <wps:cNvPr id="38" name="自选图形 317"/>
                              <wps:cNvCnPr>
                                <a:cxnSpLocks noChangeShapeType="1"/>
                              </wps:cNvCnPr>
                              <wps:spPr bwMode="auto">
                                <a:xfrm rot="5400000">
                                  <a:off x="1860988" y="2122607"/>
                                  <a:ext cx="913130" cy="592455"/>
                                </a:xfrm>
                                <a:prstGeom prst="bentConnector3">
                                  <a:avLst>
                                    <a:gd name="adj1" fmla="val 49963"/>
                                  </a:avLst>
                                </a:prstGeom>
                                <a:noFill/>
                                <a:ln w="9525" cap="rnd">
                                  <a:solidFill>
                                    <a:srgbClr val="984807"/>
                                  </a:solidFill>
                                  <a:prstDash val="sysDot"/>
                                  <a:miter lim="800000"/>
                                  <a:tailEnd type="arrow" w="med" len="med"/>
                                </a:ln>
                                <a:effectLst/>
                              </wps:spPr>
                              <wps:bodyPr/>
                            </wps:wsp>
                            <wps:wsp>
                              <wps:cNvPr id="39" name="自选图形 318"/>
                              <wps:cNvCnPr>
                                <a:cxnSpLocks noChangeShapeType="1"/>
                              </wps:cNvCnPr>
                              <wps:spPr bwMode="auto">
                                <a:xfrm rot="5400000">
                                  <a:off x="2182299" y="1815904"/>
                                  <a:ext cx="899160" cy="1220470"/>
                                </a:xfrm>
                                <a:prstGeom prst="bentConnector3">
                                  <a:avLst>
                                    <a:gd name="adj1" fmla="val 50000"/>
                                  </a:avLst>
                                </a:prstGeom>
                                <a:noFill/>
                                <a:ln w="9525" cap="rnd">
                                  <a:solidFill>
                                    <a:srgbClr val="984807"/>
                                  </a:solidFill>
                                  <a:prstDash val="sysDot"/>
                                  <a:miter lim="800000"/>
                                  <a:tailEnd type="arrow" w="med" len="med"/>
                                </a:ln>
                                <a:effectLst/>
                              </wps:spPr>
                              <wps:bodyPr/>
                            </wps:wsp>
                            <wps:wsp>
                              <wps:cNvPr id="40" name="自选图形 319"/>
                              <wps:cNvCnPr>
                                <a:cxnSpLocks noChangeShapeType="1"/>
                              </wps:cNvCnPr>
                              <wps:spPr bwMode="auto">
                                <a:xfrm rot="5400000">
                                  <a:off x="2485192" y="1486337"/>
                                  <a:ext cx="925195" cy="1852295"/>
                                </a:xfrm>
                                <a:prstGeom prst="bentConnector3">
                                  <a:avLst>
                                    <a:gd name="adj1" fmla="val 50032"/>
                                  </a:avLst>
                                </a:prstGeom>
                                <a:noFill/>
                                <a:ln w="9525" cap="rnd">
                                  <a:solidFill>
                                    <a:srgbClr val="984807"/>
                                  </a:solidFill>
                                  <a:prstDash val="sysDot"/>
                                  <a:miter lim="800000"/>
                                  <a:tailEnd type="arrow" w="med" len="med"/>
                                </a:ln>
                                <a:effectLst/>
                              </wps:spPr>
                              <wps:bodyPr/>
                            </wps:wsp>
                            <wps:wsp>
                              <wps:cNvPr id="41" name="自选图形 320"/>
                              <wps:cNvCnPr>
                                <a:cxnSpLocks noChangeShapeType="1"/>
                              </wps:cNvCnPr>
                              <wps:spPr bwMode="auto">
                                <a:xfrm rot="5400000">
                                  <a:off x="2777292" y="1194237"/>
                                  <a:ext cx="925195" cy="2436495"/>
                                </a:xfrm>
                                <a:prstGeom prst="bentConnector3">
                                  <a:avLst>
                                    <a:gd name="adj1" fmla="val 50032"/>
                                  </a:avLst>
                                </a:prstGeom>
                                <a:noFill/>
                                <a:ln w="9525" cap="rnd">
                                  <a:solidFill>
                                    <a:srgbClr val="984807"/>
                                  </a:solidFill>
                                  <a:prstDash val="sysDot"/>
                                  <a:miter lim="800000"/>
                                  <a:tailEnd type="arrow" w="med" len="med"/>
                                </a:ln>
                                <a:effectLst/>
                              </wps:spPr>
                              <wps:bodyPr/>
                            </wps:wsp>
                          </wpc:wpc>
                        </a:graphicData>
                      </a:graphic>
                    </wp:anchor>
                  </w:drawing>
                </mc:Choice>
                <mc:Fallback>
                  <w:pict>
                    <v:group id="_x0000_s1026" o:spid="_x0000_s1026" o:spt="203" style="position:absolute;left:0pt;margin-left:-5.15pt;margin-top:23.45pt;height:296.15pt;width:426.25pt;mso-wrap-distance-bottom:0pt;mso-wrap-distance-left:9pt;mso-wrap-distance-right:9pt;mso-wrap-distance-top:0pt;z-index:251659264;mso-width-relative:page;mso-height-relative:page;" coordsize="5413375,3761105" editas="canvas" o:gfxdata="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">
                      <o:lock v:ext="edit" aspectratio="f"/>
                      <v:shape id="_x0000_s1026" o:spid="_x0000_s1026" style="position:absolute;left:0;top:0;height:3761105;width:5413375;" filled="f" stroked="f" coordsize="21600,21600" o:gfxdata="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">
                        <v:fill on="f" focussize="0,0"/>
                        <v:stroke on="f"/>
                        <v:imagedata o:title=""/>
                        <o:lock v:ext="edit" aspectratio="f"/>
                      </v:shape>
                      <v:rect id="矩形 62" o:spid="_x0000_s1026" o:spt="1" style="position:absolute;left:3871399;top:136964;height:269240;width:842645;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gXgo2QAAAAoBAAAPAAAAAAAAAAEAIAAAACIAAABkcnMvZG93bnJl&#10;di54bWxQSwECFAAUAAAACACHTuJAtlkyTjUCAABMBAAADgAAAAAAAAABACAAAAAoAQAAZHJzL2Uy&#10;b0RvYy54bWxQSwUGAAAAAAYABgBZAQAAzwUAAAAA&#10;">
                        <v:fill on="t" focussize="0,0"/>
                        <v:stroke on="f"/>
                        <v:imagedata o:title=""/>
                        <o:lock v:ext="edit" aspectratio="f"/>
                        <v:textbox>
                          <w:txbxContent>
                            <w:p w14:paraId="50B99F57">
                              <w:pPr>
                                <w:jc w:val="center"/>
                              </w:pPr>
                              <w:r>
                                <w:rPr>
                                  <w:rFonts w:hint="eastAsia"/>
                                </w:rPr>
                                <w:t>污泥回流</w:t>
                              </w:r>
                            </w:p>
                          </w:txbxContent>
                        </v:textbox>
                      </v:rect>
                      <v:rect id="矩形 2" o:spid="_x0000_s1026" o:spt="1" style="position:absolute;left:35999;top:841179;height:903605;width:347980;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mBeCjZAAAACgEAAA8AAAAAAAAAAQAgAAAAIgAAAGRycy9kb3ducmV2Lnht&#10;bFBLAQIUABQAAAAIAIdO4kCqXy4cMQIAAEkEAAAOAAAAAAAAAAEAIAAAACgBAABkcnMvZTJvRG9j&#10;LnhtbFBLBQYAAAAABgAGAFkBAADLBQAAAAA=&#10;">
                        <v:fill on="t" focussize="0,0"/>
                        <v:stroke on="f"/>
                        <v:imagedata o:title=""/>
                        <o:lock v:ext="edit" aspectratio="f"/>
                        <v:textbox>
                          <w:txbxContent>
                            <w:p w14:paraId="6BB8D4D0">
                              <w:pPr>
                                <w:jc w:val="center"/>
                              </w:pPr>
                              <w:r>
                                <w:rPr>
                                  <w:rFonts w:hint="eastAsia"/>
                                </w:rPr>
                                <w:t>综合废水</w:t>
                              </w:r>
                            </w:p>
                          </w:txbxContent>
                        </v:textbox>
                      </v:rect>
                      <v:rect id="矩形 8" o:spid="_x0000_s1026" o:spt="1" style="position:absolute;left:693859;top:723704;height:1207770;width:32194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uWrr2wAAAAoBAAAPAAAAAAAAAAEAIAAA&#10;ACIAAABkcnMvZG93bnJldi54bWxQSwECFAAUAAAACACHTuJARSAxxkICAABfBAAADgAAAAAAAAAB&#10;ACAAAAAqAQAAZHJzL2Uyb0RvYy54bWxQSwUGAAAAAAYABgBZAQAA3gUAAAAA&#10;">
                        <v:fill on="f" focussize="0,0"/>
                        <v:stroke weight="2pt" color="#000000" joinstyle="round"/>
                        <v:imagedata o:title=""/>
                        <o:lock v:ext="edit" aspectratio="f"/>
                        <v:textbox>
                          <w:txbxContent>
                            <w:p w14:paraId="529BA655">
                              <w:pPr>
                                <w:jc w:val="center"/>
                                <w:rPr>
                                  <w:color w:val="000000"/>
                                </w:rPr>
                              </w:pPr>
                              <w:r>
                                <w:rPr>
                                  <w:rFonts w:hint="eastAsia"/>
                                  <w:color w:val="000000"/>
                                </w:rPr>
                                <w:t>机械格栅</w:t>
                              </w:r>
                            </w:p>
                          </w:txbxContent>
                        </v:textbox>
                      </v:rect>
                      <v:rect id="矩形 13" o:spid="_x0000_s1026" o:spt="1" style="position:absolute;left:1294569;top:705289;height:1228090;width:32575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7lq69sAAAAKAQAADwAAAAAAAAABACAA&#10;AAAiAAAAZHJzL2Rvd25yZXYueG1sUEsBAhQAFAAAAAgAh07iQLKM2UpDAgAAYQQAAA4AAAAAAAAA&#10;AQAgAAAAKgEAAGRycy9lMm9Eb2MueG1sUEsFBgAAAAAGAAYAWQEAAN8FAAAAAA==&#10;">
                        <v:fill on="f" focussize="0,0"/>
                        <v:stroke weight="2pt" color="#000000" joinstyle="round"/>
                        <v:imagedata o:title=""/>
                        <o:lock v:ext="edit" aspectratio="f"/>
                        <v:textbox>
                          <w:txbxContent>
                            <w:p w14:paraId="04CFF591">
                              <w:pPr>
                                <w:jc w:val="center"/>
                                <w:rPr>
                                  <w:color w:val="000000"/>
                                </w:rPr>
                              </w:pPr>
                              <w:r>
                                <w:rPr>
                                  <w:rFonts w:hint="eastAsia"/>
                                  <w:color w:val="000000"/>
                                </w:rPr>
                                <w:t>折流沉淀池</w:t>
                              </w:r>
                            </w:p>
                          </w:txbxContent>
                        </v:textbox>
                      </v:rect>
                      <v:rect id="矩形 17" o:spid="_x0000_s1026" o:spt="1" style="position:absolute;left:1894644;top:706559;height:1247775;width:32448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uWrr2wAAAAoBAAAPAAAAAAAAAAEAIAAA&#10;ACIAAABkcnMvZG93bnJldi54bWxQSwECFAAUAAAACACHTuJAgGBGw0ICAABhBAAADgAAAAAAAAAB&#10;ACAAAAAqAQAAZHJzL2Uyb0RvYy54bWxQSwUGAAAAAAYABgBZAQAA3gUAAAAA&#10;">
                        <v:fill on="f" focussize="0,0"/>
                        <v:stroke weight="2pt" color="#000000" joinstyle="round"/>
                        <v:imagedata o:title=""/>
                        <o:lock v:ext="edit" aspectratio="f"/>
                        <v:textbox>
                          <w:txbxContent>
                            <w:p w14:paraId="10C7D70E">
                              <w:pPr>
                                <w:jc w:val="center"/>
                                <w:rPr>
                                  <w:color w:val="000000"/>
                                </w:rPr>
                              </w:pPr>
                            </w:p>
                            <w:p w14:paraId="5955A803">
                              <w:pPr>
                                <w:jc w:val="center"/>
                                <w:rPr>
                                  <w:color w:val="000000"/>
                                </w:rPr>
                              </w:pPr>
                              <w:r>
                                <w:rPr>
                                  <w:rFonts w:hint="eastAsia"/>
                                  <w:color w:val="000000"/>
                                </w:rPr>
                                <w:t>调节池</w:t>
                              </w:r>
                            </w:p>
                          </w:txbxContent>
                        </v:textbox>
                      </v:rect>
                      <v:rect id="矩形 19" o:spid="_x0000_s1026" o:spt="1" style="position:absolute;left:2440744;top:684334;height:1278255;width:3467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uWrr2wAAAAoBAAAPAAAAAAAAAAEAIAAA&#10;ACIAAABkcnMvZG93bnJldi54bWxQSwECFAAUAAAACACHTuJAwZBcA0ICAABhBAAADgAAAAAAAAAB&#10;ACAAAAAqAQAAZHJzL2Uyb0RvYy54bWxQSwUGAAAAAAYABgBZAQAA3gUAAAAA&#10;">
                        <v:fill on="f" focussize="0,0"/>
                        <v:stroke weight="2pt" color="#000000" joinstyle="round"/>
                        <v:imagedata o:title=""/>
                        <o:lock v:ext="edit" aspectratio="f"/>
                        <v:textbox>
                          <w:txbxContent>
                            <w:p w14:paraId="62F64BBC">
                              <w:pPr>
                                <w:jc w:val="center"/>
                                <w:rPr>
                                  <w:color w:val="000000"/>
                                </w:rPr>
                              </w:pPr>
                              <w:r>
                                <w:rPr>
                                  <w:rFonts w:hint="eastAsia"/>
                                  <w:color w:val="000000"/>
                                </w:rPr>
                                <w:t>混凝气浮池</w:t>
                              </w:r>
                            </w:p>
                          </w:txbxContent>
                        </v:textbox>
                      </v:rect>
                      <v:rect id="矩形 22" o:spid="_x0000_s1026" o:spt="1" style="position:absolute;left:3068759;top:692589;height:1283970;width:3467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uWrr2wAAAAoBAAAPAAAAAAAAAAEAIAAA&#10;ACIAAABkcnMvZG93bnJldi54bWxQSwECFAAUAAAACACHTuJAaLMtxkICAABhBAAADgAAAAAAAAAB&#10;ACAAAAAqAQAAZHJzL2Uyb0RvYy54bWxQSwUGAAAAAAYABgBZAQAA3gUAAAAA&#10;">
                        <v:fill on="f" focussize="0,0"/>
                        <v:stroke weight="2pt" color="#000000" joinstyle="round"/>
                        <v:imagedata o:title=""/>
                        <o:lock v:ext="edit" aspectratio="f"/>
                        <v:textbox>
                          <w:txbxContent>
                            <w:p w14:paraId="6086DF53">
                              <w:pPr>
                                <w:jc w:val="center"/>
                                <w:rPr>
                                  <w:color w:val="000000"/>
                                </w:rPr>
                              </w:pPr>
                              <w:r>
                                <w:rPr>
                                  <w:rFonts w:hint="eastAsia"/>
                                  <w:color w:val="000000"/>
                                </w:rPr>
                                <w:t>水解酸化池</w:t>
                              </w:r>
                            </w:p>
                          </w:txbxContent>
                        </v:textbox>
                      </v:rect>
                      <v:rect id="矩形 28" o:spid="_x0000_s1026" o:spt="1" style="position:absolute;left:3700584;top:689414;height:1261110;width:3467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7lq69sAAAAKAQAADwAAAAAAAAABACAAAAAi&#10;AAAAZHJzL2Rvd25yZXYueG1sUEsBAhQAFAAAAAgAh07iQNwVMV9AAgAAYQQAAA4AAAAAAAAAAQAg&#10;AAAAKgEAAGRycy9lMm9Eb2MueG1sUEsFBgAAAAAGAAYAWQEAANwFAAAAAA==&#10;">
                        <v:fill on="f" focussize="0,0"/>
                        <v:stroke weight="2pt" color="#000000" joinstyle="round"/>
                        <v:imagedata o:title=""/>
                        <o:lock v:ext="edit" aspectratio="f"/>
                        <v:textbox>
                          <w:txbxContent>
                            <w:p w14:paraId="0D64ADC2">
                              <w:pPr>
                                <w:jc w:val="center"/>
                                <w:rPr>
                                  <w:color w:val="000000"/>
                                </w:rPr>
                              </w:pPr>
                              <w:r>
                                <w:rPr>
                                  <w:rFonts w:hint="eastAsia"/>
                                  <w:color w:val="000000"/>
                                </w:rPr>
                                <w:t>接触氧化池</w:t>
                              </w:r>
                            </w:p>
                          </w:txbxContent>
                        </v:textbox>
                      </v:rect>
                      <v:rect id="矩形 32" o:spid="_x0000_s1026" o:spt="1" style="position:absolute;left:4284784;top:681159;height:1269365;width:3467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O5auvbAAAACgEAAA8AAAAAAAAAAQAgAAAA&#10;IgAAAGRycy9kb3ducmV2LnhtbFBLAQIUABQAAAAIAIdO4kAhIdI0QQIAAGIEAAAOAAAAAAAAAAEA&#10;IAAAACoBAABkcnMvZTJvRG9jLnhtbFBLBQYAAAAABgAGAFkBAADdBQAAAAA=&#10;">
                        <v:fill on="f" focussize="0,0"/>
                        <v:stroke weight="2pt" color="#000000" joinstyle="round"/>
                        <v:imagedata o:title=""/>
                        <o:lock v:ext="edit" aspectratio="f"/>
                        <v:textbox>
                          <w:txbxContent>
                            <w:p w14:paraId="47DCED08">
                              <w:pPr>
                                <w:jc w:val="center"/>
                                <w:rPr>
                                  <w:color w:val="000000"/>
                                </w:rPr>
                              </w:pPr>
                            </w:p>
                            <w:p w14:paraId="03C1B2C3">
                              <w:pPr>
                                <w:jc w:val="center"/>
                                <w:rPr>
                                  <w:color w:val="000000"/>
                                </w:rPr>
                              </w:pPr>
                              <w:r>
                                <w:rPr>
                                  <w:rFonts w:hint="eastAsia"/>
                                  <w:color w:val="000000"/>
                                </w:rPr>
                                <w:t>二沉池</w:t>
                              </w:r>
                            </w:p>
                          </w:txbxContent>
                        </v:textbox>
                      </v:rect>
                      <v:shape id="肘形连接符 45" o:spid="_x0000_s1026" o:spt="34" type="#_x0000_t34" style="position:absolute;left:2227384;top:1339654;flip:y;height:2540;width:221615;" filled="f" stroked="t" coordsize="21600,21600" o:gfxdata="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rG0pzXAAAACgEAAA8AAAAAAAAAAQAgAAAAIgAA&#10;AGRycy9kb3ducmV2LnhtbFBLAQIUABQAAAAIAIdO4kB5tLPHQgIAADQEAAAOAAAAAAAAAAEAIAAA&#10;ACYBAABkcnMvZTJvRG9jLnhtbFBLBQYAAAAABgAGAFkBAADaBQAAAAA=&#10;" adj="10831">
                        <v:fill on="f" focussize="0,0"/>
                        <v:stroke color="#4A7EBB" joinstyle="round" endarrow="open"/>
                        <v:imagedata o:title=""/>
                        <o:lock v:ext="edit" aspectratio="f"/>
                      </v:shape>
                      <v:shape id="肘形连接符 47" o:spid="_x0000_s1026" o:spt="34" type="#_x0000_t34" style="position:absolute;left:3454839;top:1307904;flip:y;height:2540;width:25273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GczjjZAAAACgEAAA8AAAAAAAAAAQAgAAAA&#10;IgAAAGRycy9kb3ducmV2LnhtbFBLAQIUABQAAAAIAIdO4kBCIIq3QwIAADQEAAAOAAAAAAAAAAEA&#10;IAAAACgBAABkcnMvZTJvRG9jLnhtbFBLBQYAAAAABgAGAFkBAADdBQAAAAA=&#10;" adj="10800">
                        <v:fill on="f" focussize="0,0"/>
                        <v:stroke color="#4A7EBB" joinstyle="round" endarrow="open"/>
                        <v:imagedata o:title=""/>
                        <o:lock v:ext="edit" aspectratio="f"/>
                      </v:shape>
                      <v:shape id="肘形连接符 48" o:spid="_x0000_s1026" o:spt="34" type="#_x0000_t34" style="position:absolute;left:4070154;top:1292664;height:2540;width:232410;" filled="f" stroked="t" coordsize="21600,21600" o:gfxdata="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u90J9oAAAAKAQAADwAAAAAAAAABACAAAAAiAAAAZHJz&#10;L2Rvd25yZXYueG1sUEsBAhQAFAAAAAgAh07iQLXT9+I7AgAAKgQAAA4AAAAAAAAAAQAgAAAAKQEA&#10;AGRycy9lMm9Eb2MueG1sUEsFBgAAAAAGAAYAWQEAANYFAAAAAA==&#10;" adj="10800">
                        <v:fill on="f" focussize="0,0"/>
                        <v:stroke color="#4A7EBB" joinstyle="round" endarrow="open"/>
                        <v:imagedata o:title=""/>
                        <o:lock v:ext="edit" aspectratio="f"/>
                      </v:shape>
                      <v:rect id="矩形 63" o:spid="_x0000_s1026" o:spt="1" style="position:absolute;left:2130864;top:35999;height:269240;width:897890;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gXgo2QAAAAoBAAAPAAAAAAAAAAEAIAAAACIAAABkcnMvZG93bnJl&#10;di54bWxQSwECFAAUAAAACACHTuJA55XI/DUCAABMBAAADgAAAAAAAAABACAAAAAoAQAAZHJzL2Uy&#10;b0RvYy54bWxQSwUGAAAAAAYABgBZAQAAzwUAAAAA&#10;">
                        <v:fill on="t" focussize="0,0"/>
                        <v:stroke on="f"/>
                        <v:imagedata o:title=""/>
                        <o:lock v:ext="edit" aspectratio="f"/>
                        <v:textbox>
                          <w:txbxContent>
                            <w:p w14:paraId="587D0B1C">
                              <w:pPr>
                                <w:jc w:val="center"/>
                              </w:pPr>
                              <w:r>
                                <w:rPr>
                                  <w:rFonts w:hint="eastAsia"/>
                                </w:rPr>
                                <w:t>PAC、PAM</w:t>
                              </w:r>
                            </w:p>
                          </w:txbxContent>
                        </v:textbox>
                      </v:rect>
                      <v:shape id="肘形连接符 64" o:spid="_x0000_s1026" o:spt="34" type="#_x0000_t34" style="position:absolute;left:2460427;top:514152;flip:y;height:635;width:323215;rotation:-5898240f;" filled="f" stroked="t" coordsize="21600,21600" o:gfxdata="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9k68TYAAAACgEA&#10;AA8AAAAAAAAAAQAgAAAAIgAAAGRycy9kb3ducmV2LnhtbFBLAQIUABQAAAAIAIdO4kBV5kMoUwIA&#10;AFgEAAAOAAAAAAAAAAEAIAAAACcBAABkcnMvZTJvRG9jLnhtbFBLBQYAAAAABgAGAFkBAADsBQAA&#10;AAA=&#10;" adj="10821">
                        <v:fill on="f" focussize="0,0"/>
                        <v:stroke color="#4A7EBB" joinstyle="round" dashstyle="dash" endarrow="open"/>
                        <v:imagedata o:title=""/>
                        <o:lock v:ext="edit" aspectratio="f"/>
                      </v:shape>
                      <v:rect id="矩形 67" o:spid="_x0000_s1026" o:spt="1" style="position:absolute;left:4903909;top:1036124;height:550545;width:509905;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gXgo2QAAAAoBAAAPAAAAAAAAAAEAIAAAACIAAABkcnMvZG93bnJl&#10;di54bWxQSwECFAAUAAAACACHTuJAtRJXfTUCAABOBAAADgAAAAAAAAABACAAAAAoAQAAZHJzL2Uy&#10;b0RvYy54bWxQSwUGAAAAAAYABgBZAQAAzwUAAAAA&#10;">
                        <v:fill on="t" focussize="0,0"/>
                        <v:stroke on="f"/>
                        <v:imagedata o:title=""/>
                        <o:lock v:ext="edit" aspectratio="f"/>
                        <v:textbox>
                          <w:txbxContent>
                            <w:p w14:paraId="6C3ABD60">
                              <w:pPr>
                                <w:jc w:val="center"/>
                              </w:pPr>
                              <w:r>
                                <w:rPr>
                                  <w:rFonts w:hint="eastAsia"/>
                                </w:rPr>
                                <w:t>达标接管</w:t>
                              </w:r>
                            </w:p>
                          </w:txbxContent>
                        </v:textbox>
                      </v:rect>
                      <v:rect id="矩形 69" o:spid="_x0000_s1026" o:spt="1" style="position:absolute;left:1707319;top:2875719;height:297815;width:62801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&#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7lq69sAAAAKAQAADwAAAAAAAAABACAAAAAiAAAA&#10;ZHJzL2Rvd25yZXYueG1sUEsBAhQAFAAAAAgAh07iQKoASqs9AgAAYgQAAA4AAAAAAAAAAQAgAAAA&#10;KgEAAGRycy9lMm9Eb2MueG1sUEsFBgAAAAAGAAYAWQEAANkFAAAAAA==&#10;">
                        <v:fill on="f" focussize="0,0"/>
                        <v:stroke weight="2pt" color="#000000" joinstyle="round"/>
                        <v:imagedata o:title=""/>
                        <o:lock v:ext="edit" aspectratio="f"/>
                        <v:textbox>
                          <w:txbxContent>
                            <w:p w14:paraId="19666DE4">
                              <w:pPr>
                                <w:jc w:val="center"/>
                                <w:rPr>
                                  <w:color w:val="000000"/>
                                </w:rPr>
                              </w:pPr>
                              <w:r>
                                <w:rPr>
                                  <w:rFonts w:hint="eastAsia"/>
                                  <w:color w:val="000000"/>
                                </w:rPr>
                                <w:t>污泥池</w:t>
                              </w:r>
                            </w:p>
                          </w:txbxContent>
                        </v:textbox>
                      </v:rect>
                      <v:rect id="矩形 93" o:spid="_x0000_s1026" o:spt="1" style="position:absolute;left:2774119;top:2875084;height:297815;width:88201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O5auvbAAAACgEAAA8AAAAAAAAAAQAgAAAAIgAA&#10;AGRycy9kb3ducmV2LnhtbFBLAQIUABQAAAAIAIdO4kBDI+miPgIAAGIEAAAOAAAAAAAAAAEAIAAA&#10;ACoBAABkcnMvZTJvRG9jLnhtbFBLBQYAAAAABgAGAFkBAADaBQAAAAA=&#10;">
                        <v:fill on="f" focussize="0,0"/>
                        <v:stroke weight="2pt" color="#000000" joinstyle="round"/>
                        <v:imagedata o:title=""/>
                        <o:lock v:ext="edit" aspectratio="f"/>
                        <v:textbox>
                          <w:txbxContent>
                            <w:p w14:paraId="50E75BEC">
                              <w:pPr>
                                <w:rPr>
                                  <w:color w:val="000000"/>
                                </w:rPr>
                              </w:pPr>
                              <w:r>
                                <w:rPr>
                                  <w:rFonts w:hint="eastAsia"/>
                                  <w:color w:val="000000"/>
                                </w:rPr>
                                <w:t>板框压滤机</w:t>
                              </w:r>
                            </w:p>
                          </w:txbxContent>
                        </v:textbox>
                      </v:rect>
                      <v:shape id="肘形连接符 94" o:spid="_x0000_s1026" o:spt="34" type="#_x0000_t34" style="position:absolute;left:2366449;top:3000814;height:6985;width:296545;" filled="f" stroked="t" coordsize="21600,21600" o:gfxdata="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JkUyTcAAAACgEAAA8AAAAAAAAA&#10;AQAgAAAAIgAAAGRycy9kb3ducmV2LnhtbFBLAQIUABQAAAAIAIdO4kD/iP4oRgIAAEQEAAAOAAAA&#10;AAAAAAEAIAAAACsBAABkcnMvZTJvRG9jLnhtbFBLBQYAAAAABgAGAFkBAADjBQAAAAA=&#10;" adj="10823">
                        <v:fill on="f" focussize="0,0"/>
                        <v:stroke color="#BE4B48" joinstyle="round" dashstyle="1 1" endarrow="open"/>
                        <v:imagedata o:title=""/>
                        <o:lock v:ext="edit" aspectratio="f"/>
                      </v:shape>
                      <v:rect id="矩形 95" o:spid="_x0000_s1026" o:spt="1" style="position:absolute;left:3930454;top:2867464;height:297815;width:1120140;v-text-anchor:middle;" filled="f" stroked="f" coordsize="21600,21600" o:gfxdata="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UfQB1wAA&#10;AAoBAAAPAAAAAAAAAAEAIAAAACIAAABkcnMvZG93bnJldi54bWxQSwECFAAUAAAACACHTuJAdcDf&#10;JB8CAAAmBAAADgAAAAAAAAABACAAAAAmAQAAZHJzL2Uyb0RvYy54bWxQSwUGAAAAAAYABgBZAQAA&#10;twUAAAAA&#10;">
                        <v:fill on="f" focussize="0,0"/>
                        <v:stroke on="f"/>
                        <v:imagedata o:title=""/>
                        <o:lock v:ext="edit" aspectratio="f"/>
                        <v:textbox>
                          <w:txbxContent>
                            <w:p w14:paraId="3B9097F4">
                              <w:pPr>
                                <w:rPr>
                                  <w:color w:val="000000"/>
                                </w:rPr>
                              </w:pPr>
                              <w:r>
                                <w:rPr>
                                  <w:rFonts w:hint="eastAsia"/>
                                  <w:color w:val="000000"/>
                                </w:rPr>
                                <w:t>干泥外运处置</w:t>
                              </w:r>
                            </w:p>
                          </w:txbxContent>
                        </v:textbox>
                      </v:rect>
                      <v:shape id="肘形连接符 96" o:spid="_x0000_s1026" o:spt="34" type="#_x0000_t34" style="position:absolute;left:3680264;top:3023039;height:6985;width:296545;" filled="f" stroked="t" coordsize="21600,21600" o:gfxdata="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ZFMk3AAAAAoBAAAPAAAAAAAA&#10;AAEAIAAAACIAAABkcnMvZG93bnJldi54bWxQSwECFAAUAAAACACHTuJAemKCokcCAABEBAAADgAA&#10;AAAAAAABACAAAAArAQAAZHJzL2Uyb0RvYy54bWxQSwUGAAAAAAYABgBZAQAA5AUAAAAA&#10;" adj="10823">
                        <v:fill on="f" focussize="0,0"/>
                        <v:stroke color="#BE4B48" joinstyle="round" dashstyle="1 1" endarrow="open"/>
                        <v:imagedata o:title=""/>
                        <o:lock v:ext="edit" aspectratio="f"/>
                      </v:shape>
                      <v:rect id="矩形 99" o:spid="_x0000_s1026" o:spt="1" style="position:absolute;left:4021259;top:3284024;height:297815;width:6769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O5auvbAAAACgEAAA8AAAAAAAAAAQAgAAAA&#10;IgAAAGRycy9kb3ducmV2LnhtbFBLAQIUABQAAAAIAIdO4kCtGIkEQQIAAGIEAAAOAAAAAAAAAAEA&#10;IAAAACoBAABkcnMvZTJvRG9jLnhtbFBLBQYAAAAABgAGAFkBAADdBQAAAAA=&#10;">
                        <v:fill on="f" focussize="0,0"/>
                        <v:stroke weight="2pt" color="#000000" joinstyle="round"/>
                        <v:imagedata o:title=""/>
                        <o:lock v:ext="edit" aspectratio="f"/>
                        <v:textbox>
                          <w:txbxContent>
                            <w:p w14:paraId="1CF14A17">
                              <w:pPr>
                                <w:rPr>
                                  <w:color w:val="000000"/>
                                </w:rPr>
                              </w:pPr>
                              <w:r>
                                <w:rPr>
                                  <w:rFonts w:hint="eastAsia"/>
                                  <w:color w:val="000000"/>
                                </w:rPr>
                                <w:t>调节池</w:t>
                              </w:r>
                            </w:p>
                          </w:txbxContent>
                        </v:textbox>
                      </v:rect>
                      <v:shape id="肘形连接符 100" o:spid="_x0000_s1026" o:spt="33" type="#_x0000_t33" style="position:absolute;left:3512622;top:2883973;flip:y;height:821690;width:197485;rotation:-5898240f;" filled="f" stroked="t" coordsize="21600,21600" o:gfxdata="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Vk0VjaAAAACgEAAA8AAAAAAAAAAQAgAAAAIgAAAGRycy9kb3du&#10;cmV2LnhtbFBLAQIUABQAAAAIAIdO4kA8LrqANgIAABgEAAAOAAAAAAAAAAEAIAAAACkBAABkcnMv&#10;ZTJvRG9jLnhtbFBLBQYAAAAABgAGAFkBAADRBQAAAAA=&#10;">
                        <v:fill on="f" focussize="0,0"/>
                        <v:stroke color="#4A7EBB" joinstyle="round" endarrow="open"/>
                        <v:imagedata o:title=""/>
                        <o:lock v:ext="edit" aspectratio="f"/>
                      </v:shape>
                      <v:rect id="矩形 101" o:spid="_x0000_s1026" o:spt="1" style="position:absolute;left:3186234;top:3492304;height:269240;width:821055;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BeCjZAAAACgEAAA8AAAAAAAAAAQAgAAAAIgAAAGRycy9kb3du&#10;cmV2LnhtbFBLAQIUABQAAAAIAIdO4kBOzOdANwIAAE8EAAAOAAAAAAAAAAEAIAAAACgBAABkcnMv&#10;ZTJvRG9jLnhtbFBLBQYAAAAABgAGAFkBAADRBQAAAAA=&#10;">
                        <v:fill on="t" focussize="0,0"/>
                        <v:stroke on="f"/>
                        <v:imagedata o:title=""/>
                        <o:lock v:ext="edit" aspectratio="f"/>
                        <v:textbox>
                          <w:txbxContent>
                            <w:p w14:paraId="2E956538">
                              <w:pPr>
                                <w:jc w:val="center"/>
                              </w:pPr>
                              <w:r>
                                <w:rPr>
                                  <w:rFonts w:hint="eastAsia"/>
                                </w:rPr>
                                <w:t>压滤液</w:t>
                              </w:r>
                            </w:p>
                          </w:txbxContent>
                        </v:textbox>
                      </v:rect>
                      <v:shape id="肘形连接符 103" o:spid="_x0000_s1026" o:spt="34" type="#_x0000_t34" style="position:absolute;left:709733;top:2090223;flip:y;height:635;width:323215;rotation:-5898240f;" filled="f" stroked="t" coordsize="21600,21600" o:gfxdata="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7nwXbAAAACgEA&#10;AA8AAAAAAAAAAQAgAAAAIgAAAGRycy9kb3ducmV2LnhtbFBLAQIUABQAAAAIAIdO4kA6c/+GUAIA&#10;AFkEAAAOAAAAAAAAAAEAIAAAACoBAABkcnMvZTJvRG9jLnhtbFBLBQYAAAAABgAGAFkBAADsBQAA&#10;AAA=&#10;" adj="10821">
                        <v:fill on="f" focussize="0,0"/>
                        <v:stroke color="#984807" joinstyle="round" dashstyle="dash" endarrow="open"/>
                        <v:imagedata o:title=""/>
                        <o:lock v:ext="edit" aspectratio="f"/>
                      </v:shape>
                      <v:rect id="矩形 104" o:spid="_x0000_s1026" o:spt="1" style="position:absolute;left:190939;top:2348669;height:297815;width:1176655;v-text-anchor:middle;" filled="f" stroked="f" coordsize="21600,21600" o:gfxdata="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1H0AdcA&#10;AAAKAQAADwAAAAAAAAABACAAAAAiAAAAZHJzL2Rvd25yZXYueG1sUEsBAhQAFAAAAAgAh07iQOae&#10;dT0gAgAAJgQAAA4AAAAAAAAAAQAgAAAAJgEAAGRycy9lMm9Eb2MueG1sUEsFBgAAAAAGAAYAWQEA&#10;ALgFAAAAAA==&#10;">
                        <v:fill on="f" focussize="0,0"/>
                        <v:stroke on="f"/>
                        <v:imagedata o:title=""/>
                        <o:lock v:ext="edit" aspectratio="f"/>
                        <v:textbox>
                          <w:txbxContent>
                            <w:p w14:paraId="5DFD010B">
                              <w:pPr>
                                <w:rPr>
                                  <w:color w:val="000000"/>
                                </w:rPr>
                              </w:pPr>
                              <w:r>
                                <w:rPr>
                                  <w:rFonts w:hint="eastAsia"/>
                                  <w:color w:val="000000"/>
                                </w:rPr>
                                <w:t>栅渣外运处置</w:t>
                              </w:r>
                            </w:p>
                          </w:txbxContent>
                        </v:textbox>
                      </v:rect>
                      <v:shape id="肘形连接符 110" o:spid="_x0000_s1026" o:spt="34" type="#_x0000_t34" style="position:absolute;left:1300282;top:540187;flip:y;height:635;width:323215;rotation:-5898240f;" filled="f" stroked="t" coordsize="21600,21600" o:gfxdata="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2TrxNgAAAAK&#10;AQAADwAAAAAAAAABACAAAAAiAAAAZHJzL2Rvd25yZXYueG1sUEsBAhQAFAAAAAgAh07iQOcyFKFV&#10;AgAAWQQAAA4AAAAAAAAAAQAgAAAAJwEAAGRycy9lMm9Eb2MueG1sUEsFBgAAAAAGAAYAWQEAAO4F&#10;AAAAAA==&#10;" adj="10821">
                        <v:fill on="f" focussize="0,0"/>
                        <v:stroke color="#4A7EBB" joinstyle="round" dashstyle="dash" endarrow="open"/>
                        <v:imagedata o:title=""/>
                        <o:lock v:ext="edit" aspectratio="f"/>
                      </v:shape>
                      <v:rect id="矩形 111" o:spid="_x0000_s1026" o:spt="1" style="position:absolute;left:1022789;top:66479;height:269240;width:897890;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YF4KNkAAAAKAQAADwAAAAAAAAABACAAAAAiAAAAZHJzL2Rvd25yZXYu&#10;eG1sUEsBAhQAFAAAAAgAh07iQO4SPn4zAgAATQQAAA4AAAAAAAAAAQAgAAAAKAEAAGRycy9lMm9E&#10;b2MueG1sUEsFBgAAAAAGAAYAWQEAAM0FAAAAAA==&#10;">
                        <v:fill on="t" focussize="0,0"/>
                        <v:stroke on="f"/>
                        <v:imagedata o:title=""/>
                        <o:lock v:ext="edit" aspectratio="f"/>
                        <v:textbox>
                          <w:txbxContent>
                            <w:p w14:paraId="58483F8D">
                              <w:pPr>
                                <w:jc w:val="center"/>
                              </w:pPr>
                              <w:r>
                                <w:rPr>
                                  <w:rFonts w:hint="eastAsia"/>
                                </w:rPr>
                                <w:t>PAC、PAM</w:t>
                              </w:r>
                            </w:p>
                          </w:txbxContent>
                        </v:textbox>
                      </v:rect>
                      <v:shape id="肘形连接符 48" o:spid="_x0000_s1026" o:spt="34" type="#_x0000_t34" style="position:absolute;left:4646099;top:1279329;height:0;width:228600;" filled="f" stroked="t" coordsize="21600,21600" o:gfxdata="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u90J9oAAAAKAQAADwAAAAAAAAABACAAAAAiAAAAZHJzL2Rv&#10;d25yZXYueG1sUEsBAhQAFAAAAAgAh07iQB6VL944AgAAJwQAAA4AAAAAAAAAAQAgAAAAKQEAAGRy&#10;cy9lMm9Eb2MueG1sUEsFBgAAAAAGAAYAWQEAANMFAAAAAA==&#10;" adj="10800">
                        <v:fill on="f" focussize="0,0"/>
                        <v:stroke color="#4A7EBB" joinstyle="round" endarrow="open"/>
                        <v:imagedata o:title=""/>
                        <o:lock v:ext="edit" aspectratio="f"/>
                      </v:shape>
                      <v:shape id="自选图形 309" o:spid="_x0000_s1026" o:spt="34" type="#_x0000_t34" style="position:absolute;left:3478967;top:363023;flip:y;height:599440;width:20955;rotation:5898240f;" filled="f" stroked="t" coordsize="21600,21600" o:gfxdata="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9uSx2QAAAAoBAAAP&#10;AAAAAAAAAAEAIAAAACIAAABkcnMvZG93bnJldi54bWxQSwECFAAUAAAACACHTuJAyd99vlACAABQ&#10;BAAADgAAAAAAAAABACAAAAAoAQAAZHJzL2Uyb0RvYy54bWxQSwUGAAAAAAYABgBZAQAA6gUAAAAA&#10;" adj="267382">
                        <v:fill on="f" focussize="0,0"/>
                        <v:stroke color="#4F81BD" miterlimit="8" joinstyle="miter" endarrow="open"/>
                        <v:imagedata o:title=""/>
                        <o:lock v:ext="edit" aspectratio="f"/>
                      </v:shape>
                      <v:shape id="自选图形 310" o:spid="_x0000_s1026" o:spt="34" type="#_x0000_t34" style="position:absolute;left:4197788;top:380802;flip:y;height:592455;width:6350;rotation:5898240f;" filled="f" stroked="t" coordsize="21600,21600" o:gfxdata="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kTNUz1wAAAAoBAAAPAAAAAAAAAAEAIAAAACIAAABkcnMvZG93bnJldi54bWxQSwECFAAUAAAA&#10;CACHTuJAULV0ZWECAABzBAAADgAAAAAAAAABACAAAAAmAQAAZHJzL2Uyb0RvYy54bWxQSwUGAAAA&#10;AAYABgBZAQAA+QUAAAAA&#10;" adj="832680">
                        <v:fill on="f" focussize="0,0"/>
                        <v:stroke color="#984807" miterlimit="8" joinstyle="miter" dashstyle="1 1" endcap="round" endarrow="open"/>
                        <v:imagedata o:title=""/>
                        <o:lock v:ext="edit" aspectratio="f"/>
                      </v:shape>
                      <v:rect id="矩形 61" o:spid="_x0000_s1026" o:spt="1" style="position:absolute;left:3003354;top:112834;height:269240;width:954405;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gXgo2QAAAAoBAAAPAAAAAAAAAAEAIAAAACIAAABkcnMvZG93bnJl&#10;di54bWxQSwECFAAUAAAACACHTuJAPVFsRjUCAABNBAAADgAAAAAAAAABACAAAAAoAQAAZHJzL2Uy&#10;b0RvYy54bWxQSwUGAAAAAAYABgBZAQAAzwUAAAAA&#10;">
                        <v:fill on="t" focussize="0,0"/>
                        <v:stroke on="f"/>
                        <v:imagedata o:title=""/>
                        <o:lock v:ext="edit" aspectratio="f"/>
                        <v:textbox>
                          <w:txbxContent>
                            <w:p w14:paraId="48A91EF9">
                              <w:pPr>
                                <w:jc w:val="center"/>
                              </w:pPr>
                              <w:r>
                                <w:rPr>
                                  <w:rFonts w:hint="eastAsia"/>
                                </w:rPr>
                                <w:t>混合液回流</w:t>
                              </w:r>
                            </w:p>
                          </w:txbxContent>
                        </v:textbox>
                      </v:rect>
                      <v:shape id="肘形连接符 47" o:spid="_x0000_s1026" o:spt="34" type="#_x0000_t34" style="position:absolute;left:2820474;top:1334574;flip:y;height:0;width:24130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czjjZAAAACgEAAA8AAAAAAAAAAQAgAAAAIgAAAGRy&#10;cy9kb3ducmV2LnhtbFBLAQIUABQAAAAIAIdO4kB6jah6PQIAADEEAAAOAAAAAAAAAAEAIAAAACgB&#10;AABkcnMvZTJvRG9jLnhtbFBLBQYAAAAABgAGAFkBAADXBQAAAAA=&#10;" adj="10800">
                        <v:fill on="f" focussize="0,0"/>
                        <v:stroke color="#4A7EBB" joinstyle="round" endarrow="open"/>
                        <v:imagedata o:title=""/>
                        <o:lock v:ext="edit" aspectratio="f"/>
                      </v:shape>
                      <v:shape id="肘形连接符 47" o:spid="_x0000_s1026" o:spt="34" type="#_x0000_t34" style="position:absolute;left:1645089;top:1342194;flip:y;height:0;width:24130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GczjjZAAAACgEAAA8AAAAAAAAAAQAgAAAAIgAA&#10;AGRycy9kb3ducmV2LnhtbFBLAQIUABQAAAAIAIdO4kBS94kXQAIAADEEAAAOAAAAAAAAAAEAIAAA&#10;ACgBAABkcnMvZTJvRG9jLnhtbFBLBQYAAAAABgAGAFkBAADaBQAAAAA=&#10;" adj="10800">
                        <v:fill on="f" focussize="0,0"/>
                        <v:stroke color="#4A7EBB" joinstyle="round" endarrow="open"/>
                        <v:imagedata o:title=""/>
                        <o:lock v:ext="edit" aspectratio="f"/>
                      </v:shape>
                      <v:shape id="肘形连接符 47" o:spid="_x0000_s1026" o:spt="34" type="#_x0000_t34" style="position:absolute;left:1041839;top:1334574;flip:y;height:0;width:24130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ZzOONkAAAAKAQAADwAAAAAAAAABACAAAAAiAAAA&#10;ZHJzL2Rvd25yZXYueG1sUEsBAhQAFAAAAAgAh07iQP9u6Jc/AgAAMQQAAA4AAAAAAAAAAQAgAAAA&#10;KAEAAGRycy9lMm9Eb2MueG1sUEsFBgAAAAAGAAYAWQEAANkFAAAAAA==&#10;" adj="10800">
                        <v:fill on="f" focussize="0,0"/>
                        <v:stroke color="#4A7EBB" joinstyle="round" endarrow="open"/>
                        <v:imagedata o:title=""/>
                        <o:lock v:ext="edit" aspectratio="f"/>
                      </v:shape>
                      <v:shape id="肘形连接符 47" o:spid="_x0000_s1026" o:spt="34" type="#_x0000_t34" style="position:absolute;left:415094;top:1350449;flip:y;height:0;width:24130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nM442QAAAAoBAAAPAAAAAAAAAAEAIAAAACIAAABk&#10;cnMvZG93bnJldi54bWxQSwECFAAUAAAACACHTuJAoWVnfD4CAAAwBAAADgAAAAAAAAABACAAAAAo&#10;AQAAZHJzL2Uyb0RvYy54bWxQSwUGAAAAAAYABgBZAQAA2AUAAAAA&#10;" adj="10800">
                        <v:fill on="f" focussize="0,0"/>
                        <v:stroke color="#4A7EBB" joinstyle="round" endarrow="open"/>
                        <v:imagedata o:title=""/>
                        <o:lock v:ext="edit" aspectratio="f"/>
                      </v:shape>
                      <v:shape id="自选图形 316" o:spid="_x0000_s1026" o:spt="34" type="#_x0000_t34" style="position:absolute;left:1268534;top:2122609;flip:y;height:563880;width:942340;rotation:-5898240f;" filled="f" stroked="t" coordsize="21600,21600" o:gfxdata="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Hdj4dkAAAAKAQAADwAAAAAAAAABACAAAAAiAAAAZHJzL2Rvd25yZXYueG1sUEsBAhQAFAAA&#10;AAgAh07iQOljjktgAgAAcwQAAA4AAAAAAAAAAQAgAAAAKAEAAGRycy9lMm9Eb2MueG1sUEsFBgAA&#10;AAAGAAYAWQEAAPoFAAAAAA==&#10;" adj="10800">
                        <v:fill on="f" focussize="0,0"/>
                        <v:stroke color="#984807" miterlimit="8" joinstyle="miter" dashstyle="1 1" endcap="round" endarrow="open"/>
                        <v:imagedata o:title=""/>
                        <o:lock v:ext="edit" aspectratio="f"/>
                      </v:shape>
                      <v:shape id="自选图形 317" o:spid="_x0000_s1026" o:spt="34" type="#_x0000_t34" style="position:absolute;left:1860988;top:2122607;height:592455;width:913130;rotation:5898240f;" filled="f" stroked="t" coordsize="21600,21600" o:gfxdata="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lvtv&#10;2AAAAAoBAAAPAAAAAAAAAAEAIAAAACIAAABkcnMvZG93bnJldi54bWxQSwECFAAUAAAACACHTuJA&#10;Ln3k/VoCAABpBAAADgAAAAAAAAABACAAAAAnAQAAZHJzL2Uyb0RvYy54bWxQSwUGAAAAAAYABgBZ&#10;AQAA8wUAAAAA&#10;" adj="10792">
                        <v:fill on="f" focussize="0,0"/>
                        <v:stroke color="#984807" miterlimit="8" joinstyle="miter" dashstyle="1 1" endcap="round" endarrow="open"/>
                        <v:imagedata o:title=""/>
                        <o:lock v:ext="edit" aspectratio="f"/>
                      </v:shape>
                      <v:shape id="自选图形 318" o:spid="_x0000_s1026" o:spt="34" type="#_x0000_t34" style="position:absolute;left:2182299;top:1815904;height:1220470;width:899160;rotation:5898240f;" filled="f" stroked="t" coordsize="21600,21600" o:gfxdata="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1X&#10;6K3aAAAACgEAAA8AAAAAAAAAAQAgAAAAIgAAAGRycy9kb3ducmV2LnhtbFBLAQIUABQAAAAIAIdO&#10;4kB51KOyWgIAAGoEAAAOAAAAAAAAAAEAIAAAACkBAABkcnMvZTJvRG9jLnhtbFBLBQYAAAAABgAG&#10;AFkBAAD1BQAAAAA=&#10;" adj="10800">
                        <v:fill on="f" focussize="0,0"/>
                        <v:stroke color="#984807" miterlimit="8" joinstyle="miter" dashstyle="1 1" endcap="round" endarrow="open"/>
                        <v:imagedata o:title=""/>
                        <o:lock v:ext="edit" aspectratio="f"/>
                      </v:shape>
                      <v:shape id="自选图形 319" o:spid="_x0000_s1026" o:spt="34" type="#_x0000_t34" style="position:absolute;left:2485192;top:1486337;height:1852295;width:925195;rotation:5898240f;" filled="f" stroked="t" coordsize="21600,21600" o:gfxdata="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iCdHa&#10;AAAACgEAAA8AAAAAAAAAAQAgAAAAIgAAAGRycy9kb3ducmV2LnhtbFBLAQIUABQAAAAIAIdO4kAe&#10;bGP7VwIAAGoEAAAOAAAAAAAAAAEAIAAAACkBAABkcnMvZTJvRG9jLnhtbFBLBQYAAAAABgAGAFkB&#10;AADyBQAAAAA=&#10;" adj="10807">
                        <v:fill on="f" focussize="0,0"/>
                        <v:stroke color="#984807" miterlimit="8" joinstyle="miter" dashstyle="1 1" endcap="round" endarrow="open"/>
                        <v:imagedata o:title=""/>
                        <o:lock v:ext="edit" aspectratio="f"/>
                      </v:shape>
                      <v:shape id="自选图形 320" o:spid="_x0000_s1026" o:spt="34" type="#_x0000_t34" style="position:absolute;left:2777292;top:1194237;height:2436495;width:925195;rotation:5898240f;" filled="f" stroked="t" coordsize="21600,21600" o:gfxdata="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Gi&#10;CdHaAAAACgEAAA8AAAAAAAAAAQAgAAAAIgAAAGRycy9kb3ducmV2LnhtbFBLAQIUABQAAAAIAIdO&#10;4kBXjb97WgIAAGoEAAAOAAAAAAAAAAEAIAAAACkBAABkcnMvZTJvRG9jLnhtbFBLBQYAAAAABgAG&#10;AFkBAAD1BQAAAAA=&#10;" adj="10807">
                        <v:fill on="f" focussize="0,0"/>
                        <v:stroke color="#984807" miterlimit="8" joinstyle="miter" dashstyle="1 1" endcap="round" endarrow="open"/>
                        <v:imagedata o:title=""/>
                        <o:lock v:ext="edit" aspectratio="f"/>
                      </v:shape>
                      <w10:wrap type="square"/>
                    </v:group>
                  </w:pict>
                </mc:Fallback>
              </mc:AlternateContent>
            </w:r>
            <w:r>
              <w:rPr>
                <w:rFonts w:eastAsia="宋体"/>
                <w:color w:val="auto"/>
                <w:kern w:val="0"/>
                <w:szCs w:val="24"/>
              </w:rPr>
              <w:fldChar w:fldCharType="begin"/>
            </w:r>
            <w:r>
              <w:rPr>
                <w:rFonts w:eastAsia="宋体"/>
                <w:color w:val="auto"/>
                <w:kern w:val="0"/>
                <w:szCs w:val="24"/>
              </w:rPr>
              <w:instrText xml:space="preserve"> = 1 \* GB3 </w:instrText>
            </w:r>
            <w:r>
              <w:rPr>
                <w:rFonts w:eastAsia="宋体"/>
                <w:color w:val="auto"/>
                <w:kern w:val="0"/>
                <w:szCs w:val="24"/>
              </w:rPr>
              <w:fldChar w:fldCharType="separate"/>
            </w:r>
            <w:r>
              <w:rPr>
                <w:rFonts w:hint="eastAsia" w:ascii="宋体" w:hAnsi="宋体" w:eastAsia="宋体" w:cs="宋体"/>
                <w:color w:val="auto"/>
                <w:kern w:val="0"/>
                <w:szCs w:val="24"/>
              </w:rPr>
              <w:t>①</w:t>
            </w:r>
            <w:r>
              <w:rPr>
                <w:rFonts w:eastAsia="宋体"/>
                <w:color w:val="auto"/>
                <w:kern w:val="0"/>
                <w:szCs w:val="24"/>
              </w:rPr>
              <w:fldChar w:fldCharType="end"/>
            </w:r>
            <w:r>
              <w:rPr>
                <w:rFonts w:eastAsia="宋体"/>
                <w:color w:val="auto"/>
                <w:kern w:val="0"/>
                <w:szCs w:val="24"/>
              </w:rPr>
              <w:t>污水处理站污水处理工艺</w:t>
            </w:r>
          </w:p>
          <w:p w14:paraId="3BDD094F">
            <w:pPr>
              <w:jc w:val="center"/>
              <w:rPr>
                <w:b/>
                <w:color w:val="auto"/>
                <w:sz w:val="24"/>
              </w:rPr>
            </w:pPr>
            <w:r>
              <w:rPr>
                <w:b/>
                <w:color w:val="auto"/>
                <w:sz w:val="24"/>
              </w:rPr>
              <w:t>图4-1 厂内污水处理站污水处理工艺流程图</w:t>
            </w:r>
          </w:p>
          <w:p w14:paraId="0831DF32">
            <w:pPr>
              <w:spacing w:line="360" w:lineRule="auto"/>
              <w:ind w:firstLine="480" w:firstLineChars="200"/>
              <w:jc w:val="left"/>
              <w:rPr>
                <w:color w:val="auto"/>
                <w:sz w:val="24"/>
              </w:rPr>
            </w:pPr>
            <w:r>
              <w:rPr>
                <w:color w:val="auto"/>
                <w:sz w:val="24"/>
              </w:rPr>
              <w:t>污水处理站工艺简介：</w:t>
            </w:r>
          </w:p>
          <w:p w14:paraId="783A6694">
            <w:pPr>
              <w:pStyle w:val="139"/>
              <w:spacing w:line="360" w:lineRule="auto"/>
              <w:ind w:firstLine="480"/>
              <w:rPr>
                <w:color w:val="auto"/>
                <w:sz w:val="24"/>
              </w:rPr>
            </w:pPr>
            <w:r>
              <w:rPr>
                <w:rFonts w:hint="eastAsia"/>
                <w:color w:val="auto"/>
                <w:sz w:val="24"/>
              </w:rPr>
              <w:t>污水站</w:t>
            </w:r>
            <w:r>
              <w:rPr>
                <w:color w:val="auto"/>
                <w:sz w:val="24"/>
              </w:rPr>
              <w:t>设计</w:t>
            </w:r>
            <w:r>
              <w:rPr>
                <w:rFonts w:hint="eastAsia"/>
                <w:color w:val="auto"/>
                <w:sz w:val="24"/>
              </w:rPr>
              <w:t>处理</w:t>
            </w:r>
            <w:r>
              <w:rPr>
                <w:color w:val="auto"/>
                <w:sz w:val="24"/>
              </w:rPr>
              <w:t>规模为16</w:t>
            </w:r>
            <w:r>
              <w:rPr>
                <w:rFonts w:hint="eastAsia"/>
                <w:color w:val="auto"/>
                <w:sz w:val="24"/>
              </w:rPr>
              <w:t>0</w:t>
            </w:r>
            <w:r>
              <w:rPr>
                <w:color w:val="auto"/>
                <w:sz w:val="24"/>
              </w:rPr>
              <w:t>0m</w:t>
            </w:r>
            <w:r>
              <w:rPr>
                <w:color w:val="auto"/>
                <w:sz w:val="24"/>
                <w:vertAlign w:val="superscript"/>
              </w:rPr>
              <w:t>3</w:t>
            </w:r>
            <w:r>
              <w:rPr>
                <w:color w:val="auto"/>
                <w:sz w:val="24"/>
              </w:rPr>
              <w:t>/d，</w:t>
            </w:r>
            <w:r>
              <w:rPr>
                <w:rFonts w:hint="eastAsia"/>
                <w:color w:val="auto"/>
                <w:sz w:val="24"/>
              </w:rPr>
              <w:t>主体生化分为两组并联运行，每组处理能力</w:t>
            </w:r>
            <w:r>
              <w:rPr>
                <w:color w:val="auto"/>
                <w:sz w:val="24"/>
              </w:rPr>
              <w:t>8</w:t>
            </w:r>
            <w:r>
              <w:rPr>
                <w:rFonts w:hint="eastAsia"/>
                <w:color w:val="auto"/>
                <w:sz w:val="24"/>
              </w:rPr>
              <w:t>00t/d，每套</w:t>
            </w:r>
            <w:r>
              <w:rPr>
                <w:color w:val="auto"/>
                <w:sz w:val="24"/>
              </w:rPr>
              <w:t>设施设计运行时间均为24h</w:t>
            </w:r>
            <w:r>
              <w:rPr>
                <w:rFonts w:hint="eastAsia"/>
                <w:color w:val="auto"/>
                <w:sz w:val="24"/>
              </w:rPr>
              <w:t>/d</w:t>
            </w:r>
            <w:r>
              <w:rPr>
                <w:color w:val="auto"/>
                <w:sz w:val="24"/>
              </w:rPr>
              <w:t>。</w:t>
            </w:r>
            <w:r>
              <w:rPr>
                <w:rFonts w:hint="eastAsia"/>
                <w:color w:val="auto"/>
                <w:kern w:val="0"/>
                <w:sz w:val="24"/>
                <w:lang w:bidi="hi-IN"/>
              </w:rPr>
              <w:t>采用“机械格栅+折流式沉淀池+调节+混凝气浮+水解酸化+接触氧化+二沉”组合工艺，系统处理设备模块化制作，可以保证出水达到接管标准。系统产生的污泥均排入污泥池中，泵入压滤机压滤后干泥外运处置，压滤液及冲洗液返回调节池再处理。</w:t>
            </w:r>
          </w:p>
          <w:p w14:paraId="11FADD27">
            <w:pPr>
              <w:pStyle w:val="139"/>
              <w:spacing w:line="360" w:lineRule="auto"/>
              <w:ind w:firstLine="480"/>
              <w:rPr>
                <w:color w:val="auto"/>
                <w:sz w:val="24"/>
              </w:rPr>
            </w:pPr>
            <w:r>
              <w:rPr>
                <w:rFonts w:hint="eastAsia"/>
                <w:color w:val="auto"/>
                <w:kern w:val="0"/>
                <w:sz w:val="24"/>
                <w:lang w:bidi="hi-IN"/>
              </w:rPr>
              <w:t>机</w:t>
            </w:r>
            <w:r>
              <w:rPr>
                <w:rFonts w:hint="eastAsia"/>
                <w:color w:val="auto"/>
                <w:sz w:val="24"/>
              </w:rPr>
              <w:t>械格栅：</w:t>
            </w:r>
            <w:r>
              <w:rPr>
                <w:color w:val="auto"/>
                <w:sz w:val="24"/>
              </w:rPr>
              <w:t>废水经过机械格栅，去除水中较大的漂浮物，防止堵塞处理设施。</w:t>
            </w:r>
          </w:p>
          <w:p w14:paraId="5740C114">
            <w:pPr>
              <w:pStyle w:val="139"/>
              <w:spacing w:line="360" w:lineRule="auto"/>
              <w:ind w:firstLine="480"/>
              <w:rPr>
                <w:color w:val="auto"/>
                <w:sz w:val="24"/>
              </w:rPr>
            </w:pPr>
            <w:r>
              <w:rPr>
                <w:rFonts w:hint="eastAsia"/>
                <w:color w:val="auto"/>
                <w:sz w:val="24"/>
              </w:rPr>
              <w:t>折流沉淀池：</w:t>
            </w:r>
            <w:r>
              <w:rPr>
                <w:color w:val="auto"/>
                <w:sz w:val="24"/>
              </w:rPr>
              <w:t>废水经过折流沉淀池，通过加药混凝将废水中的泥沙沉淀下来，防止堵塞处理设施。</w:t>
            </w:r>
          </w:p>
          <w:p w14:paraId="72623646">
            <w:pPr>
              <w:pStyle w:val="139"/>
              <w:spacing w:line="360" w:lineRule="auto"/>
              <w:ind w:firstLine="480"/>
              <w:rPr>
                <w:color w:val="auto"/>
                <w:sz w:val="24"/>
              </w:rPr>
            </w:pPr>
            <w:r>
              <w:rPr>
                <w:rFonts w:hint="eastAsia"/>
                <w:color w:val="auto"/>
                <w:sz w:val="24"/>
              </w:rPr>
              <w:t>调节池：</w:t>
            </w:r>
            <w:r>
              <w:rPr>
                <w:color w:val="auto"/>
                <w:sz w:val="24"/>
              </w:rPr>
              <w:t>多股废水在调节池中混合，调节污水的水量和水质。</w:t>
            </w:r>
          </w:p>
          <w:p w14:paraId="04B6F999">
            <w:pPr>
              <w:pStyle w:val="139"/>
              <w:spacing w:line="360" w:lineRule="auto"/>
              <w:ind w:firstLine="480"/>
              <w:rPr>
                <w:color w:val="auto"/>
                <w:sz w:val="24"/>
              </w:rPr>
            </w:pPr>
            <w:r>
              <w:rPr>
                <w:rFonts w:hint="eastAsia"/>
                <w:color w:val="auto"/>
                <w:sz w:val="24"/>
              </w:rPr>
              <w:t>混凝气浮池：</w:t>
            </w:r>
            <w:r>
              <w:rPr>
                <w:color w:val="auto"/>
                <w:sz w:val="24"/>
              </w:rPr>
              <w:t>将pH调至7-8左右，投加混凝剂PAC及PAM与水中悬浮物质、油类物质产生混凝反应，形成矾花后与小气泡一起上浮至表面形成浮渣刮去，清水进入后续处理。</w:t>
            </w:r>
          </w:p>
          <w:p w14:paraId="0BA56FC0">
            <w:pPr>
              <w:pStyle w:val="139"/>
              <w:spacing w:line="360" w:lineRule="auto"/>
              <w:ind w:firstLine="480"/>
              <w:rPr>
                <w:color w:val="auto"/>
                <w:sz w:val="24"/>
              </w:rPr>
            </w:pPr>
            <w:r>
              <w:rPr>
                <w:rFonts w:hint="eastAsia"/>
                <w:color w:val="auto"/>
                <w:sz w:val="24"/>
              </w:rPr>
              <w:t>水解酸化池：</w:t>
            </w:r>
            <w:r>
              <w:rPr>
                <w:color w:val="auto"/>
                <w:sz w:val="24"/>
              </w:rPr>
              <w:t>水解酸化池内设有悬浮填料，废水中的兼氧微生物附着在填料上生长，吸附废水中的污染物，对其进行降解。常规厌氧过程可分为水解阶段、酸化阶段、乙酸化阶段和甲烷化阶段等四个阶段，水解（酸化）工艺是在水解池中把反应控制在第二阶段完成之前，控制不进入第三阶段，利用水解（酸化）池中兼性菌与厌氧菌的作用，将固体悬浮物降解为溶解性物质，大分子物质和难于生物降解的物质转化为容易降解的小分子物质，液相中的溶解性物质一部分在水解池内被细菌吸收利用，转化为能量及CO</w:t>
            </w:r>
            <w:r>
              <w:rPr>
                <w:color w:val="auto"/>
                <w:sz w:val="24"/>
                <w:vertAlign w:val="subscript"/>
              </w:rPr>
              <w:t>2</w:t>
            </w:r>
            <w:r>
              <w:rPr>
                <w:color w:val="auto"/>
                <w:sz w:val="24"/>
              </w:rPr>
              <w:t>、CH</w:t>
            </w:r>
            <w:r>
              <w:rPr>
                <w:color w:val="auto"/>
                <w:sz w:val="24"/>
                <w:vertAlign w:val="subscript"/>
              </w:rPr>
              <w:t>4</w:t>
            </w:r>
            <w:r>
              <w:rPr>
                <w:color w:val="auto"/>
                <w:sz w:val="24"/>
              </w:rPr>
              <w:t>、NH</w:t>
            </w:r>
            <w:r>
              <w:rPr>
                <w:color w:val="auto"/>
                <w:sz w:val="24"/>
                <w:vertAlign w:val="subscript"/>
              </w:rPr>
              <w:t>3</w:t>
            </w:r>
            <w:r>
              <w:rPr>
                <w:color w:val="auto"/>
                <w:sz w:val="24"/>
              </w:rPr>
              <w:t>等代谢产物，另一部分将随水流进入后续好氧生物处理阶段被好氧菌代谢处理。经过水解酸化处理，废水B/C值得到提高，有</w:t>
            </w:r>
            <w:r>
              <w:rPr>
                <w:rFonts w:hint="eastAsia"/>
                <w:color w:val="auto"/>
                <w:sz w:val="24"/>
                <w:lang w:eastAsia="zh-CN"/>
              </w:rPr>
              <w:t>利于</w:t>
            </w:r>
            <w:r>
              <w:rPr>
                <w:color w:val="auto"/>
                <w:sz w:val="24"/>
              </w:rPr>
              <w:t>后续生化系统的正常运行，提高有机污染物的去除率。</w:t>
            </w:r>
          </w:p>
          <w:p w14:paraId="5DC60262">
            <w:pPr>
              <w:pStyle w:val="139"/>
              <w:spacing w:line="360" w:lineRule="auto"/>
              <w:ind w:firstLine="480"/>
              <w:rPr>
                <w:color w:val="auto"/>
                <w:sz w:val="24"/>
              </w:rPr>
            </w:pPr>
            <w:r>
              <w:rPr>
                <w:rFonts w:hint="eastAsia"/>
                <w:color w:val="auto"/>
                <w:sz w:val="24"/>
              </w:rPr>
              <w:t>接触氧化池：</w:t>
            </w:r>
            <w:r>
              <w:rPr>
                <w:color w:val="auto"/>
                <w:sz w:val="24"/>
              </w:rPr>
              <w:t>接触氧化池内设有组合填料，池内曝气，部分好</w:t>
            </w:r>
            <w:r>
              <w:rPr>
                <w:rFonts w:hint="eastAsia"/>
                <w:color w:val="auto"/>
                <w:sz w:val="24"/>
                <w:lang w:eastAsia="zh-CN"/>
              </w:rPr>
              <w:t>氧</w:t>
            </w:r>
            <w:r>
              <w:rPr>
                <w:color w:val="auto"/>
                <w:sz w:val="24"/>
              </w:rPr>
              <w:t>微生物以生物膜的形式固着生长在填料表面，部分则是絮状悬浮生长于水中，其兼有活性污泥法和生物滤池二者的优点。生物接触氧化池具有较高的容积负荷，运行管理方便，对水质水量骤变有较强的适应能力，污泥产量较低。进一步去除剩余COD、氨氮，并将接触氧化池内混合液回流至水解酸化池内进行反硝化作用，去除部分总氮。</w:t>
            </w:r>
          </w:p>
          <w:p w14:paraId="3B3C0A6E">
            <w:pPr>
              <w:pStyle w:val="139"/>
              <w:spacing w:line="360" w:lineRule="auto"/>
              <w:ind w:firstLine="480"/>
              <w:rPr>
                <w:color w:val="auto"/>
                <w:sz w:val="24"/>
              </w:rPr>
            </w:pPr>
            <w:r>
              <w:rPr>
                <w:rFonts w:hint="eastAsia"/>
                <w:color w:val="auto"/>
                <w:sz w:val="24"/>
              </w:rPr>
              <w:t>接触氧化池内装有可提升式微孔曝气管，具有以下优点：①气泡微小，维持池内稳定DO值；②氧利用率高，可达30%；③可提升，维修简便，不需停产排水即可维修。</w:t>
            </w:r>
          </w:p>
          <w:p w14:paraId="09165A0F">
            <w:pPr>
              <w:spacing w:line="360" w:lineRule="auto"/>
              <w:ind w:firstLine="560" w:firstLineChars="200"/>
              <w:jc w:val="center"/>
              <w:rPr>
                <w:color w:val="auto"/>
                <w:kern w:val="0"/>
                <w:sz w:val="24"/>
                <w:lang w:bidi="hi-IN"/>
              </w:rPr>
            </w:pPr>
            <w:r>
              <w:rPr>
                <w:color w:val="auto"/>
                <w:sz w:val="28"/>
                <w:szCs w:val="28"/>
              </w:rPr>
              <w:drawing>
                <wp:inline distT="0" distB="0" distL="0" distR="0">
                  <wp:extent cx="2752090" cy="2061845"/>
                  <wp:effectExtent l="0" t="0" r="10160" b="14605"/>
                  <wp:docPr id="43" name="图片 43" descr="ea32b376f0f1d054f540119375aa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a32b376f0f1d054f540119375aa8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52090" cy="2061845"/>
                          </a:xfrm>
                          <a:prstGeom prst="rect">
                            <a:avLst/>
                          </a:prstGeom>
                          <a:noFill/>
                          <a:ln>
                            <a:noFill/>
                          </a:ln>
                        </pic:spPr>
                      </pic:pic>
                    </a:graphicData>
                  </a:graphic>
                </wp:inline>
              </w:drawing>
            </w:r>
          </w:p>
          <w:p w14:paraId="5FDF24E0">
            <w:pPr>
              <w:jc w:val="center"/>
              <w:rPr>
                <w:b/>
                <w:color w:val="auto"/>
                <w:sz w:val="24"/>
              </w:rPr>
            </w:pPr>
            <w:r>
              <w:rPr>
                <w:b/>
                <w:color w:val="auto"/>
                <w:sz w:val="24"/>
              </w:rPr>
              <w:t xml:space="preserve">图4-2 </w:t>
            </w:r>
            <w:r>
              <w:rPr>
                <w:rFonts w:hint="eastAsia"/>
                <w:b/>
                <w:color w:val="auto"/>
                <w:sz w:val="24"/>
              </w:rPr>
              <w:t>可提升式微孔曝气管</w:t>
            </w:r>
          </w:p>
          <w:p w14:paraId="3E32DE44">
            <w:pPr>
              <w:pStyle w:val="139"/>
              <w:spacing w:line="360" w:lineRule="auto"/>
              <w:ind w:firstLine="480"/>
              <w:rPr>
                <w:color w:val="auto"/>
                <w:sz w:val="24"/>
              </w:rPr>
            </w:pPr>
            <w:r>
              <w:rPr>
                <w:rFonts w:hint="eastAsia"/>
                <w:color w:val="auto"/>
                <w:sz w:val="24"/>
              </w:rPr>
              <w:t>二沉池：</w:t>
            </w:r>
            <w:r>
              <w:rPr>
                <w:color w:val="auto"/>
                <w:sz w:val="24"/>
              </w:rPr>
              <w:t>接触氧化池出水自流进入二沉池，废水中老化脱落的生物膜在沉淀池中利用自身重力沉降下来，达到泥水分离。部分污泥回流至接触氧化池补充活性污泥，沉淀池底部的剩余污泥排放至污泥池压滤后外运处置。</w:t>
            </w:r>
          </w:p>
          <w:p w14:paraId="3F1F0D7A">
            <w:pPr>
              <w:pStyle w:val="139"/>
              <w:spacing w:line="360" w:lineRule="auto"/>
              <w:ind w:firstLine="480"/>
              <w:rPr>
                <w:color w:val="auto"/>
                <w:sz w:val="24"/>
              </w:rPr>
            </w:pPr>
            <w:r>
              <w:rPr>
                <w:rFonts w:hint="eastAsia"/>
                <w:color w:val="auto"/>
                <w:sz w:val="24"/>
              </w:rPr>
              <w:t>污泥收集池：</w:t>
            </w:r>
            <w:r>
              <w:rPr>
                <w:color w:val="auto"/>
                <w:sz w:val="24"/>
              </w:rPr>
              <w:t>收集系统污泥，泵至压滤机压滤后干泥外运，压滤液回至调节池。</w:t>
            </w:r>
          </w:p>
          <w:p w14:paraId="32B8B2C6">
            <w:pPr>
              <w:spacing w:line="360" w:lineRule="auto"/>
              <w:ind w:firstLine="480" w:firstLineChars="200"/>
              <w:jc w:val="left"/>
              <w:rPr>
                <w:b/>
                <w:color w:val="auto"/>
                <w:sz w:val="24"/>
              </w:rPr>
            </w:pPr>
            <w:r>
              <w:rPr>
                <w:rFonts w:hint="eastAsia" w:ascii="宋体" w:hAnsi="宋体"/>
                <w:color w:val="auto"/>
                <w:sz w:val="24"/>
              </w:rPr>
              <w:t>②污水处理站建构筑物、设备</w:t>
            </w:r>
          </w:p>
          <w:p w14:paraId="446D5EAD">
            <w:pPr>
              <w:spacing w:line="360" w:lineRule="auto"/>
              <w:ind w:firstLine="482" w:firstLineChars="200"/>
              <w:rPr>
                <w:b/>
                <w:color w:val="auto"/>
                <w:sz w:val="24"/>
              </w:rPr>
            </w:pPr>
            <w:r>
              <w:rPr>
                <w:rFonts w:hint="eastAsia"/>
                <w:b/>
                <w:color w:val="auto"/>
                <w:sz w:val="24"/>
              </w:rPr>
              <w:t>（</w:t>
            </w:r>
            <w:r>
              <w:rPr>
                <w:b/>
                <w:color w:val="auto"/>
                <w:sz w:val="24"/>
              </w:rPr>
              <w:t>a</w:t>
            </w:r>
            <w:r>
              <w:rPr>
                <w:rFonts w:hint="eastAsia"/>
                <w:b/>
                <w:color w:val="auto"/>
                <w:sz w:val="24"/>
              </w:rPr>
              <w:t>）格栅井</w:t>
            </w:r>
          </w:p>
          <w:p w14:paraId="18CF4685">
            <w:pPr>
              <w:spacing w:line="360" w:lineRule="auto"/>
              <w:ind w:firstLine="480" w:firstLineChars="200"/>
              <w:rPr>
                <w:color w:val="auto"/>
                <w:kern w:val="0"/>
                <w:sz w:val="24"/>
                <w:lang w:bidi="hi-IN"/>
              </w:rPr>
            </w:pPr>
            <w:r>
              <w:rPr>
                <w:color w:val="auto"/>
                <w:kern w:val="0"/>
                <w:sz w:val="24"/>
                <w:lang w:bidi="hi-IN"/>
              </w:rPr>
              <w:t>结构：地下式钢砼结构；</w:t>
            </w:r>
          </w:p>
          <w:p w14:paraId="1BD0EDAE">
            <w:pPr>
              <w:spacing w:line="360" w:lineRule="auto"/>
              <w:ind w:firstLine="480" w:firstLineChars="200"/>
              <w:rPr>
                <w:color w:val="auto"/>
                <w:kern w:val="0"/>
                <w:sz w:val="24"/>
                <w:lang w:bidi="hi-IN"/>
              </w:rPr>
            </w:pPr>
            <w:r>
              <w:rPr>
                <w:color w:val="auto"/>
                <w:kern w:val="0"/>
                <w:sz w:val="24"/>
                <w:lang w:bidi="hi-IN"/>
              </w:rPr>
              <w:t>主要功能：</w:t>
            </w:r>
            <w:r>
              <w:rPr>
                <w:rFonts w:hint="eastAsia"/>
                <w:color w:val="auto"/>
                <w:kern w:val="0"/>
                <w:sz w:val="24"/>
                <w:lang w:bidi="hi-IN"/>
              </w:rPr>
              <w:t>拦截大颗粒悬浮物质，防止堵塞后续处理设施</w:t>
            </w:r>
            <w:r>
              <w:rPr>
                <w:color w:val="auto"/>
                <w:kern w:val="0"/>
                <w:sz w:val="24"/>
                <w:lang w:bidi="hi-IN"/>
              </w:rPr>
              <w:t>；</w:t>
            </w:r>
          </w:p>
          <w:p w14:paraId="5F640198">
            <w:pPr>
              <w:spacing w:line="360" w:lineRule="auto"/>
              <w:ind w:firstLine="480" w:firstLineChars="200"/>
              <w:rPr>
                <w:color w:val="auto"/>
                <w:kern w:val="0"/>
                <w:sz w:val="24"/>
                <w:lang w:bidi="hi-IN"/>
              </w:rPr>
            </w:pPr>
            <w:r>
              <w:rPr>
                <w:color w:val="auto"/>
                <w:kern w:val="0"/>
                <w:sz w:val="24"/>
                <w:lang w:bidi="hi-IN"/>
              </w:rPr>
              <w:t>设计水量：1600m</w:t>
            </w:r>
            <w:r>
              <w:rPr>
                <w:color w:val="auto"/>
                <w:kern w:val="0"/>
                <w:sz w:val="24"/>
                <w:vertAlign w:val="superscript"/>
                <w:lang w:bidi="hi-IN"/>
              </w:rPr>
              <w:t>3</w:t>
            </w:r>
            <w:r>
              <w:rPr>
                <w:color w:val="auto"/>
                <w:kern w:val="0"/>
                <w:sz w:val="24"/>
                <w:lang w:bidi="hi-IN"/>
              </w:rPr>
              <w:t>/d</w:t>
            </w:r>
            <w:r>
              <w:rPr>
                <w:rFonts w:hint="eastAsia"/>
                <w:color w:val="auto"/>
                <w:kern w:val="0"/>
                <w:sz w:val="24"/>
                <w:lang w:bidi="hi-IN"/>
              </w:rPr>
              <w:t>，设置两组，每组处理</w:t>
            </w:r>
            <w:r>
              <w:rPr>
                <w:color w:val="auto"/>
                <w:kern w:val="0"/>
                <w:sz w:val="24"/>
                <w:lang w:bidi="hi-IN"/>
              </w:rPr>
              <w:t>1600</w:t>
            </w:r>
            <w:r>
              <w:rPr>
                <w:rFonts w:hint="eastAsia"/>
                <w:color w:val="auto"/>
                <w:kern w:val="0"/>
                <w:sz w:val="24"/>
                <w:lang w:bidi="hi-IN"/>
              </w:rPr>
              <w:t>m</w:t>
            </w:r>
            <w:r>
              <w:rPr>
                <w:rFonts w:hint="eastAsia"/>
                <w:color w:val="auto"/>
                <w:kern w:val="0"/>
                <w:sz w:val="24"/>
                <w:vertAlign w:val="superscript"/>
                <w:lang w:bidi="hi-IN"/>
              </w:rPr>
              <w:t>3</w:t>
            </w:r>
            <w:r>
              <w:rPr>
                <w:rFonts w:hint="eastAsia"/>
                <w:color w:val="auto"/>
                <w:kern w:val="0"/>
                <w:sz w:val="24"/>
                <w:lang w:bidi="hi-IN"/>
              </w:rPr>
              <w:t>/d，交替使用互为备用</w:t>
            </w:r>
            <w:r>
              <w:rPr>
                <w:color w:val="auto"/>
                <w:kern w:val="0"/>
                <w:sz w:val="24"/>
                <w:lang w:bidi="hi-IN"/>
              </w:rPr>
              <w:t>；</w:t>
            </w:r>
          </w:p>
          <w:p w14:paraId="462546A6">
            <w:pPr>
              <w:spacing w:line="360" w:lineRule="auto"/>
              <w:ind w:firstLine="480" w:firstLineChars="200"/>
              <w:rPr>
                <w:color w:val="auto"/>
                <w:kern w:val="0"/>
                <w:sz w:val="24"/>
                <w:lang w:bidi="hi-IN"/>
              </w:rPr>
            </w:pPr>
            <w:r>
              <w:rPr>
                <w:color w:val="auto"/>
                <w:kern w:val="0"/>
                <w:sz w:val="24"/>
                <w:lang w:bidi="hi-IN"/>
              </w:rPr>
              <w:t>工艺尺寸：</w:t>
            </w:r>
            <w:r>
              <w:rPr>
                <w:rFonts w:hint="eastAsia"/>
                <w:color w:val="auto"/>
                <w:sz w:val="24"/>
              </w:rPr>
              <w:t>1.1</w:t>
            </w:r>
            <w:r>
              <w:rPr>
                <w:color w:val="auto"/>
                <w:sz w:val="24"/>
              </w:rPr>
              <w:t>m×</w:t>
            </w:r>
            <w:r>
              <w:rPr>
                <w:rFonts w:hint="eastAsia"/>
                <w:color w:val="auto"/>
                <w:sz w:val="24"/>
              </w:rPr>
              <w:t>2.5</w:t>
            </w:r>
            <w:r>
              <w:rPr>
                <w:color w:val="auto"/>
                <w:sz w:val="24"/>
              </w:rPr>
              <w:t>m×</w:t>
            </w:r>
            <w:r>
              <w:rPr>
                <w:rFonts w:hint="eastAsia"/>
                <w:color w:val="auto"/>
                <w:sz w:val="24"/>
              </w:rPr>
              <w:t>4</w:t>
            </w:r>
            <w:r>
              <w:rPr>
                <w:color w:val="auto"/>
                <w:sz w:val="24"/>
              </w:rPr>
              <w:t>.0m×</w:t>
            </w:r>
            <w:r>
              <w:rPr>
                <w:rFonts w:hint="eastAsia"/>
                <w:color w:val="auto"/>
                <w:sz w:val="24"/>
              </w:rPr>
              <w:t>2</w:t>
            </w:r>
            <w:r>
              <w:rPr>
                <w:color w:val="auto"/>
                <w:kern w:val="0"/>
                <w:sz w:val="24"/>
                <w:lang w:bidi="hi-IN"/>
              </w:rPr>
              <w:t>；</w:t>
            </w:r>
          </w:p>
          <w:p w14:paraId="45E95D09">
            <w:pPr>
              <w:spacing w:line="360" w:lineRule="auto"/>
              <w:ind w:firstLine="480" w:firstLineChars="200"/>
              <w:rPr>
                <w:color w:val="auto"/>
                <w:kern w:val="0"/>
                <w:sz w:val="24"/>
                <w:lang w:bidi="hi-IN"/>
              </w:rPr>
            </w:pPr>
            <w:r>
              <w:rPr>
                <w:color w:val="auto"/>
                <w:kern w:val="0"/>
                <w:sz w:val="24"/>
                <w:lang w:bidi="hi-IN"/>
              </w:rPr>
              <w:t>主要设备：1、</w:t>
            </w:r>
            <w:r>
              <w:rPr>
                <w:rFonts w:hint="eastAsia"/>
                <w:color w:val="auto"/>
                <w:kern w:val="0"/>
                <w:sz w:val="24"/>
                <w:lang w:bidi="hi-IN"/>
              </w:rPr>
              <w:t>机械格栅，2台，304，GSHZ-1500</w:t>
            </w:r>
            <w:r>
              <w:rPr>
                <w:color w:val="auto"/>
                <w:kern w:val="0"/>
                <w:sz w:val="24"/>
                <w:lang w:bidi="hi-IN"/>
              </w:rPr>
              <w:t>×</w:t>
            </w:r>
            <w:r>
              <w:rPr>
                <w:rFonts w:hint="eastAsia"/>
                <w:color w:val="auto"/>
                <w:kern w:val="0"/>
                <w:sz w:val="24"/>
                <w:lang w:bidi="hi-IN"/>
              </w:rPr>
              <w:t>3000-3，栅隙3mm。</w:t>
            </w:r>
          </w:p>
          <w:p w14:paraId="2C07AB55">
            <w:pPr>
              <w:spacing w:line="360" w:lineRule="auto"/>
              <w:ind w:firstLine="482" w:firstLineChars="200"/>
              <w:rPr>
                <w:b/>
                <w:color w:val="auto"/>
                <w:kern w:val="0"/>
                <w:sz w:val="24"/>
                <w:lang w:bidi="hi-IN"/>
              </w:rPr>
            </w:pPr>
            <w:r>
              <w:rPr>
                <w:rFonts w:hint="eastAsia"/>
                <w:b/>
                <w:color w:val="auto"/>
                <w:sz w:val="24"/>
              </w:rPr>
              <w:t>（</w:t>
            </w:r>
            <w:r>
              <w:rPr>
                <w:b/>
                <w:color w:val="auto"/>
                <w:sz w:val="24"/>
              </w:rPr>
              <w:t>b</w:t>
            </w:r>
            <w:r>
              <w:rPr>
                <w:rFonts w:hint="eastAsia"/>
                <w:b/>
                <w:color w:val="auto"/>
                <w:sz w:val="24"/>
              </w:rPr>
              <w:t>）</w:t>
            </w:r>
            <w:r>
              <w:rPr>
                <w:rFonts w:hint="eastAsia"/>
                <w:b/>
                <w:color w:val="auto"/>
                <w:kern w:val="0"/>
                <w:sz w:val="24"/>
                <w:lang w:bidi="hi-IN"/>
              </w:rPr>
              <w:t>折流式沉淀池</w:t>
            </w:r>
          </w:p>
          <w:p w14:paraId="29F42412">
            <w:pPr>
              <w:spacing w:line="360" w:lineRule="auto"/>
              <w:ind w:firstLine="480" w:firstLineChars="200"/>
              <w:rPr>
                <w:color w:val="auto"/>
                <w:kern w:val="0"/>
                <w:sz w:val="24"/>
                <w:lang w:bidi="hi-IN"/>
              </w:rPr>
            </w:pPr>
            <w:r>
              <w:rPr>
                <w:color w:val="auto"/>
                <w:kern w:val="0"/>
                <w:sz w:val="24"/>
                <w:lang w:bidi="hi-IN"/>
              </w:rPr>
              <w:t>结构：地下式钢砼结构；</w:t>
            </w:r>
          </w:p>
          <w:p w14:paraId="4698AD15">
            <w:pPr>
              <w:spacing w:line="360" w:lineRule="auto"/>
              <w:ind w:firstLine="480" w:firstLineChars="200"/>
              <w:rPr>
                <w:color w:val="auto"/>
                <w:kern w:val="0"/>
                <w:sz w:val="24"/>
                <w:lang w:bidi="hi-IN"/>
              </w:rPr>
            </w:pPr>
            <w:r>
              <w:rPr>
                <w:color w:val="auto"/>
                <w:kern w:val="0"/>
                <w:sz w:val="24"/>
                <w:lang w:bidi="hi-IN"/>
              </w:rPr>
              <w:t>主要功能：投加PAC、PAM，进行混凝絮凝反应</w:t>
            </w:r>
            <w:r>
              <w:rPr>
                <w:rFonts w:hint="eastAsia"/>
                <w:color w:val="auto"/>
                <w:kern w:val="0"/>
                <w:sz w:val="24"/>
                <w:lang w:bidi="hi-IN"/>
              </w:rPr>
              <w:t>，将泥沙重力沉淀</w:t>
            </w:r>
            <w:r>
              <w:rPr>
                <w:color w:val="auto"/>
                <w:kern w:val="0"/>
                <w:sz w:val="24"/>
                <w:lang w:bidi="hi-IN"/>
              </w:rPr>
              <w:t>；</w:t>
            </w:r>
          </w:p>
          <w:p w14:paraId="42343279">
            <w:pPr>
              <w:spacing w:line="360" w:lineRule="auto"/>
              <w:ind w:firstLine="480" w:firstLineChars="200"/>
              <w:rPr>
                <w:color w:val="auto"/>
                <w:kern w:val="0"/>
                <w:sz w:val="24"/>
                <w:lang w:bidi="hi-IN"/>
              </w:rPr>
            </w:pPr>
            <w:r>
              <w:rPr>
                <w:color w:val="auto"/>
                <w:kern w:val="0"/>
                <w:sz w:val="24"/>
                <w:lang w:bidi="hi-IN"/>
              </w:rPr>
              <w:t>设计流量：1600m</w:t>
            </w:r>
            <w:r>
              <w:rPr>
                <w:color w:val="auto"/>
                <w:kern w:val="0"/>
                <w:sz w:val="24"/>
                <w:vertAlign w:val="superscript"/>
                <w:lang w:bidi="hi-IN"/>
              </w:rPr>
              <w:t>3</w:t>
            </w:r>
            <w:r>
              <w:rPr>
                <w:color w:val="auto"/>
                <w:kern w:val="0"/>
                <w:sz w:val="24"/>
                <w:lang w:bidi="hi-IN"/>
              </w:rPr>
              <w:t>/d（80m</w:t>
            </w:r>
            <w:r>
              <w:rPr>
                <w:color w:val="auto"/>
                <w:kern w:val="0"/>
                <w:sz w:val="24"/>
                <w:vertAlign w:val="superscript"/>
                <w:lang w:bidi="hi-IN"/>
              </w:rPr>
              <w:t>3</w:t>
            </w:r>
            <w:r>
              <w:rPr>
                <w:color w:val="auto"/>
                <w:kern w:val="0"/>
                <w:sz w:val="24"/>
                <w:lang w:bidi="hi-IN"/>
              </w:rPr>
              <w:t>/h）；</w:t>
            </w:r>
          </w:p>
          <w:p w14:paraId="674E99D9">
            <w:pPr>
              <w:spacing w:line="360" w:lineRule="auto"/>
              <w:ind w:firstLine="480" w:firstLineChars="200"/>
              <w:rPr>
                <w:color w:val="auto"/>
                <w:kern w:val="0"/>
                <w:sz w:val="24"/>
                <w:lang w:bidi="hi-IN"/>
              </w:rPr>
            </w:pPr>
            <w:r>
              <w:rPr>
                <w:color w:val="auto"/>
                <w:kern w:val="0"/>
                <w:sz w:val="24"/>
                <w:lang w:bidi="hi-IN"/>
              </w:rPr>
              <w:t>工艺尺寸：2.5m×17.4m×4.0m</w:t>
            </w:r>
            <w:r>
              <w:rPr>
                <w:rFonts w:hint="eastAsia"/>
                <w:color w:val="auto"/>
                <w:kern w:val="0"/>
                <w:sz w:val="24"/>
                <w:lang w:bidi="hi-IN"/>
              </w:rPr>
              <w:t>（搅拌区</w:t>
            </w:r>
            <w:r>
              <w:rPr>
                <w:color w:val="auto"/>
                <w:kern w:val="0"/>
                <w:sz w:val="24"/>
                <w:lang w:bidi="hi-IN"/>
              </w:rPr>
              <w:t>2.5m×2.5m×4</w:t>
            </w:r>
            <w:r>
              <w:rPr>
                <w:rFonts w:hint="eastAsia"/>
                <w:color w:val="auto"/>
                <w:kern w:val="0"/>
                <w:sz w:val="24"/>
                <w:lang w:bidi="hi-IN"/>
              </w:rPr>
              <w:t>.</w:t>
            </w:r>
            <w:r>
              <w:rPr>
                <w:color w:val="auto"/>
                <w:kern w:val="0"/>
                <w:sz w:val="24"/>
                <w:lang w:bidi="hi-IN"/>
              </w:rPr>
              <w:t>5m</w:t>
            </w:r>
            <w:r>
              <w:rPr>
                <w:rFonts w:hint="eastAsia"/>
                <w:color w:val="auto"/>
                <w:kern w:val="0"/>
                <w:sz w:val="24"/>
                <w:lang w:bidi="hi-IN"/>
              </w:rPr>
              <w:t>，沉淀区</w:t>
            </w:r>
            <w:r>
              <w:rPr>
                <w:color w:val="auto"/>
                <w:kern w:val="0"/>
                <w:sz w:val="24"/>
                <w:lang w:bidi="hi-IN"/>
              </w:rPr>
              <w:t>2.5</w:t>
            </w:r>
            <w:r>
              <w:rPr>
                <w:rFonts w:hint="eastAsia"/>
                <w:color w:val="auto"/>
                <w:kern w:val="0"/>
                <w:sz w:val="24"/>
                <w:lang w:bidi="hi-IN"/>
              </w:rPr>
              <w:t>m</w:t>
            </w:r>
            <w:r>
              <w:rPr>
                <w:color w:val="auto"/>
                <w:kern w:val="0"/>
                <w:sz w:val="24"/>
                <w:lang w:bidi="hi-IN"/>
              </w:rPr>
              <w:t>×14.6</w:t>
            </w:r>
            <w:r>
              <w:rPr>
                <w:rFonts w:hint="eastAsia"/>
                <w:color w:val="auto"/>
                <w:kern w:val="0"/>
                <w:sz w:val="24"/>
                <w:lang w:bidi="hi-IN"/>
              </w:rPr>
              <w:t>m</w:t>
            </w:r>
            <w:r>
              <w:rPr>
                <w:color w:val="auto"/>
                <w:kern w:val="0"/>
                <w:sz w:val="24"/>
                <w:lang w:bidi="hi-IN"/>
              </w:rPr>
              <w:t>×4.5</w:t>
            </w:r>
            <w:r>
              <w:rPr>
                <w:rFonts w:hint="eastAsia"/>
                <w:color w:val="auto"/>
                <w:kern w:val="0"/>
                <w:sz w:val="24"/>
                <w:lang w:bidi="hi-IN"/>
              </w:rPr>
              <w:t>m）</w:t>
            </w:r>
            <w:r>
              <w:rPr>
                <w:color w:val="auto"/>
                <w:kern w:val="0"/>
                <w:sz w:val="24"/>
                <w:lang w:bidi="hi-IN"/>
              </w:rPr>
              <w:t>；</w:t>
            </w:r>
          </w:p>
          <w:p w14:paraId="2E323432">
            <w:pPr>
              <w:spacing w:line="360" w:lineRule="auto"/>
              <w:ind w:firstLine="480" w:firstLineChars="200"/>
              <w:rPr>
                <w:color w:val="auto"/>
                <w:kern w:val="0"/>
                <w:sz w:val="24"/>
                <w:lang w:bidi="hi-IN"/>
              </w:rPr>
            </w:pPr>
            <w:r>
              <w:rPr>
                <w:rFonts w:hint="eastAsia"/>
                <w:color w:val="auto"/>
                <w:kern w:val="0"/>
                <w:sz w:val="24"/>
                <w:lang w:bidi="hi-IN"/>
              </w:rPr>
              <w:t>HRT：搅拌区</w:t>
            </w:r>
            <w:r>
              <w:rPr>
                <w:color w:val="auto"/>
                <w:kern w:val="0"/>
                <w:sz w:val="24"/>
                <w:lang w:bidi="hi-IN"/>
              </w:rPr>
              <w:t>2</w:t>
            </w:r>
            <w:r>
              <w:rPr>
                <w:rFonts w:hint="eastAsia"/>
                <w:color w:val="auto"/>
                <w:kern w:val="0"/>
                <w:sz w:val="24"/>
                <w:lang w:bidi="hi-IN"/>
              </w:rPr>
              <w:t>0min，沉淀区2h；</w:t>
            </w:r>
          </w:p>
          <w:p w14:paraId="5848E24E">
            <w:pPr>
              <w:spacing w:line="360" w:lineRule="auto"/>
              <w:ind w:firstLine="480" w:firstLineChars="200"/>
              <w:rPr>
                <w:color w:val="auto"/>
                <w:kern w:val="0"/>
                <w:sz w:val="24"/>
                <w:lang w:bidi="hi-IN"/>
              </w:rPr>
            </w:pPr>
            <w:r>
              <w:rPr>
                <w:color w:val="auto"/>
                <w:kern w:val="0"/>
                <w:sz w:val="24"/>
                <w:lang w:bidi="hi-IN"/>
              </w:rPr>
              <w:t>配套设备：1、机械搅拌机，</w:t>
            </w:r>
            <w:r>
              <w:rPr>
                <w:rFonts w:hint="eastAsia"/>
                <w:color w:val="auto"/>
                <w:kern w:val="0"/>
                <w:sz w:val="24"/>
                <w:lang w:bidi="hi-IN"/>
              </w:rPr>
              <w:t>1</w:t>
            </w:r>
            <w:r>
              <w:rPr>
                <w:color w:val="auto"/>
                <w:kern w:val="0"/>
                <w:sz w:val="24"/>
                <w:lang w:bidi="hi-IN"/>
              </w:rPr>
              <w:t>台，N=3.0kW，碳钢防腐；</w:t>
            </w:r>
          </w:p>
          <w:p w14:paraId="56982C58">
            <w:pPr>
              <w:spacing w:line="360" w:lineRule="auto"/>
              <w:ind w:firstLine="1680" w:firstLineChars="700"/>
              <w:rPr>
                <w:color w:val="auto"/>
                <w:kern w:val="0"/>
                <w:sz w:val="24"/>
                <w:lang w:bidi="hi-IN"/>
              </w:rPr>
            </w:pPr>
            <w:r>
              <w:rPr>
                <w:rFonts w:hint="eastAsia"/>
                <w:color w:val="auto"/>
                <w:kern w:val="0"/>
                <w:sz w:val="24"/>
                <w:lang w:eastAsia="zh-CN" w:bidi="hi-IN"/>
              </w:rPr>
              <w:t>2.</w:t>
            </w:r>
            <w:r>
              <w:rPr>
                <w:rFonts w:hint="eastAsia"/>
                <w:color w:val="auto"/>
                <w:kern w:val="0"/>
                <w:sz w:val="24"/>
                <w:lang w:bidi="hi-IN"/>
              </w:rPr>
              <w:t>折流挡板，2块，PP，尺寸2.5m</w:t>
            </w:r>
            <w:r>
              <w:rPr>
                <w:color w:val="auto"/>
                <w:kern w:val="0"/>
                <w:sz w:val="24"/>
                <w:lang w:bidi="hi-IN"/>
              </w:rPr>
              <w:t>×</w:t>
            </w:r>
            <w:r>
              <w:rPr>
                <w:rFonts w:hint="eastAsia"/>
                <w:color w:val="auto"/>
                <w:kern w:val="0"/>
                <w:sz w:val="24"/>
                <w:lang w:bidi="hi-IN"/>
              </w:rPr>
              <w:t>3.</w:t>
            </w:r>
            <w:r>
              <w:rPr>
                <w:color w:val="auto"/>
                <w:kern w:val="0"/>
                <w:sz w:val="24"/>
                <w:lang w:bidi="hi-IN"/>
              </w:rPr>
              <w:t>5m</w:t>
            </w:r>
            <w:r>
              <w:rPr>
                <w:rFonts w:hint="eastAsia"/>
                <w:color w:val="auto"/>
                <w:kern w:val="0"/>
                <w:sz w:val="24"/>
                <w:lang w:bidi="hi-IN"/>
              </w:rPr>
              <w:t>；</w:t>
            </w:r>
          </w:p>
          <w:p w14:paraId="56BA7DBE">
            <w:pPr>
              <w:spacing w:line="360" w:lineRule="auto"/>
              <w:ind w:firstLine="1680" w:firstLineChars="700"/>
              <w:rPr>
                <w:color w:val="auto"/>
                <w:kern w:val="0"/>
                <w:sz w:val="24"/>
                <w:lang w:bidi="hi-IN"/>
              </w:rPr>
            </w:pPr>
            <w:r>
              <w:rPr>
                <w:rFonts w:hint="eastAsia"/>
                <w:color w:val="auto"/>
                <w:kern w:val="0"/>
                <w:sz w:val="24"/>
                <w:lang w:eastAsia="zh-CN" w:bidi="hi-IN"/>
              </w:rPr>
              <w:t>3.</w:t>
            </w:r>
            <w:r>
              <w:rPr>
                <w:rFonts w:hint="eastAsia"/>
                <w:color w:val="auto"/>
                <w:kern w:val="0"/>
                <w:sz w:val="24"/>
                <w:lang w:bidi="hi-IN"/>
              </w:rPr>
              <w:t>PAC</w:t>
            </w:r>
            <w:r>
              <w:rPr>
                <w:color w:val="auto"/>
                <w:kern w:val="0"/>
                <w:sz w:val="24"/>
                <w:lang w:bidi="hi-IN"/>
              </w:rPr>
              <w:t>加药装置，</w:t>
            </w:r>
            <w:r>
              <w:rPr>
                <w:rFonts w:hint="eastAsia"/>
                <w:color w:val="auto"/>
                <w:kern w:val="0"/>
                <w:sz w:val="24"/>
                <w:lang w:bidi="hi-IN"/>
              </w:rPr>
              <w:t>1</w:t>
            </w:r>
            <w:r>
              <w:rPr>
                <w:color w:val="auto"/>
                <w:kern w:val="0"/>
                <w:sz w:val="24"/>
                <w:lang w:bidi="hi-IN"/>
              </w:rPr>
              <w:t>套，含</w:t>
            </w:r>
            <w:r>
              <w:rPr>
                <w:rFonts w:hint="eastAsia"/>
                <w:color w:val="auto"/>
                <w:kern w:val="0"/>
                <w:sz w:val="24"/>
                <w:lang w:bidi="hi-IN"/>
              </w:rPr>
              <w:t>20m</w:t>
            </w:r>
            <w:r>
              <w:rPr>
                <w:rFonts w:hint="eastAsia"/>
                <w:color w:val="auto"/>
                <w:kern w:val="0"/>
                <w:sz w:val="24"/>
                <w:vertAlign w:val="superscript"/>
                <w:lang w:bidi="hi-IN"/>
              </w:rPr>
              <w:t>3</w:t>
            </w:r>
            <w:r>
              <w:rPr>
                <w:rFonts w:hint="eastAsia"/>
                <w:color w:val="auto"/>
                <w:kern w:val="0"/>
                <w:sz w:val="24"/>
                <w:lang w:bidi="hi-IN"/>
              </w:rPr>
              <w:t>储桶1个、空气搅拌装置1套、</w:t>
            </w:r>
            <w:r>
              <w:rPr>
                <w:color w:val="auto"/>
                <w:kern w:val="0"/>
                <w:sz w:val="24"/>
                <w:lang w:bidi="hi-IN"/>
              </w:rPr>
              <w:t>240L/h隔膜式计量泵（PVC）</w:t>
            </w:r>
            <w:r>
              <w:rPr>
                <w:rFonts w:hint="eastAsia"/>
                <w:color w:val="auto"/>
                <w:kern w:val="0"/>
                <w:sz w:val="24"/>
                <w:lang w:bidi="hi-IN"/>
              </w:rPr>
              <w:t>1台</w:t>
            </w:r>
            <w:r>
              <w:rPr>
                <w:color w:val="auto"/>
                <w:kern w:val="0"/>
                <w:sz w:val="24"/>
                <w:lang w:bidi="hi-IN"/>
              </w:rPr>
              <w:t>；</w:t>
            </w:r>
          </w:p>
          <w:p w14:paraId="30652C25">
            <w:pPr>
              <w:spacing w:line="360" w:lineRule="auto"/>
              <w:ind w:firstLine="1680" w:firstLineChars="700"/>
              <w:rPr>
                <w:color w:val="auto"/>
                <w:kern w:val="0"/>
                <w:sz w:val="24"/>
                <w:lang w:bidi="hi-IN"/>
              </w:rPr>
            </w:pPr>
            <w:r>
              <w:rPr>
                <w:rFonts w:hint="eastAsia"/>
                <w:color w:val="auto"/>
                <w:kern w:val="0"/>
                <w:sz w:val="24"/>
                <w:lang w:eastAsia="zh-CN" w:bidi="hi-IN"/>
              </w:rPr>
              <w:t>4.</w:t>
            </w:r>
            <w:r>
              <w:rPr>
                <w:rFonts w:hint="eastAsia"/>
                <w:color w:val="auto"/>
                <w:kern w:val="0"/>
                <w:sz w:val="24"/>
                <w:lang w:bidi="hi-IN"/>
              </w:rPr>
              <w:t>PAM</w:t>
            </w:r>
            <w:r>
              <w:rPr>
                <w:color w:val="auto"/>
                <w:kern w:val="0"/>
                <w:sz w:val="24"/>
                <w:lang w:bidi="hi-IN"/>
              </w:rPr>
              <w:t>加药装置，</w:t>
            </w:r>
            <w:r>
              <w:rPr>
                <w:rFonts w:hint="eastAsia"/>
                <w:color w:val="auto"/>
                <w:kern w:val="0"/>
                <w:sz w:val="24"/>
                <w:lang w:bidi="hi-IN"/>
              </w:rPr>
              <w:t>1</w:t>
            </w:r>
            <w:r>
              <w:rPr>
                <w:color w:val="auto"/>
                <w:kern w:val="0"/>
                <w:sz w:val="24"/>
                <w:lang w:bidi="hi-IN"/>
              </w:rPr>
              <w:t>套，含</w:t>
            </w:r>
            <w:r>
              <w:rPr>
                <w:rFonts w:hint="eastAsia"/>
                <w:color w:val="auto"/>
                <w:kern w:val="0"/>
                <w:sz w:val="24"/>
                <w:lang w:bidi="hi-IN"/>
              </w:rPr>
              <w:t>2m</w:t>
            </w:r>
            <w:r>
              <w:rPr>
                <w:rFonts w:hint="eastAsia"/>
                <w:color w:val="auto"/>
                <w:kern w:val="0"/>
                <w:sz w:val="24"/>
                <w:vertAlign w:val="superscript"/>
                <w:lang w:bidi="hi-IN"/>
              </w:rPr>
              <w:t>3</w:t>
            </w:r>
            <w:r>
              <w:rPr>
                <w:rFonts w:hint="eastAsia"/>
                <w:color w:val="auto"/>
                <w:kern w:val="0"/>
                <w:sz w:val="24"/>
                <w:lang w:bidi="hi-IN"/>
              </w:rPr>
              <w:t>加药桶1个、搅拌机1台、16</w:t>
            </w:r>
            <w:r>
              <w:rPr>
                <w:color w:val="auto"/>
                <w:kern w:val="0"/>
                <w:sz w:val="24"/>
                <w:lang w:bidi="hi-IN"/>
              </w:rPr>
              <w:t>0L/h隔膜式计量泵（PVC）</w:t>
            </w:r>
            <w:r>
              <w:rPr>
                <w:rFonts w:hint="eastAsia"/>
                <w:color w:val="auto"/>
                <w:kern w:val="0"/>
                <w:sz w:val="24"/>
                <w:lang w:bidi="hi-IN"/>
              </w:rPr>
              <w:t>1台</w:t>
            </w:r>
            <w:r>
              <w:rPr>
                <w:color w:val="auto"/>
                <w:kern w:val="0"/>
                <w:sz w:val="24"/>
                <w:lang w:bidi="hi-IN"/>
              </w:rPr>
              <w:t>；</w:t>
            </w:r>
          </w:p>
          <w:p w14:paraId="31E7B414">
            <w:pPr>
              <w:spacing w:line="360" w:lineRule="auto"/>
              <w:ind w:firstLine="1680" w:firstLineChars="700"/>
              <w:rPr>
                <w:color w:val="auto"/>
                <w:kern w:val="0"/>
                <w:sz w:val="24"/>
                <w:lang w:bidi="hi-IN"/>
              </w:rPr>
            </w:pPr>
            <w:r>
              <w:rPr>
                <w:rFonts w:hint="eastAsia"/>
                <w:color w:val="auto"/>
                <w:kern w:val="0"/>
                <w:sz w:val="24"/>
                <w:lang w:eastAsia="zh-CN" w:bidi="hi-IN"/>
              </w:rPr>
              <w:t>5.</w:t>
            </w:r>
            <w:r>
              <w:rPr>
                <w:rFonts w:hint="eastAsia"/>
                <w:color w:val="auto"/>
                <w:kern w:val="0"/>
                <w:sz w:val="24"/>
                <w:lang w:bidi="hi-IN"/>
              </w:rPr>
              <w:t>污泥泵，2台，自吸泵，Q=10m</w:t>
            </w:r>
            <w:r>
              <w:rPr>
                <w:rFonts w:hint="eastAsia"/>
                <w:color w:val="auto"/>
                <w:kern w:val="0"/>
                <w:sz w:val="24"/>
                <w:vertAlign w:val="superscript"/>
                <w:lang w:bidi="hi-IN"/>
              </w:rPr>
              <w:t>3</w:t>
            </w:r>
            <w:r>
              <w:rPr>
                <w:rFonts w:hint="eastAsia"/>
                <w:color w:val="auto"/>
                <w:kern w:val="0"/>
                <w:sz w:val="24"/>
                <w:lang w:bidi="hi-IN"/>
              </w:rPr>
              <w:t>/h，H=10m，N=1.5kW。</w:t>
            </w:r>
          </w:p>
          <w:p w14:paraId="2936F5AF">
            <w:pPr>
              <w:spacing w:line="360" w:lineRule="auto"/>
              <w:ind w:firstLine="482" w:firstLineChars="200"/>
              <w:rPr>
                <w:b/>
                <w:color w:val="auto"/>
                <w:kern w:val="0"/>
                <w:sz w:val="24"/>
                <w:lang w:bidi="hi-IN"/>
              </w:rPr>
            </w:pPr>
            <w:r>
              <w:rPr>
                <w:rFonts w:hint="eastAsia"/>
                <w:b/>
                <w:color w:val="auto"/>
                <w:sz w:val="24"/>
              </w:rPr>
              <w:t>（</w:t>
            </w:r>
            <w:r>
              <w:rPr>
                <w:b/>
                <w:color w:val="auto"/>
                <w:sz w:val="24"/>
              </w:rPr>
              <w:t>c</w:t>
            </w:r>
            <w:r>
              <w:rPr>
                <w:rFonts w:hint="eastAsia"/>
                <w:b/>
                <w:color w:val="auto"/>
                <w:sz w:val="24"/>
              </w:rPr>
              <w:t>）</w:t>
            </w:r>
            <w:r>
              <w:rPr>
                <w:rFonts w:hint="eastAsia"/>
                <w:b/>
                <w:color w:val="auto"/>
                <w:kern w:val="0"/>
                <w:sz w:val="24"/>
                <w:lang w:bidi="hi-IN"/>
              </w:rPr>
              <w:t>调节池</w:t>
            </w:r>
          </w:p>
          <w:p w14:paraId="2FA3E855">
            <w:pPr>
              <w:spacing w:line="360" w:lineRule="auto"/>
              <w:ind w:firstLine="480" w:firstLineChars="200"/>
              <w:rPr>
                <w:color w:val="auto"/>
                <w:kern w:val="0"/>
                <w:sz w:val="24"/>
                <w:lang w:bidi="hi-IN"/>
              </w:rPr>
            </w:pPr>
            <w:r>
              <w:rPr>
                <w:color w:val="auto"/>
                <w:kern w:val="0"/>
                <w:sz w:val="24"/>
                <w:lang w:bidi="hi-IN"/>
              </w:rPr>
              <w:t>结构：地下式钢砼结构；</w:t>
            </w:r>
          </w:p>
          <w:p w14:paraId="138C0F25">
            <w:pPr>
              <w:spacing w:line="360" w:lineRule="auto"/>
              <w:ind w:firstLine="480" w:firstLineChars="200"/>
              <w:rPr>
                <w:color w:val="auto"/>
                <w:kern w:val="0"/>
                <w:sz w:val="24"/>
                <w:lang w:bidi="hi-IN"/>
              </w:rPr>
            </w:pPr>
            <w:r>
              <w:rPr>
                <w:color w:val="auto"/>
                <w:kern w:val="0"/>
                <w:sz w:val="24"/>
                <w:lang w:bidi="hi-IN"/>
              </w:rPr>
              <w:t>主要功能：</w:t>
            </w:r>
            <w:r>
              <w:rPr>
                <w:rFonts w:hint="eastAsia"/>
                <w:color w:val="auto"/>
                <w:kern w:val="0"/>
                <w:sz w:val="24"/>
                <w:lang w:bidi="hi-IN"/>
              </w:rPr>
              <w:t>收集各股废水，均衡水量水质</w:t>
            </w:r>
            <w:r>
              <w:rPr>
                <w:color w:val="auto"/>
                <w:kern w:val="0"/>
                <w:sz w:val="24"/>
                <w:lang w:bidi="hi-IN"/>
              </w:rPr>
              <w:t>；</w:t>
            </w:r>
          </w:p>
          <w:p w14:paraId="152E8F1C">
            <w:pPr>
              <w:spacing w:line="360" w:lineRule="auto"/>
              <w:ind w:firstLine="480" w:firstLineChars="200"/>
              <w:rPr>
                <w:color w:val="auto"/>
                <w:kern w:val="0"/>
                <w:sz w:val="24"/>
                <w:lang w:bidi="hi-IN"/>
              </w:rPr>
            </w:pPr>
            <w:r>
              <w:rPr>
                <w:color w:val="auto"/>
                <w:kern w:val="0"/>
                <w:sz w:val="24"/>
                <w:lang w:bidi="hi-IN"/>
              </w:rPr>
              <w:t>设计水量：</w:t>
            </w:r>
            <w:r>
              <w:rPr>
                <w:rFonts w:hint="eastAsia"/>
                <w:color w:val="auto"/>
                <w:kern w:val="0"/>
                <w:sz w:val="24"/>
                <w:lang w:bidi="hi-IN"/>
              </w:rPr>
              <w:t>1600</w:t>
            </w:r>
            <w:r>
              <w:rPr>
                <w:color w:val="auto"/>
                <w:kern w:val="0"/>
                <w:sz w:val="24"/>
                <w:lang w:bidi="hi-IN"/>
              </w:rPr>
              <w:t>m</w:t>
            </w:r>
            <w:r>
              <w:rPr>
                <w:color w:val="auto"/>
                <w:kern w:val="0"/>
                <w:sz w:val="24"/>
                <w:vertAlign w:val="superscript"/>
                <w:lang w:bidi="hi-IN"/>
              </w:rPr>
              <w:t>3</w:t>
            </w:r>
            <w:r>
              <w:rPr>
                <w:color w:val="auto"/>
                <w:kern w:val="0"/>
                <w:sz w:val="24"/>
                <w:lang w:bidi="hi-IN"/>
              </w:rPr>
              <w:t>/d（</w:t>
            </w:r>
            <w:r>
              <w:rPr>
                <w:rFonts w:hint="eastAsia"/>
                <w:color w:val="auto"/>
                <w:kern w:val="0"/>
                <w:sz w:val="24"/>
                <w:lang w:bidi="hi-IN"/>
              </w:rPr>
              <w:t>80</w:t>
            </w:r>
            <w:r>
              <w:rPr>
                <w:color w:val="auto"/>
                <w:kern w:val="0"/>
                <w:sz w:val="24"/>
                <w:lang w:bidi="hi-IN"/>
              </w:rPr>
              <w:t>m</w:t>
            </w:r>
            <w:r>
              <w:rPr>
                <w:color w:val="auto"/>
                <w:kern w:val="0"/>
                <w:sz w:val="24"/>
                <w:vertAlign w:val="superscript"/>
                <w:lang w:bidi="hi-IN"/>
              </w:rPr>
              <w:t>3</w:t>
            </w:r>
            <w:r>
              <w:rPr>
                <w:color w:val="auto"/>
                <w:kern w:val="0"/>
                <w:sz w:val="24"/>
                <w:lang w:bidi="hi-IN"/>
              </w:rPr>
              <w:t>/h）；</w:t>
            </w:r>
          </w:p>
          <w:p w14:paraId="1C1EAC6E">
            <w:pPr>
              <w:spacing w:line="360" w:lineRule="auto"/>
              <w:ind w:firstLine="480" w:firstLineChars="200"/>
              <w:rPr>
                <w:color w:val="auto"/>
                <w:kern w:val="0"/>
                <w:sz w:val="24"/>
                <w:lang w:bidi="hi-IN"/>
              </w:rPr>
            </w:pPr>
            <w:r>
              <w:rPr>
                <w:color w:val="auto"/>
                <w:kern w:val="0"/>
                <w:sz w:val="24"/>
                <w:lang w:bidi="hi-IN"/>
              </w:rPr>
              <w:t>工艺尺寸：</w:t>
            </w:r>
            <w:r>
              <w:rPr>
                <w:rFonts w:hint="eastAsia"/>
                <w:color w:val="auto"/>
                <w:kern w:val="0"/>
                <w:sz w:val="24"/>
                <w:lang w:bidi="hi-IN"/>
              </w:rPr>
              <w:t>20.2</w:t>
            </w:r>
            <w:r>
              <w:rPr>
                <w:color w:val="auto"/>
                <w:kern w:val="0"/>
                <w:sz w:val="24"/>
                <w:lang w:bidi="hi-IN"/>
              </w:rPr>
              <w:t>m×</w:t>
            </w:r>
            <w:r>
              <w:rPr>
                <w:rFonts w:hint="eastAsia"/>
                <w:color w:val="auto"/>
                <w:kern w:val="0"/>
                <w:sz w:val="24"/>
                <w:lang w:bidi="hi-IN"/>
              </w:rPr>
              <w:t>7.0</w:t>
            </w:r>
            <w:r>
              <w:rPr>
                <w:color w:val="auto"/>
                <w:kern w:val="0"/>
                <w:sz w:val="24"/>
                <w:lang w:bidi="hi-IN"/>
              </w:rPr>
              <w:t>m×</w:t>
            </w:r>
            <w:r>
              <w:rPr>
                <w:rFonts w:hint="eastAsia"/>
                <w:color w:val="auto"/>
                <w:kern w:val="0"/>
                <w:sz w:val="24"/>
                <w:lang w:bidi="hi-IN"/>
              </w:rPr>
              <w:t>4</w:t>
            </w:r>
            <w:r>
              <w:rPr>
                <w:color w:val="auto"/>
                <w:kern w:val="0"/>
                <w:sz w:val="24"/>
                <w:lang w:bidi="hi-IN"/>
              </w:rPr>
              <w:t>.</w:t>
            </w:r>
            <w:r>
              <w:rPr>
                <w:rFonts w:hint="eastAsia"/>
                <w:color w:val="auto"/>
                <w:kern w:val="0"/>
                <w:sz w:val="24"/>
                <w:lang w:bidi="hi-IN"/>
              </w:rPr>
              <w:t>5</w:t>
            </w:r>
            <w:r>
              <w:rPr>
                <w:color w:val="auto"/>
                <w:kern w:val="0"/>
                <w:sz w:val="24"/>
                <w:lang w:bidi="hi-IN"/>
              </w:rPr>
              <w:t>m；</w:t>
            </w:r>
          </w:p>
          <w:p w14:paraId="203B195C">
            <w:pPr>
              <w:spacing w:line="360" w:lineRule="auto"/>
              <w:ind w:firstLine="480" w:firstLineChars="200"/>
              <w:rPr>
                <w:color w:val="auto"/>
                <w:kern w:val="0"/>
                <w:sz w:val="24"/>
                <w:lang w:bidi="hi-IN"/>
              </w:rPr>
            </w:pPr>
            <w:r>
              <w:rPr>
                <w:color w:val="auto"/>
                <w:kern w:val="0"/>
                <w:sz w:val="24"/>
                <w:lang w:bidi="hi-IN"/>
              </w:rPr>
              <w:t>有效容积：</w:t>
            </w:r>
            <w:r>
              <w:rPr>
                <w:rFonts w:hint="eastAsia"/>
                <w:color w:val="auto"/>
                <w:kern w:val="0"/>
                <w:sz w:val="24"/>
                <w:lang w:bidi="hi-IN"/>
              </w:rPr>
              <w:t>608</w:t>
            </w:r>
            <w:r>
              <w:rPr>
                <w:color w:val="auto"/>
                <w:kern w:val="0"/>
                <w:sz w:val="24"/>
                <w:lang w:bidi="hi-IN"/>
              </w:rPr>
              <w:t>m</w:t>
            </w:r>
            <w:r>
              <w:rPr>
                <w:color w:val="auto"/>
                <w:kern w:val="0"/>
                <w:sz w:val="24"/>
                <w:vertAlign w:val="superscript"/>
                <w:lang w:bidi="hi-IN"/>
              </w:rPr>
              <w:t>3</w:t>
            </w:r>
            <w:r>
              <w:rPr>
                <w:color w:val="auto"/>
                <w:kern w:val="0"/>
                <w:sz w:val="24"/>
                <w:lang w:bidi="hi-IN"/>
              </w:rPr>
              <w:t>；</w:t>
            </w:r>
          </w:p>
          <w:p w14:paraId="1AB2B265">
            <w:pPr>
              <w:spacing w:line="360" w:lineRule="auto"/>
              <w:ind w:firstLine="480" w:firstLineChars="200"/>
              <w:rPr>
                <w:color w:val="auto"/>
                <w:kern w:val="0"/>
                <w:sz w:val="24"/>
                <w:lang w:bidi="hi-IN"/>
              </w:rPr>
            </w:pPr>
            <w:r>
              <w:rPr>
                <w:color w:val="auto"/>
                <w:kern w:val="0"/>
                <w:sz w:val="24"/>
                <w:lang w:bidi="hi-IN"/>
              </w:rPr>
              <w:t>有效水深：</w:t>
            </w:r>
            <w:r>
              <w:rPr>
                <w:rFonts w:hint="eastAsia"/>
                <w:color w:val="auto"/>
                <w:kern w:val="0"/>
                <w:sz w:val="24"/>
                <w:lang w:bidi="hi-IN"/>
              </w:rPr>
              <w:t>4.2</w:t>
            </w:r>
            <w:r>
              <w:rPr>
                <w:color w:val="auto"/>
                <w:kern w:val="0"/>
                <w:sz w:val="24"/>
                <w:lang w:bidi="hi-IN"/>
              </w:rPr>
              <w:t>m；</w:t>
            </w:r>
          </w:p>
          <w:p w14:paraId="0B398818">
            <w:pPr>
              <w:spacing w:line="360" w:lineRule="auto"/>
              <w:ind w:firstLine="480" w:firstLineChars="200"/>
              <w:rPr>
                <w:color w:val="auto"/>
                <w:kern w:val="0"/>
                <w:sz w:val="24"/>
                <w:lang w:bidi="hi-IN"/>
              </w:rPr>
            </w:pPr>
            <w:r>
              <w:rPr>
                <w:color w:val="auto"/>
                <w:kern w:val="0"/>
                <w:sz w:val="24"/>
                <w:lang w:bidi="hi-IN"/>
              </w:rPr>
              <w:t>HRT</w:t>
            </w:r>
            <w:r>
              <w:rPr>
                <w:rFonts w:hint="eastAsia"/>
                <w:color w:val="auto"/>
                <w:kern w:val="0"/>
                <w:sz w:val="24"/>
                <w:lang w:eastAsia="zh-CN" w:bidi="hi-IN"/>
              </w:rPr>
              <w:t>:</w:t>
            </w:r>
            <w:r>
              <w:rPr>
                <w:rFonts w:hint="eastAsia"/>
                <w:color w:val="auto"/>
                <w:kern w:val="0"/>
                <w:sz w:val="24"/>
                <w:lang w:bidi="hi-IN"/>
              </w:rPr>
              <w:t>7.6</w:t>
            </w:r>
            <w:r>
              <w:rPr>
                <w:color w:val="auto"/>
                <w:kern w:val="0"/>
                <w:sz w:val="24"/>
                <w:lang w:bidi="hi-IN"/>
              </w:rPr>
              <w:t>h</w:t>
            </w:r>
            <w:r>
              <w:rPr>
                <w:rFonts w:hint="eastAsia"/>
                <w:color w:val="auto"/>
                <w:kern w:val="0"/>
                <w:sz w:val="24"/>
                <w:lang w:eastAsia="zh-CN" w:bidi="hi-IN"/>
              </w:rPr>
              <w:t>;</w:t>
            </w:r>
          </w:p>
          <w:p w14:paraId="1BE291E7">
            <w:pPr>
              <w:spacing w:line="360" w:lineRule="auto"/>
              <w:ind w:firstLine="480" w:firstLineChars="200"/>
              <w:rPr>
                <w:color w:val="auto"/>
                <w:kern w:val="0"/>
                <w:sz w:val="24"/>
                <w:lang w:bidi="hi-IN"/>
              </w:rPr>
            </w:pPr>
            <w:r>
              <w:rPr>
                <w:color w:val="auto"/>
                <w:kern w:val="0"/>
                <w:sz w:val="24"/>
                <w:lang w:bidi="hi-IN"/>
              </w:rPr>
              <w:t>主要设备：</w:t>
            </w:r>
            <w:r>
              <w:rPr>
                <w:rFonts w:hint="eastAsia"/>
                <w:color w:val="auto"/>
                <w:kern w:val="0"/>
                <w:sz w:val="24"/>
                <w:lang w:bidi="hi-IN"/>
              </w:rPr>
              <w:t>1、</w:t>
            </w:r>
            <w:r>
              <w:rPr>
                <w:color w:val="auto"/>
                <w:kern w:val="0"/>
                <w:sz w:val="24"/>
                <w:lang w:bidi="hi-IN"/>
              </w:rPr>
              <w:t>液下推流搅拌机，2台，304，N=</w:t>
            </w:r>
            <w:r>
              <w:rPr>
                <w:rFonts w:hint="eastAsia"/>
                <w:color w:val="auto"/>
                <w:kern w:val="0"/>
                <w:sz w:val="24"/>
                <w:lang w:bidi="hi-IN"/>
              </w:rPr>
              <w:t>5.5</w:t>
            </w:r>
            <w:r>
              <w:rPr>
                <w:color w:val="auto"/>
                <w:kern w:val="0"/>
                <w:sz w:val="24"/>
                <w:lang w:bidi="hi-IN"/>
              </w:rPr>
              <w:t>kW；</w:t>
            </w:r>
          </w:p>
          <w:p w14:paraId="1A5F5EA9">
            <w:pPr>
              <w:spacing w:line="360" w:lineRule="auto"/>
              <w:ind w:firstLine="1680" w:firstLineChars="700"/>
              <w:rPr>
                <w:color w:val="auto"/>
                <w:kern w:val="0"/>
                <w:sz w:val="24"/>
                <w:lang w:bidi="hi-IN"/>
              </w:rPr>
            </w:pPr>
            <w:r>
              <w:rPr>
                <w:rFonts w:hint="eastAsia"/>
                <w:color w:val="auto"/>
                <w:kern w:val="0"/>
                <w:sz w:val="24"/>
                <w:lang w:eastAsia="zh-CN" w:bidi="hi-IN"/>
              </w:rPr>
              <w:t>2.</w:t>
            </w:r>
            <w:r>
              <w:rPr>
                <w:color w:val="auto"/>
                <w:kern w:val="0"/>
                <w:sz w:val="24"/>
                <w:lang w:bidi="hi-IN"/>
              </w:rPr>
              <w:t>提升泵：304，潜污泵，Q=</w:t>
            </w:r>
            <w:r>
              <w:rPr>
                <w:rFonts w:hint="eastAsia"/>
                <w:color w:val="auto"/>
                <w:kern w:val="0"/>
                <w:sz w:val="24"/>
                <w:lang w:bidi="hi-IN"/>
              </w:rPr>
              <w:t>100</w:t>
            </w:r>
            <w:r>
              <w:rPr>
                <w:color w:val="auto"/>
                <w:kern w:val="0"/>
                <w:sz w:val="24"/>
                <w:lang w:bidi="hi-IN"/>
              </w:rPr>
              <w:t>m</w:t>
            </w:r>
            <w:r>
              <w:rPr>
                <w:color w:val="auto"/>
                <w:kern w:val="0"/>
                <w:sz w:val="24"/>
                <w:vertAlign w:val="superscript"/>
                <w:lang w:bidi="hi-IN"/>
              </w:rPr>
              <w:t>3</w:t>
            </w:r>
            <w:r>
              <w:rPr>
                <w:color w:val="auto"/>
                <w:kern w:val="0"/>
                <w:sz w:val="24"/>
                <w:lang w:bidi="hi-IN"/>
              </w:rPr>
              <w:t>/h，H=15m，N=</w:t>
            </w:r>
            <w:r>
              <w:rPr>
                <w:rFonts w:hint="eastAsia"/>
                <w:color w:val="auto"/>
                <w:kern w:val="0"/>
                <w:sz w:val="24"/>
                <w:lang w:bidi="hi-IN"/>
              </w:rPr>
              <w:t>7.5</w:t>
            </w:r>
            <w:r>
              <w:rPr>
                <w:rFonts w:hint="eastAsia"/>
                <w:color w:val="auto"/>
                <w:kern w:val="0"/>
                <w:sz w:val="24"/>
                <w:lang w:eastAsia="zh-CN" w:bidi="hi-IN"/>
              </w:rPr>
              <w:t>kW</w:t>
            </w:r>
            <w:r>
              <w:rPr>
                <w:color w:val="auto"/>
                <w:kern w:val="0"/>
                <w:sz w:val="24"/>
                <w:lang w:bidi="hi-IN"/>
              </w:rPr>
              <w:t>，2台，一用一备；</w:t>
            </w:r>
          </w:p>
          <w:p w14:paraId="144C5404">
            <w:pPr>
              <w:spacing w:line="360" w:lineRule="auto"/>
              <w:ind w:firstLine="1680" w:firstLineChars="700"/>
              <w:rPr>
                <w:color w:val="auto"/>
                <w:kern w:val="0"/>
                <w:sz w:val="24"/>
                <w:lang w:bidi="hi-IN"/>
              </w:rPr>
            </w:pPr>
            <w:r>
              <w:rPr>
                <w:rFonts w:hint="eastAsia"/>
                <w:color w:val="auto"/>
                <w:kern w:val="0"/>
                <w:sz w:val="24"/>
                <w:lang w:eastAsia="zh-CN" w:bidi="hi-IN"/>
              </w:rPr>
              <w:t>3.</w:t>
            </w:r>
            <w:r>
              <w:rPr>
                <w:color w:val="auto"/>
                <w:kern w:val="0"/>
                <w:sz w:val="24"/>
                <w:lang w:bidi="hi-IN"/>
              </w:rPr>
              <w:t>液位浮球，一套；</w:t>
            </w:r>
          </w:p>
          <w:p w14:paraId="57E7B53B">
            <w:pPr>
              <w:spacing w:line="360" w:lineRule="auto"/>
              <w:ind w:firstLine="480" w:firstLineChars="200"/>
              <w:rPr>
                <w:color w:val="auto"/>
                <w:kern w:val="0"/>
                <w:sz w:val="24"/>
                <w:lang w:bidi="hi-IN"/>
              </w:rPr>
            </w:pPr>
            <w:r>
              <w:rPr>
                <w:color w:val="auto"/>
                <w:kern w:val="0"/>
                <w:sz w:val="24"/>
                <w:lang w:bidi="hi-IN"/>
              </w:rPr>
              <w:t xml:space="preserve">          4、电磁流量计，0-</w:t>
            </w:r>
            <w:r>
              <w:rPr>
                <w:rFonts w:hint="eastAsia"/>
                <w:color w:val="auto"/>
                <w:kern w:val="0"/>
                <w:sz w:val="24"/>
                <w:lang w:bidi="hi-IN"/>
              </w:rPr>
              <w:t>100</w:t>
            </w:r>
            <w:r>
              <w:rPr>
                <w:color w:val="auto"/>
                <w:kern w:val="0"/>
                <w:sz w:val="24"/>
                <w:lang w:bidi="hi-IN"/>
              </w:rPr>
              <w:t>m</w:t>
            </w:r>
            <w:r>
              <w:rPr>
                <w:color w:val="auto"/>
                <w:kern w:val="0"/>
                <w:sz w:val="24"/>
                <w:vertAlign w:val="superscript"/>
                <w:lang w:bidi="hi-IN"/>
              </w:rPr>
              <w:t>3</w:t>
            </w:r>
            <w:r>
              <w:rPr>
                <w:color w:val="auto"/>
                <w:kern w:val="0"/>
                <w:sz w:val="24"/>
                <w:lang w:bidi="hi-IN"/>
              </w:rPr>
              <w:t>/h，</w:t>
            </w:r>
            <w:r>
              <w:rPr>
                <w:rFonts w:hint="eastAsia"/>
                <w:color w:val="auto"/>
                <w:kern w:val="0"/>
                <w:sz w:val="24"/>
                <w:lang w:bidi="hi-IN"/>
              </w:rPr>
              <w:t>1</w:t>
            </w:r>
            <w:r>
              <w:rPr>
                <w:color w:val="auto"/>
                <w:kern w:val="0"/>
                <w:sz w:val="24"/>
                <w:lang w:bidi="hi-IN"/>
              </w:rPr>
              <w:t>套。</w:t>
            </w:r>
          </w:p>
          <w:p w14:paraId="4D0B3DE0">
            <w:pPr>
              <w:spacing w:line="360" w:lineRule="auto"/>
              <w:ind w:firstLine="482" w:firstLineChars="200"/>
              <w:rPr>
                <w:b/>
                <w:color w:val="auto"/>
                <w:kern w:val="0"/>
                <w:sz w:val="24"/>
                <w:lang w:bidi="hi-IN"/>
              </w:rPr>
            </w:pPr>
            <w:r>
              <w:rPr>
                <w:rFonts w:hint="eastAsia"/>
                <w:b/>
                <w:color w:val="auto"/>
                <w:sz w:val="24"/>
              </w:rPr>
              <w:t>（</w:t>
            </w:r>
            <w:r>
              <w:rPr>
                <w:b/>
                <w:color w:val="auto"/>
                <w:sz w:val="24"/>
              </w:rPr>
              <w:t>d</w:t>
            </w:r>
            <w:r>
              <w:rPr>
                <w:rFonts w:hint="eastAsia"/>
                <w:b/>
                <w:color w:val="auto"/>
                <w:sz w:val="24"/>
              </w:rPr>
              <w:t>）水解酸化池</w:t>
            </w:r>
          </w:p>
          <w:p w14:paraId="35A083DF">
            <w:pPr>
              <w:spacing w:line="360" w:lineRule="auto"/>
              <w:ind w:firstLine="480" w:firstLineChars="200"/>
              <w:rPr>
                <w:color w:val="auto"/>
                <w:sz w:val="24"/>
              </w:rPr>
            </w:pPr>
            <w:r>
              <w:rPr>
                <w:color w:val="auto"/>
                <w:sz w:val="24"/>
              </w:rPr>
              <w:t>结构：半地上式钢砼结构；</w:t>
            </w:r>
          </w:p>
          <w:p w14:paraId="10C16997">
            <w:pPr>
              <w:spacing w:line="360" w:lineRule="auto"/>
              <w:ind w:firstLine="480" w:firstLineChars="200"/>
              <w:rPr>
                <w:color w:val="auto"/>
                <w:sz w:val="24"/>
              </w:rPr>
            </w:pPr>
            <w:r>
              <w:rPr>
                <w:color w:val="auto"/>
                <w:sz w:val="24"/>
              </w:rPr>
              <w:t>主要功能：水解酸化，提高废水可生化性；</w:t>
            </w:r>
          </w:p>
          <w:p w14:paraId="138FD863">
            <w:pPr>
              <w:spacing w:line="360" w:lineRule="auto"/>
              <w:ind w:firstLine="480" w:firstLineChars="200"/>
              <w:rPr>
                <w:color w:val="auto"/>
                <w:sz w:val="24"/>
              </w:rPr>
            </w:pPr>
            <w:r>
              <w:rPr>
                <w:color w:val="auto"/>
                <w:sz w:val="24"/>
              </w:rPr>
              <w:t>设计水量：</w:t>
            </w:r>
            <w:r>
              <w:rPr>
                <w:rFonts w:hint="eastAsia"/>
                <w:color w:val="auto"/>
                <w:sz w:val="24"/>
              </w:rPr>
              <w:t>160</w:t>
            </w:r>
            <w:r>
              <w:rPr>
                <w:color w:val="auto"/>
                <w:sz w:val="24"/>
              </w:rPr>
              <w:t>0m</w:t>
            </w:r>
            <w:r>
              <w:rPr>
                <w:color w:val="auto"/>
                <w:sz w:val="24"/>
                <w:vertAlign w:val="superscript"/>
              </w:rPr>
              <w:t>3</w:t>
            </w:r>
            <w:r>
              <w:rPr>
                <w:color w:val="auto"/>
                <w:sz w:val="24"/>
              </w:rPr>
              <w:t>/d</w:t>
            </w:r>
            <w:r>
              <w:rPr>
                <w:rFonts w:hint="eastAsia"/>
                <w:color w:val="auto"/>
                <w:sz w:val="24"/>
              </w:rPr>
              <w:t>，分为两组并联运行</w:t>
            </w:r>
            <w:r>
              <w:rPr>
                <w:color w:val="auto"/>
                <w:sz w:val="24"/>
              </w:rPr>
              <w:t>（</w:t>
            </w:r>
            <w:r>
              <w:rPr>
                <w:rFonts w:hint="eastAsia"/>
                <w:color w:val="auto"/>
                <w:sz w:val="24"/>
              </w:rPr>
              <w:t>每组40</w:t>
            </w:r>
            <w:r>
              <w:rPr>
                <w:color w:val="auto"/>
                <w:sz w:val="24"/>
              </w:rPr>
              <w:t>m</w:t>
            </w:r>
            <w:r>
              <w:rPr>
                <w:color w:val="auto"/>
                <w:sz w:val="24"/>
                <w:vertAlign w:val="superscript"/>
              </w:rPr>
              <w:t>3</w:t>
            </w:r>
            <w:r>
              <w:rPr>
                <w:color w:val="auto"/>
                <w:sz w:val="24"/>
              </w:rPr>
              <w:t>/h）；</w:t>
            </w:r>
          </w:p>
          <w:p w14:paraId="395B3A8E">
            <w:pPr>
              <w:spacing w:line="360" w:lineRule="auto"/>
              <w:ind w:firstLine="480" w:firstLineChars="200"/>
              <w:rPr>
                <w:color w:val="auto"/>
                <w:sz w:val="24"/>
              </w:rPr>
            </w:pPr>
            <w:r>
              <w:rPr>
                <w:color w:val="auto"/>
                <w:sz w:val="24"/>
              </w:rPr>
              <w:t>工艺尺寸：</w:t>
            </w:r>
            <w:r>
              <w:rPr>
                <w:rFonts w:hint="eastAsia"/>
                <w:color w:val="auto"/>
                <w:sz w:val="24"/>
              </w:rPr>
              <w:t>6.8</w:t>
            </w:r>
            <w:r>
              <w:rPr>
                <w:color w:val="auto"/>
                <w:sz w:val="24"/>
              </w:rPr>
              <w:t>m×</w:t>
            </w:r>
            <w:r>
              <w:rPr>
                <w:rFonts w:hint="eastAsia"/>
                <w:color w:val="auto"/>
                <w:sz w:val="24"/>
              </w:rPr>
              <w:t>6.5</w:t>
            </w:r>
            <w:r>
              <w:rPr>
                <w:color w:val="auto"/>
                <w:sz w:val="24"/>
              </w:rPr>
              <w:t>m×</w:t>
            </w:r>
            <w:r>
              <w:rPr>
                <w:rFonts w:hint="eastAsia"/>
                <w:color w:val="auto"/>
                <w:sz w:val="24"/>
              </w:rPr>
              <w:t>6.5</w:t>
            </w:r>
            <w:r>
              <w:rPr>
                <w:color w:val="auto"/>
                <w:sz w:val="24"/>
              </w:rPr>
              <w:t>m×</w:t>
            </w:r>
            <w:r>
              <w:rPr>
                <w:rFonts w:hint="eastAsia"/>
                <w:color w:val="auto"/>
                <w:sz w:val="24"/>
              </w:rPr>
              <w:t>2</w:t>
            </w:r>
            <w:r>
              <w:rPr>
                <w:color w:val="auto"/>
                <w:sz w:val="24"/>
              </w:rPr>
              <w:t>；</w:t>
            </w:r>
          </w:p>
          <w:p w14:paraId="76E1518A">
            <w:pPr>
              <w:spacing w:line="360" w:lineRule="auto"/>
              <w:ind w:firstLine="480" w:firstLineChars="200"/>
              <w:rPr>
                <w:color w:val="auto"/>
                <w:sz w:val="24"/>
              </w:rPr>
            </w:pPr>
            <w:r>
              <w:rPr>
                <w:rFonts w:hint="eastAsia"/>
                <w:color w:val="auto"/>
                <w:sz w:val="24"/>
              </w:rPr>
              <w:t>每组</w:t>
            </w:r>
            <w:r>
              <w:rPr>
                <w:color w:val="auto"/>
                <w:sz w:val="24"/>
              </w:rPr>
              <w:t>有效容积：</w:t>
            </w:r>
            <w:r>
              <w:rPr>
                <w:rFonts w:hint="eastAsia"/>
                <w:color w:val="auto"/>
                <w:sz w:val="24"/>
              </w:rPr>
              <w:t>265</w:t>
            </w:r>
            <w:r>
              <w:rPr>
                <w:color w:val="auto"/>
                <w:sz w:val="24"/>
              </w:rPr>
              <w:t>m</w:t>
            </w:r>
            <w:r>
              <w:rPr>
                <w:color w:val="auto"/>
                <w:sz w:val="24"/>
                <w:vertAlign w:val="superscript"/>
              </w:rPr>
              <w:t>3</w:t>
            </w:r>
            <w:r>
              <w:rPr>
                <w:color w:val="auto"/>
                <w:sz w:val="24"/>
              </w:rPr>
              <w:t>；</w:t>
            </w:r>
          </w:p>
          <w:p w14:paraId="776FD326">
            <w:pPr>
              <w:spacing w:line="360" w:lineRule="auto"/>
              <w:ind w:firstLine="480" w:firstLineChars="200"/>
              <w:rPr>
                <w:color w:val="auto"/>
                <w:sz w:val="24"/>
              </w:rPr>
            </w:pPr>
            <w:r>
              <w:rPr>
                <w:color w:val="auto"/>
                <w:sz w:val="24"/>
              </w:rPr>
              <w:t>有效水深：</w:t>
            </w:r>
            <w:r>
              <w:rPr>
                <w:rFonts w:hint="eastAsia"/>
                <w:color w:val="auto"/>
                <w:sz w:val="24"/>
              </w:rPr>
              <w:t>6.0</w:t>
            </w:r>
            <w:r>
              <w:rPr>
                <w:color w:val="auto"/>
                <w:sz w:val="24"/>
              </w:rPr>
              <w:t>m；</w:t>
            </w:r>
          </w:p>
          <w:p w14:paraId="71B88EFB">
            <w:pPr>
              <w:spacing w:line="360" w:lineRule="auto"/>
              <w:ind w:firstLine="480" w:firstLineChars="200"/>
              <w:rPr>
                <w:color w:val="auto"/>
                <w:sz w:val="24"/>
              </w:rPr>
            </w:pPr>
            <w:r>
              <w:rPr>
                <w:rFonts w:hint="eastAsia"/>
                <w:color w:val="auto"/>
                <w:sz w:val="24"/>
              </w:rPr>
              <w:t>每组</w:t>
            </w:r>
            <w:r>
              <w:rPr>
                <w:color w:val="auto"/>
                <w:sz w:val="24"/>
              </w:rPr>
              <w:t>HRT：</w:t>
            </w:r>
            <w:r>
              <w:rPr>
                <w:rFonts w:hint="eastAsia"/>
                <w:color w:val="auto"/>
                <w:sz w:val="24"/>
              </w:rPr>
              <w:t>6.6</w:t>
            </w:r>
            <w:r>
              <w:rPr>
                <w:color w:val="auto"/>
                <w:sz w:val="24"/>
              </w:rPr>
              <w:t>h；</w:t>
            </w:r>
          </w:p>
          <w:p w14:paraId="034A17F7">
            <w:pPr>
              <w:spacing w:line="360" w:lineRule="auto"/>
              <w:ind w:firstLine="480" w:firstLineChars="200"/>
              <w:rPr>
                <w:color w:val="auto"/>
                <w:sz w:val="24"/>
              </w:rPr>
            </w:pPr>
            <w:r>
              <w:rPr>
                <w:color w:val="auto"/>
                <w:sz w:val="24"/>
              </w:rPr>
              <w:t>主要设备：1、弹性填料，L=</w:t>
            </w:r>
            <w:r>
              <w:rPr>
                <w:rFonts w:hint="eastAsia"/>
                <w:color w:val="auto"/>
                <w:sz w:val="24"/>
              </w:rPr>
              <w:t>5</w:t>
            </w:r>
            <w:r>
              <w:rPr>
                <w:color w:val="auto"/>
                <w:sz w:val="24"/>
              </w:rPr>
              <w:t>m，共计</w:t>
            </w:r>
            <w:r>
              <w:rPr>
                <w:rFonts w:hint="eastAsia"/>
                <w:color w:val="auto"/>
                <w:sz w:val="24"/>
              </w:rPr>
              <w:t>442</w:t>
            </w:r>
            <w:r>
              <w:rPr>
                <w:color w:val="auto"/>
                <w:sz w:val="24"/>
              </w:rPr>
              <w:t>m</w:t>
            </w:r>
            <w:r>
              <w:rPr>
                <w:color w:val="auto"/>
                <w:sz w:val="24"/>
                <w:vertAlign w:val="superscript"/>
              </w:rPr>
              <w:t>3</w:t>
            </w:r>
            <w:r>
              <w:rPr>
                <w:color w:val="auto"/>
                <w:sz w:val="24"/>
              </w:rPr>
              <w:t>，含双层支架；</w:t>
            </w:r>
          </w:p>
          <w:p w14:paraId="0019F383">
            <w:pPr>
              <w:spacing w:line="360" w:lineRule="auto"/>
              <w:ind w:firstLine="1680" w:firstLineChars="700"/>
              <w:rPr>
                <w:color w:val="auto"/>
                <w:sz w:val="24"/>
              </w:rPr>
            </w:pPr>
            <w:r>
              <w:rPr>
                <w:rFonts w:hint="eastAsia"/>
                <w:color w:val="auto"/>
                <w:sz w:val="24"/>
                <w:lang w:eastAsia="zh-CN"/>
              </w:rPr>
              <w:t>2.</w:t>
            </w:r>
            <w:r>
              <w:rPr>
                <w:color w:val="auto"/>
                <w:sz w:val="24"/>
              </w:rPr>
              <w:t>液下推流搅拌机，N=2.5kW，</w:t>
            </w:r>
            <w:r>
              <w:rPr>
                <w:rFonts w:hint="eastAsia"/>
                <w:color w:val="auto"/>
                <w:sz w:val="24"/>
              </w:rPr>
              <w:t>4</w:t>
            </w:r>
            <w:r>
              <w:rPr>
                <w:color w:val="auto"/>
                <w:sz w:val="24"/>
              </w:rPr>
              <w:t>台；</w:t>
            </w:r>
          </w:p>
          <w:p w14:paraId="019D44F3">
            <w:pPr>
              <w:spacing w:line="360" w:lineRule="auto"/>
              <w:ind w:firstLine="1680" w:firstLineChars="700"/>
              <w:rPr>
                <w:color w:val="auto"/>
                <w:sz w:val="24"/>
              </w:rPr>
            </w:pPr>
            <w:r>
              <w:rPr>
                <w:rFonts w:hint="eastAsia"/>
                <w:color w:val="auto"/>
                <w:sz w:val="24"/>
                <w:lang w:eastAsia="zh-CN"/>
              </w:rPr>
              <w:t>3.</w:t>
            </w:r>
            <w:r>
              <w:rPr>
                <w:color w:val="auto"/>
                <w:sz w:val="24"/>
              </w:rPr>
              <w:t>污泥泵：304，离心泵，</w:t>
            </w:r>
            <w:r>
              <w:rPr>
                <w:rFonts w:hint="eastAsia"/>
                <w:color w:val="auto"/>
                <w:sz w:val="24"/>
              </w:rPr>
              <w:t>2</w:t>
            </w:r>
            <w:r>
              <w:rPr>
                <w:color w:val="auto"/>
                <w:sz w:val="24"/>
              </w:rPr>
              <w:t>台，Q=</w:t>
            </w:r>
            <w:r>
              <w:rPr>
                <w:rFonts w:hint="eastAsia"/>
                <w:color w:val="auto"/>
                <w:sz w:val="24"/>
              </w:rPr>
              <w:t>40</w:t>
            </w:r>
            <w:r>
              <w:rPr>
                <w:color w:val="auto"/>
                <w:sz w:val="24"/>
              </w:rPr>
              <w:t>m</w:t>
            </w:r>
            <w:r>
              <w:rPr>
                <w:color w:val="auto"/>
                <w:sz w:val="24"/>
                <w:vertAlign w:val="superscript"/>
              </w:rPr>
              <w:t>3</w:t>
            </w:r>
            <w:r>
              <w:rPr>
                <w:color w:val="auto"/>
                <w:sz w:val="24"/>
              </w:rPr>
              <w:t>/h，与接触氧化池共用污泥泵。</w:t>
            </w:r>
          </w:p>
          <w:p w14:paraId="40CE31C2">
            <w:pPr>
              <w:spacing w:line="360" w:lineRule="auto"/>
              <w:ind w:firstLine="482" w:firstLineChars="200"/>
              <w:rPr>
                <w:b/>
                <w:color w:val="auto"/>
                <w:kern w:val="0"/>
                <w:sz w:val="24"/>
                <w:lang w:bidi="hi-IN"/>
              </w:rPr>
            </w:pPr>
            <w:r>
              <w:rPr>
                <w:rFonts w:hint="eastAsia"/>
                <w:b/>
                <w:color w:val="auto"/>
                <w:sz w:val="24"/>
              </w:rPr>
              <w:t>（</w:t>
            </w:r>
            <w:r>
              <w:rPr>
                <w:b/>
                <w:color w:val="auto"/>
                <w:sz w:val="24"/>
              </w:rPr>
              <w:t>e</w:t>
            </w:r>
            <w:r>
              <w:rPr>
                <w:rFonts w:hint="eastAsia"/>
                <w:b/>
                <w:color w:val="auto"/>
                <w:sz w:val="24"/>
              </w:rPr>
              <w:t>）接触氧化池</w:t>
            </w:r>
          </w:p>
          <w:p w14:paraId="4CA92C72">
            <w:pPr>
              <w:spacing w:line="360" w:lineRule="auto"/>
              <w:ind w:firstLine="480" w:firstLineChars="200"/>
              <w:rPr>
                <w:color w:val="auto"/>
                <w:sz w:val="24"/>
              </w:rPr>
            </w:pPr>
            <w:r>
              <w:rPr>
                <w:color w:val="auto"/>
                <w:sz w:val="24"/>
              </w:rPr>
              <w:t>结构：半地上式钢砼结构；</w:t>
            </w:r>
          </w:p>
          <w:p w14:paraId="7257F78D">
            <w:pPr>
              <w:spacing w:line="360" w:lineRule="auto"/>
              <w:ind w:firstLine="480" w:firstLineChars="200"/>
              <w:rPr>
                <w:color w:val="auto"/>
                <w:sz w:val="24"/>
              </w:rPr>
            </w:pPr>
            <w:r>
              <w:rPr>
                <w:color w:val="auto"/>
                <w:sz w:val="24"/>
              </w:rPr>
              <w:t>主要功能：利用好氧微生物降解水中有机物；</w:t>
            </w:r>
          </w:p>
          <w:p w14:paraId="0580C36C">
            <w:pPr>
              <w:spacing w:line="360" w:lineRule="auto"/>
              <w:ind w:firstLine="480" w:firstLineChars="200"/>
              <w:rPr>
                <w:color w:val="auto"/>
                <w:sz w:val="24"/>
              </w:rPr>
            </w:pPr>
            <w:r>
              <w:rPr>
                <w:color w:val="auto"/>
                <w:sz w:val="24"/>
              </w:rPr>
              <w:t>设计水量：1600m</w:t>
            </w:r>
            <w:r>
              <w:rPr>
                <w:color w:val="auto"/>
                <w:sz w:val="24"/>
                <w:vertAlign w:val="superscript"/>
              </w:rPr>
              <w:t>3</w:t>
            </w:r>
            <w:r>
              <w:rPr>
                <w:color w:val="auto"/>
                <w:sz w:val="24"/>
              </w:rPr>
              <w:t>/d</w:t>
            </w:r>
            <w:r>
              <w:rPr>
                <w:rFonts w:hint="eastAsia"/>
                <w:color w:val="auto"/>
                <w:sz w:val="24"/>
              </w:rPr>
              <w:t>，分为两组并联运行</w:t>
            </w:r>
            <w:r>
              <w:rPr>
                <w:color w:val="auto"/>
                <w:sz w:val="24"/>
              </w:rPr>
              <w:t>（</w:t>
            </w:r>
            <w:r>
              <w:rPr>
                <w:rFonts w:hint="eastAsia"/>
                <w:color w:val="auto"/>
                <w:sz w:val="24"/>
              </w:rPr>
              <w:t>每组</w:t>
            </w:r>
            <w:r>
              <w:rPr>
                <w:color w:val="auto"/>
                <w:sz w:val="24"/>
              </w:rPr>
              <w:t>40m</w:t>
            </w:r>
            <w:r>
              <w:rPr>
                <w:color w:val="auto"/>
                <w:sz w:val="24"/>
                <w:vertAlign w:val="superscript"/>
              </w:rPr>
              <w:t>3</w:t>
            </w:r>
            <w:r>
              <w:rPr>
                <w:color w:val="auto"/>
                <w:sz w:val="24"/>
              </w:rPr>
              <w:t>/h）；</w:t>
            </w:r>
          </w:p>
          <w:p w14:paraId="0FA69CFF">
            <w:pPr>
              <w:spacing w:line="360" w:lineRule="auto"/>
              <w:ind w:firstLine="480" w:firstLineChars="200"/>
              <w:rPr>
                <w:color w:val="auto"/>
                <w:sz w:val="24"/>
              </w:rPr>
            </w:pPr>
            <w:r>
              <w:rPr>
                <w:color w:val="auto"/>
                <w:sz w:val="24"/>
              </w:rPr>
              <w:t>工艺尺寸：</w:t>
            </w:r>
            <w:r>
              <w:rPr>
                <w:rFonts w:hint="eastAsia"/>
                <w:color w:val="auto"/>
                <w:sz w:val="24"/>
              </w:rPr>
              <w:t>12.1</w:t>
            </w:r>
            <w:r>
              <w:rPr>
                <w:color w:val="auto"/>
                <w:sz w:val="24"/>
              </w:rPr>
              <w:t>m×</w:t>
            </w:r>
            <w:r>
              <w:rPr>
                <w:rFonts w:hint="eastAsia"/>
                <w:color w:val="auto"/>
                <w:sz w:val="24"/>
              </w:rPr>
              <w:t>6.8</w:t>
            </w:r>
            <w:r>
              <w:rPr>
                <w:color w:val="auto"/>
                <w:sz w:val="24"/>
              </w:rPr>
              <w:t>m×</w:t>
            </w:r>
            <w:r>
              <w:rPr>
                <w:rFonts w:hint="eastAsia"/>
                <w:color w:val="auto"/>
                <w:sz w:val="24"/>
              </w:rPr>
              <w:t>6.</w:t>
            </w:r>
            <w:r>
              <w:rPr>
                <w:color w:val="auto"/>
                <w:sz w:val="24"/>
              </w:rPr>
              <w:t>5m×2；</w:t>
            </w:r>
          </w:p>
          <w:p w14:paraId="68320D72">
            <w:pPr>
              <w:spacing w:line="360" w:lineRule="auto"/>
              <w:ind w:firstLine="480" w:firstLineChars="200"/>
              <w:rPr>
                <w:color w:val="auto"/>
                <w:sz w:val="24"/>
              </w:rPr>
            </w:pPr>
            <w:r>
              <w:rPr>
                <w:rFonts w:hint="eastAsia"/>
                <w:color w:val="auto"/>
                <w:sz w:val="24"/>
              </w:rPr>
              <w:t>每组</w:t>
            </w:r>
            <w:r>
              <w:rPr>
                <w:color w:val="auto"/>
                <w:sz w:val="24"/>
              </w:rPr>
              <w:t>有效容积：</w:t>
            </w:r>
            <w:r>
              <w:rPr>
                <w:rFonts w:hint="eastAsia"/>
                <w:color w:val="auto"/>
                <w:sz w:val="24"/>
              </w:rPr>
              <w:t>4</w:t>
            </w:r>
            <w:r>
              <w:rPr>
                <w:color w:val="auto"/>
                <w:sz w:val="24"/>
              </w:rPr>
              <w:t>94m</w:t>
            </w:r>
            <w:r>
              <w:rPr>
                <w:color w:val="auto"/>
                <w:sz w:val="24"/>
                <w:vertAlign w:val="superscript"/>
              </w:rPr>
              <w:t>3</w:t>
            </w:r>
            <w:r>
              <w:rPr>
                <w:color w:val="auto"/>
                <w:sz w:val="24"/>
              </w:rPr>
              <w:t>；</w:t>
            </w:r>
          </w:p>
          <w:p w14:paraId="64977B97">
            <w:pPr>
              <w:spacing w:line="360" w:lineRule="auto"/>
              <w:ind w:firstLine="480" w:firstLineChars="200"/>
              <w:rPr>
                <w:color w:val="auto"/>
                <w:sz w:val="24"/>
              </w:rPr>
            </w:pPr>
            <w:r>
              <w:rPr>
                <w:color w:val="auto"/>
                <w:sz w:val="24"/>
              </w:rPr>
              <w:t>有效水深：6.0m；</w:t>
            </w:r>
          </w:p>
          <w:p w14:paraId="4597D7BB">
            <w:pPr>
              <w:spacing w:line="360" w:lineRule="auto"/>
              <w:ind w:firstLine="480" w:firstLineChars="200"/>
              <w:rPr>
                <w:color w:val="auto"/>
                <w:sz w:val="24"/>
              </w:rPr>
            </w:pPr>
            <w:r>
              <w:rPr>
                <w:rFonts w:hint="eastAsia"/>
                <w:color w:val="auto"/>
                <w:sz w:val="24"/>
              </w:rPr>
              <w:t>每组</w:t>
            </w:r>
            <w:r>
              <w:rPr>
                <w:color w:val="auto"/>
                <w:sz w:val="24"/>
              </w:rPr>
              <w:t>HRT：12.4h；</w:t>
            </w:r>
          </w:p>
          <w:p w14:paraId="1B5314AE">
            <w:pPr>
              <w:spacing w:line="360" w:lineRule="auto"/>
              <w:ind w:firstLine="480" w:firstLineChars="200"/>
              <w:rPr>
                <w:color w:val="auto"/>
                <w:sz w:val="24"/>
              </w:rPr>
            </w:pPr>
            <w:r>
              <w:rPr>
                <w:color w:val="auto"/>
                <w:sz w:val="24"/>
              </w:rPr>
              <w:t>主要设备：1、</w:t>
            </w:r>
            <w:r>
              <w:rPr>
                <w:rFonts w:hint="eastAsia"/>
                <w:color w:val="auto"/>
                <w:sz w:val="24"/>
              </w:rPr>
              <w:t>可提升式微孔曝气管</w:t>
            </w:r>
            <w:r>
              <w:rPr>
                <w:color w:val="auto"/>
                <w:sz w:val="24"/>
              </w:rPr>
              <w:t>，100</w:t>
            </w:r>
            <w:r>
              <w:rPr>
                <w:rFonts w:hint="eastAsia"/>
                <w:color w:val="auto"/>
                <w:sz w:val="24"/>
              </w:rPr>
              <w:t>套，epdm材质、横管碳钢防腐、立管304，含安装支架、配件</w:t>
            </w:r>
            <w:r>
              <w:rPr>
                <w:color w:val="auto"/>
                <w:sz w:val="24"/>
              </w:rPr>
              <w:t>；</w:t>
            </w:r>
          </w:p>
          <w:p w14:paraId="2D5B2247">
            <w:pPr>
              <w:spacing w:line="360" w:lineRule="auto"/>
              <w:ind w:firstLine="1440" w:firstLineChars="600"/>
              <w:rPr>
                <w:color w:val="auto"/>
                <w:sz w:val="24"/>
              </w:rPr>
            </w:pPr>
            <w:r>
              <w:rPr>
                <w:rFonts w:hint="eastAsia"/>
                <w:color w:val="auto"/>
                <w:sz w:val="24"/>
                <w:lang w:eastAsia="zh-CN"/>
              </w:rPr>
              <w:t>2.</w:t>
            </w:r>
            <w:r>
              <w:rPr>
                <w:color w:val="auto"/>
                <w:sz w:val="24"/>
              </w:rPr>
              <w:t>组合填料，L=4m，共计823m</w:t>
            </w:r>
            <w:r>
              <w:rPr>
                <w:color w:val="auto"/>
                <w:sz w:val="24"/>
                <w:vertAlign w:val="superscript"/>
              </w:rPr>
              <w:t>3</w:t>
            </w:r>
            <w:r>
              <w:rPr>
                <w:color w:val="auto"/>
                <w:sz w:val="24"/>
              </w:rPr>
              <w:t>，含双层支架；</w:t>
            </w:r>
          </w:p>
          <w:p w14:paraId="0250F8FC">
            <w:pPr>
              <w:spacing w:line="360" w:lineRule="auto"/>
              <w:ind w:firstLine="1440" w:firstLineChars="600"/>
              <w:rPr>
                <w:color w:val="auto"/>
                <w:sz w:val="24"/>
              </w:rPr>
            </w:pPr>
            <w:r>
              <w:rPr>
                <w:color w:val="auto"/>
                <w:sz w:val="24"/>
              </w:rPr>
              <w:t>3、DO仪，</w:t>
            </w:r>
            <w:r>
              <w:rPr>
                <w:rFonts w:hint="eastAsia"/>
                <w:color w:val="auto"/>
                <w:sz w:val="24"/>
              </w:rPr>
              <w:t>2</w:t>
            </w:r>
            <w:r>
              <w:rPr>
                <w:color w:val="auto"/>
                <w:sz w:val="24"/>
              </w:rPr>
              <w:t>套；</w:t>
            </w:r>
          </w:p>
          <w:p w14:paraId="640F3D93">
            <w:pPr>
              <w:spacing w:line="360" w:lineRule="auto"/>
              <w:ind w:firstLine="1440" w:firstLineChars="600"/>
              <w:rPr>
                <w:color w:val="auto"/>
                <w:sz w:val="24"/>
              </w:rPr>
            </w:pPr>
            <w:r>
              <w:rPr>
                <w:rFonts w:hint="eastAsia"/>
                <w:color w:val="auto"/>
                <w:sz w:val="24"/>
                <w:lang w:eastAsia="zh-CN"/>
              </w:rPr>
              <w:t>4.</w:t>
            </w:r>
            <w:r>
              <w:rPr>
                <w:rFonts w:hint="eastAsia"/>
                <w:color w:val="auto"/>
                <w:sz w:val="24"/>
              </w:rPr>
              <w:t>变频罗茨风机，2台，Q=</w:t>
            </w:r>
            <w:r>
              <w:rPr>
                <w:color w:val="auto"/>
                <w:sz w:val="24"/>
              </w:rPr>
              <w:t>19.82</w:t>
            </w:r>
            <w:r>
              <w:rPr>
                <w:rFonts w:hint="eastAsia"/>
                <w:color w:val="auto"/>
                <w:sz w:val="24"/>
              </w:rPr>
              <w:t>m</w:t>
            </w:r>
            <w:r>
              <w:rPr>
                <w:rFonts w:hint="eastAsia"/>
                <w:color w:val="auto"/>
                <w:sz w:val="24"/>
                <w:vertAlign w:val="superscript"/>
              </w:rPr>
              <w:t>3</w:t>
            </w:r>
            <w:r>
              <w:rPr>
                <w:rFonts w:hint="eastAsia"/>
                <w:color w:val="auto"/>
                <w:sz w:val="24"/>
              </w:rPr>
              <w:t>/min，P=5</w:t>
            </w:r>
            <w:r>
              <w:rPr>
                <w:color w:val="auto"/>
                <w:sz w:val="24"/>
              </w:rPr>
              <w:t>8.8</w:t>
            </w:r>
            <w:r>
              <w:rPr>
                <w:rFonts w:hint="eastAsia"/>
                <w:color w:val="auto"/>
                <w:sz w:val="24"/>
              </w:rPr>
              <w:t>kPa，N=30KW，一用一备。</w:t>
            </w:r>
          </w:p>
          <w:p w14:paraId="75D58F5E">
            <w:pPr>
              <w:spacing w:line="360" w:lineRule="auto"/>
              <w:ind w:firstLine="482" w:firstLineChars="200"/>
              <w:rPr>
                <w:b/>
                <w:color w:val="auto"/>
                <w:kern w:val="0"/>
                <w:sz w:val="24"/>
                <w:lang w:bidi="hi-IN"/>
              </w:rPr>
            </w:pPr>
            <w:r>
              <w:rPr>
                <w:rFonts w:hint="eastAsia"/>
                <w:b/>
                <w:color w:val="auto"/>
                <w:sz w:val="24"/>
              </w:rPr>
              <w:t>（</w:t>
            </w:r>
            <w:r>
              <w:rPr>
                <w:b/>
                <w:color w:val="auto"/>
                <w:sz w:val="24"/>
              </w:rPr>
              <w:t>f</w:t>
            </w:r>
            <w:r>
              <w:rPr>
                <w:rFonts w:hint="eastAsia"/>
                <w:b/>
                <w:color w:val="auto"/>
                <w:sz w:val="24"/>
              </w:rPr>
              <w:t>）二沉池</w:t>
            </w:r>
          </w:p>
          <w:p w14:paraId="6EB4A66B">
            <w:pPr>
              <w:spacing w:line="360" w:lineRule="auto"/>
              <w:ind w:firstLine="480" w:firstLineChars="200"/>
              <w:rPr>
                <w:color w:val="auto"/>
                <w:sz w:val="24"/>
              </w:rPr>
            </w:pPr>
            <w:r>
              <w:rPr>
                <w:color w:val="auto"/>
                <w:sz w:val="24"/>
              </w:rPr>
              <w:t>结构：竖流沉淀，半地上式钢砼结构；</w:t>
            </w:r>
          </w:p>
          <w:p w14:paraId="0B15359F">
            <w:pPr>
              <w:spacing w:line="360" w:lineRule="auto"/>
              <w:ind w:firstLine="480" w:firstLineChars="200"/>
              <w:rPr>
                <w:color w:val="auto"/>
                <w:sz w:val="24"/>
              </w:rPr>
            </w:pPr>
            <w:r>
              <w:rPr>
                <w:color w:val="auto"/>
                <w:sz w:val="24"/>
              </w:rPr>
              <w:t>主要功能：泥水分离，污泥回流；</w:t>
            </w:r>
          </w:p>
          <w:p w14:paraId="0FA8398D">
            <w:pPr>
              <w:spacing w:line="360" w:lineRule="auto"/>
              <w:ind w:firstLine="480" w:firstLineChars="200"/>
              <w:rPr>
                <w:color w:val="auto"/>
                <w:sz w:val="24"/>
              </w:rPr>
            </w:pPr>
            <w:r>
              <w:rPr>
                <w:color w:val="auto"/>
                <w:sz w:val="24"/>
              </w:rPr>
              <w:t>设计水量：1600m</w:t>
            </w:r>
            <w:r>
              <w:rPr>
                <w:color w:val="auto"/>
                <w:sz w:val="24"/>
                <w:vertAlign w:val="superscript"/>
              </w:rPr>
              <w:t>3</w:t>
            </w:r>
            <w:r>
              <w:rPr>
                <w:color w:val="auto"/>
                <w:sz w:val="24"/>
              </w:rPr>
              <w:t>/d（80m</w:t>
            </w:r>
            <w:r>
              <w:rPr>
                <w:color w:val="auto"/>
                <w:sz w:val="24"/>
                <w:vertAlign w:val="superscript"/>
              </w:rPr>
              <w:t>3</w:t>
            </w:r>
            <w:r>
              <w:rPr>
                <w:color w:val="auto"/>
                <w:sz w:val="24"/>
              </w:rPr>
              <w:t>/h）；</w:t>
            </w:r>
          </w:p>
          <w:p w14:paraId="6764BE5A">
            <w:pPr>
              <w:spacing w:line="360" w:lineRule="auto"/>
              <w:ind w:firstLine="480" w:firstLineChars="200"/>
              <w:rPr>
                <w:color w:val="auto"/>
                <w:sz w:val="24"/>
              </w:rPr>
            </w:pPr>
            <w:r>
              <w:rPr>
                <w:color w:val="auto"/>
                <w:sz w:val="24"/>
              </w:rPr>
              <w:t>工艺尺寸：</w:t>
            </w:r>
            <w:r>
              <w:rPr>
                <w:rFonts w:hint="eastAsia"/>
                <w:color w:val="auto"/>
                <w:sz w:val="24"/>
              </w:rPr>
              <w:t>11.0</w:t>
            </w:r>
            <w:r>
              <w:rPr>
                <w:color w:val="auto"/>
                <w:sz w:val="24"/>
              </w:rPr>
              <w:t>m×</w:t>
            </w:r>
            <w:r>
              <w:rPr>
                <w:rFonts w:hint="eastAsia"/>
                <w:color w:val="auto"/>
                <w:sz w:val="24"/>
              </w:rPr>
              <w:t>11</w:t>
            </w:r>
            <w:r>
              <w:rPr>
                <w:color w:val="auto"/>
                <w:sz w:val="24"/>
              </w:rPr>
              <w:t>.</w:t>
            </w:r>
            <w:r>
              <w:rPr>
                <w:rFonts w:hint="eastAsia"/>
                <w:color w:val="auto"/>
                <w:sz w:val="24"/>
              </w:rPr>
              <w:t>0</w:t>
            </w:r>
            <w:r>
              <w:rPr>
                <w:color w:val="auto"/>
                <w:sz w:val="24"/>
              </w:rPr>
              <w:t>m×5.</w:t>
            </w:r>
            <w:r>
              <w:rPr>
                <w:rFonts w:hint="eastAsia"/>
                <w:color w:val="auto"/>
                <w:sz w:val="24"/>
              </w:rPr>
              <w:t>5</w:t>
            </w:r>
            <w:r>
              <w:rPr>
                <w:color w:val="auto"/>
                <w:sz w:val="24"/>
              </w:rPr>
              <w:t>m；</w:t>
            </w:r>
          </w:p>
          <w:p w14:paraId="15BB04A7">
            <w:pPr>
              <w:spacing w:line="360" w:lineRule="auto"/>
              <w:ind w:firstLine="480" w:firstLineChars="200"/>
              <w:rPr>
                <w:color w:val="auto"/>
                <w:sz w:val="24"/>
              </w:rPr>
            </w:pPr>
            <w:r>
              <w:rPr>
                <w:color w:val="auto"/>
                <w:sz w:val="24"/>
              </w:rPr>
              <w:t>有效水深：5.0m；</w:t>
            </w:r>
          </w:p>
          <w:p w14:paraId="48E9A135">
            <w:pPr>
              <w:spacing w:line="360" w:lineRule="auto"/>
              <w:ind w:firstLine="480" w:firstLineChars="200"/>
              <w:rPr>
                <w:color w:val="auto"/>
                <w:sz w:val="24"/>
              </w:rPr>
            </w:pPr>
            <w:r>
              <w:rPr>
                <w:color w:val="auto"/>
                <w:sz w:val="24"/>
              </w:rPr>
              <w:t>设计表面负荷：0.8m</w:t>
            </w:r>
            <w:r>
              <w:rPr>
                <w:color w:val="auto"/>
                <w:sz w:val="24"/>
                <w:vertAlign w:val="superscript"/>
              </w:rPr>
              <w:t>3</w:t>
            </w:r>
            <w:r>
              <w:rPr>
                <w:color w:val="auto"/>
                <w:sz w:val="24"/>
              </w:rPr>
              <w:t>/m</w:t>
            </w:r>
            <w:r>
              <w:rPr>
                <w:color w:val="auto"/>
                <w:sz w:val="24"/>
                <w:vertAlign w:val="superscript"/>
              </w:rPr>
              <w:t>2</w:t>
            </w:r>
            <w:r>
              <w:rPr>
                <w:color w:val="auto"/>
                <w:sz w:val="24"/>
              </w:rPr>
              <w:t>·h；</w:t>
            </w:r>
          </w:p>
          <w:p w14:paraId="09DDCC83">
            <w:pPr>
              <w:spacing w:line="360" w:lineRule="auto"/>
              <w:ind w:firstLine="480" w:firstLineChars="200"/>
              <w:rPr>
                <w:color w:val="auto"/>
                <w:sz w:val="24"/>
              </w:rPr>
            </w:pPr>
            <w:r>
              <w:rPr>
                <w:color w:val="auto"/>
                <w:sz w:val="24"/>
              </w:rPr>
              <w:t>主要设备：1、</w:t>
            </w:r>
            <w:r>
              <w:rPr>
                <w:rFonts w:hint="eastAsia"/>
                <w:color w:val="auto"/>
                <w:sz w:val="24"/>
              </w:rPr>
              <w:t>中心传动刮泥机，1套，D=11m，碳钢防腐</w:t>
            </w:r>
            <w:r>
              <w:rPr>
                <w:color w:val="auto"/>
                <w:sz w:val="24"/>
              </w:rPr>
              <w:t>；</w:t>
            </w:r>
          </w:p>
          <w:p w14:paraId="3A0DA97E">
            <w:pPr>
              <w:spacing w:line="360" w:lineRule="auto"/>
              <w:ind w:firstLine="480" w:firstLineChars="200"/>
              <w:rPr>
                <w:color w:val="auto"/>
                <w:sz w:val="24"/>
              </w:rPr>
            </w:pPr>
            <w:r>
              <w:rPr>
                <w:color w:val="auto"/>
                <w:sz w:val="24"/>
              </w:rPr>
              <w:t xml:space="preserve">          2、出水堰，L=44m，PP，</w:t>
            </w:r>
            <w:r>
              <w:rPr>
                <w:rFonts w:hint="eastAsia"/>
                <w:color w:val="auto"/>
                <w:sz w:val="24"/>
              </w:rPr>
              <w:t>1</w:t>
            </w:r>
            <w:r>
              <w:rPr>
                <w:color w:val="auto"/>
                <w:sz w:val="24"/>
              </w:rPr>
              <w:t>套；</w:t>
            </w:r>
          </w:p>
          <w:p w14:paraId="13FF9B07">
            <w:pPr>
              <w:spacing w:line="360" w:lineRule="auto"/>
              <w:ind w:firstLine="1680" w:firstLineChars="700"/>
              <w:rPr>
                <w:color w:val="auto"/>
                <w:sz w:val="24"/>
              </w:rPr>
            </w:pPr>
            <w:r>
              <w:rPr>
                <w:rFonts w:hint="eastAsia"/>
                <w:color w:val="auto"/>
                <w:sz w:val="24"/>
                <w:lang w:eastAsia="zh-CN"/>
              </w:rPr>
              <w:t>3.</w:t>
            </w:r>
            <w:r>
              <w:rPr>
                <w:color w:val="auto"/>
                <w:sz w:val="24"/>
              </w:rPr>
              <w:t>污泥回流泵：304，离心泵，</w:t>
            </w:r>
            <w:r>
              <w:rPr>
                <w:rFonts w:hint="eastAsia"/>
                <w:color w:val="auto"/>
                <w:sz w:val="24"/>
              </w:rPr>
              <w:t>3</w:t>
            </w:r>
            <w:r>
              <w:rPr>
                <w:color w:val="auto"/>
                <w:sz w:val="24"/>
              </w:rPr>
              <w:t>台，</w:t>
            </w:r>
            <w:r>
              <w:rPr>
                <w:rFonts w:hint="eastAsia"/>
                <w:color w:val="auto"/>
                <w:sz w:val="24"/>
              </w:rPr>
              <w:t>两</w:t>
            </w:r>
            <w:r>
              <w:rPr>
                <w:color w:val="auto"/>
                <w:sz w:val="24"/>
              </w:rPr>
              <w:t>用</w:t>
            </w:r>
            <w:r>
              <w:rPr>
                <w:rFonts w:hint="eastAsia"/>
                <w:color w:val="auto"/>
                <w:sz w:val="24"/>
              </w:rPr>
              <w:t>一</w:t>
            </w:r>
            <w:r>
              <w:rPr>
                <w:color w:val="auto"/>
                <w:sz w:val="24"/>
              </w:rPr>
              <w:t>备，Q=30m</w:t>
            </w:r>
            <w:r>
              <w:rPr>
                <w:color w:val="auto"/>
                <w:sz w:val="24"/>
                <w:vertAlign w:val="superscript"/>
              </w:rPr>
              <w:t>3</w:t>
            </w:r>
            <w:r>
              <w:rPr>
                <w:color w:val="auto"/>
                <w:sz w:val="24"/>
              </w:rPr>
              <w:t>/h（污泥根据实际生化池污泥量进行间歇回流）；</w:t>
            </w:r>
          </w:p>
          <w:p w14:paraId="4246DAD8">
            <w:pPr>
              <w:spacing w:line="360" w:lineRule="auto"/>
              <w:ind w:firstLine="480" w:firstLineChars="200"/>
              <w:rPr>
                <w:color w:val="auto"/>
                <w:sz w:val="24"/>
              </w:rPr>
            </w:pPr>
            <w:r>
              <w:rPr>
                <w:rFonts w:hint="eastAsia"/>
                <w:color w:val="auto"/>
                <w:sz w:val="24"/>
              </w:rPr>
              <w:t xml:space="preserve">          4、排泥泵：304，</w:t>
            </w:r>
            <w:r>
              <w:rPr>
                <w:color w:val="auto"/>
                <w:sz w:val="24"/>
              </w:rPr>
              <w:t>离心泵，</w:t>
            </w:r>
            <w:r>
              <w:rPr>
                <w:rFonts w:hint="eastAsia"/>
                <w:color w:val="auto"/>
                <w:sz w:val="24"/>
              </w:rPr>
              <w:t>2</w:t>
            </w:r>
            <w:r>
              <w:rPr>
                <w:color w:val="auto"/>
                <w:sz w:val="24"/>
              </w:rPr>
              <w:t>台，</w:t>
            </w:r>
            <w:r>
              <w:rPr>
                <w:rFonts w:hint="eastAsia"/>
                <w:color w:val="auto"/>
                <w:sz w:val="24"/>
              </w:rPr>
              <w:t>一</w:t>
            </w:r>
            <w:r>
              <w:rPr>
                <w:color w:val="auto"/>
                <w:sz w:val="24"/>
              </w:rPr>
              <w:t>用</w:t>
            </w:r>
            <w:r>
              <w:rPr>
                <w:rFonts w:hint="eastAsia"/>
                <w:color w:val="auto"/>
                <w:sz w:val="24"/>
              </w:rPr>
              <w:t>一</w:t>
            </w:r>
            <w:r>
              <w:rPr>
                <w:color w:val="auto"/>
                <w:sz w:val="24"/>
              </w:rPr>
              <w:t>备，Q=3</w:t>
            </w:r>
            <w:r>
              <w:rPr>
                <w:rFonts w:hint="eastAsia"/>
                <w:color w:val="auto"/>
                <w:sz w:val="24"/>
              </w:rPr>
              <w:t>0</w:t>
            </w:r>
            <w:r>
              <w:rPr>
                <w:color w:val="auto"/>
                <w:sz w:val="24"/>
              </w:rPr>
              <w:t>m</w:t>
            </w:r>
            <w:r>
              <w:rPr>
                <w:color w:val="auto"/>
                <w:sz w:val="24"/>
                <w:vertAlign w:val="superscript"/>
              </w:rPr>
              <w:t>3</w:t>
            </w:r>
            <w:r>
              <w:rPr>
                <w:color w:val="auto"/>
                <w:sz w:val="24"/>
              </w:rPr>
              <w:t>/h</w:t>
            </w:r>
            <w:r>
              <w:rPr>
                <w:rFonts w:hint="eastAsia"/>
                <w:color w:val="auto"/>
                <w:sz w:val="24"/>
              </w:rPr>
              <w:t>。</w:t>
            </w:r>
          </w:p>
          <w:p w14:paraId="6D03534D">
            <w:pPr>
              <w:spacing w:line="360" w:lineRule="auto"/>
              <w:ind w:firstLine="482" w:firstLineChars="200"/>
              <w:rPr>
                <w:b/>
                <w:color w:val="auto"/>
                <w:kern w:val="0"/>
                <w:sz w:val="24"/>
                <w:lang w:bidi="hi-IN"/>
              </w:rPr>
            </w:pPr>
            <w:r>
              <w:rPr>
                <w:rFonts w:hint="eastAsia"/>
                <w:b/>
                <w:color w:val="auto"/>
                <w:sz w:val="24"/>
              </w:rPr>
              <w:t>（g）出水池</w:t>
            </w:r>
          </w:p>
          <w:p w14:paraId="31625D52">
            <w:pPr>
              <w:spacing w:line="360" w:lineRule="auto"/>
              <w:ind w:firstLine="480" w:firstLineChars="200"/>
              <w:rPr>
                <w:color w:val="auto"/>
                <w:sz w:val="24"/>
              </w:rPr>
            </w:pPr>
            <w:r>
              <w:rPr>
                <w:color w:val="auto"/>
                <w:sz w:val="24"/>
              </w:rPr>
              <w:t>结构：地下式钢砼结构；</w:t>
            </w:r>
          </w:p>
          <w:p w14:paraId="03E9B4CA">
            <w:pPr>
              <w:spacing w:line="360" w:lineRule="auto"/>
              <w:ind w:firstLine="480" w:firstLineChars="200"/>
              <w:rPr>
                <w:color w:val="auto"/>
                <w:sz w:val="24"/>
              </w:rPr>
            </w:pPr>
            <w:r>
              <w:rPr>
                <w:color w:val="auto"/>
                <w:sz w:val="24"/>
              </w:rPr>
              <w:t>主要功能：暂存处理系统出水，接管至污水处理厂；</w:t>
            </w:r>
          </w:p>
          <w:p w14:paraId="74FD7B5F">
            <w:pPr>
              <w:spacing w:line="360" w:lineRule="auto"/>
              <w:ind w:firstLine="480" w:firstLineChars="200"/>
              <w:rPr>
                <w:color w:val="auto"/>
                <w:sz w:val="24"/>
              </w:rPr>
            </w:pPr>
            <w:r>
              <w:rPr>
                <w:color w:val="auto"/>
                <w:sz w:val="24"/>
              </w:rPr>
              <w:t>设计水量：160</w:t>
            </w:r>
            <w:r>
              <w:rPr>
                <w:rFonts w:hint="eastAsia"/>
                <w:color w:val="auto"/>
                <w:sz w:val="24"/>
              </w:rPr>
              <w:t>0</w:t>
            </w:r>
            <w:r>
              <w:rPr>
                <w:color w:val="auto"/>
                <w:sz w:val="24"/>
              </w:rPr>
              <w:t>m</w:t>
            </w:r>
            <w:r>
              <w:rPr>
                <w:color w:val="auto"/>
                <w:sz w:val="24"/>
                <w:vertAlign w:val="superscript"/>
              </w:rPr>
              <w:t>3</w:t>
            </w:r>
            <w:r>
              <w:rPr>
                <w:color w:val="auto"/>
                <w:sz w:val="24"/>
              </w:rPr>
              <w:t>/d；</w:t>
            </w:r>
          </w:p>
          <w:p w14:paraId="4210B8AE">
            <w:pPr>
              <w:spacing w:line="360" w:lineRule="auto"/>
              <w:ind w:firstLine="480" w:firstLineChars="200"/>
              <w:rPr>
                <w:color w:val="auto"/>
                <w:sz w:val="24"/>
              </w:rPr>
            </w:pPr>
            <w:r>
              <w:rPr>
                <w:color w:val="auto"/>
                <w:sz w:val="24"/>
              </w:rPr>
              <w:t>工艺尺寸：</w:t>
            </w:r>
            <w:r>
              <w:rPr>
                <w:rFonts w:hint="eastAsia"/>
                <w:color w:val="auto"/>
                <w:sz w:val="24"/>
              </w:rPr>
              <w:t>11.0</w:t>
            </w:r>
            <w:r>
              <w:rPr>
                <w:color w:val="auto"/>
                <w:sz w:val="24"/>
              </w:rPr>
              <w:t>m×</w:t>
            </w:r>
            <w:r>
              <w:rPr>
                <w:rFonts w:hint="eastAsia"/>
                <w:color w:val="auto"/>
                <w:sz w:val="24"/>
              </w:rPr>
              <w:t>2.5</w:t>
            </w:r>
            <w:r>
              <w:rPr>
                <w:color w:val="auto"/>
                <w:sz w:val="24"/>
              </w:rPr>
              <w:t>m×</w:t>
            </w:r>
            <w:r>
              <w:rPr>
                <w:rFonts w:hint="eastAsia"/>
                <w:color w:val="auto"/>
                <w:sz w:val="24"/>
              </w:rPr>
              <w:t>5.5</w:t>
            </w:r>
            <w:r>
              <w:rPr>
                <w:color w:val="auto"/>
                <w:sz w:val="24"/>
              </w:rPr>
              <w:t>m；</w:t>
            </w:r>
          </w:p>
          <w:p w14:paraId="35CA3293">
            <w:pPr>
              <w:spacing w:line="360" w:lineRule="auto"/>
              <w:ind w:firstLine="480" w:firstLineChars="200"/>
              <w:rPr>
                <w:color w:val="auto"/>
                <w:sz w:val="24"/>
              </w:rPr>
            </w:pPr>
            <w:r>
              <w:rPr>
                <w:color w:val="auto"/>
                <w:sz w:val="24"/>
              </w:rPr>
              <w:t>有效容积：138m</w:t>
            </w:r>
            <w:r>
              <w:rPr>
                <w:color w:val="auto"/>
                <w:sz w:val="24"/>
                <w:vertAlign w:val="superscript"/>
              </w:rPr>
              <w:t>3</w:t>
            </w:r>
            <w:r>
              <w:rPr>
                <w:color w:val="auto"/>
                <w:sz w:val="24"/>
              </w:rPr>
              <w:t>；</w:t>
            </w:r>
          </w:p>
          <w:p w14:paraId="7610DE9E">
            <w:pPr>
              <w:spacing w:line="360" w:lineRule="auto"/>
              <w:ind w:firstLine="480" w:firstLineChars="200"/>
              <w:rPr>
                <w:color w:val="auto"/>
                <w:sz w:val="24"/>
              </w:rPr>
            </w:pPr>
            <w:r>
              <w:rPr>
                <w:color w:val="auto"/>
                <w:sz w:val="24"/>
              </w:rPr>
              <w:t>有效水深：5.0m；</w:t>
            </w:r>
          </w:p>
          <w:p w14:paraId="6A810C90">
            <w:pPr>
              <w:spacing w:line="360" w:lineRule="auto"/>
              <w:ind w:firstLine="480" w:firstLineChars="200"/>
              <w:rPr>
                <w:color w:val="auto"/>
                <w:sz w:val="24"/>
              </w:rPr>
            </w:pPr>
            <w:r>
              <w:rPr>
                <w:color w:val="auto"/>
                <w:sz w:val="24"/>
              </w:rPr>
              <w:t>HRT</w:t>
            </w:r>
            <w:r>
              <w:rPr>
                <w:rFonts w:hint="eastAsia"/>
                <w:color w:val="auto"/>
                <w:sz w:val="24"/>
                <w:lang w:eastAsia="zh-CN"/>
              </w:rPr>
              <w:t>:</w:t>
            </w:r>
            <w:r>
              <w:rPr>
                <w:color w:val="auto"/>
                <w:sz w:val="24"/>
              </w:rPr>
              <w:t>1.7h</w:t>
            </w:r>
            <w:r>
              <w:rPr>
                <w:rFonts w:hint="eastAsia"/>
                <w:color w:val="auto"/>
                <w:sz w:val="24"/>
                <w:lang w:eastAsia="zh-CN"/>
              </w:rPr>
              <w:t>;</w:t>
            </w:r>
          </w:p>
          <w:p w14:paraId="1E1D4DC2">
            <w:pPr>
              <w:spacing w:line="360" w:lineRule="auto"/>
              <w:ind w:firstLine="480" w:firstLineChars="200"/>
              <w:rPr>
                <w:color w:val="auto"/>
                <w:sz w:val="24"/>
              </w:rPr>
            </w:pPr>
            <w:r>
              <w:rPr>
                <w:color w:val="auto"/>
                <w:sz w:val="24"/>
              </w:rPr>
              <w:t>主要设备：</w:t>
            </w:r>
            <w:r>
              <w:rPr>
                <w:rFonts w:hint="eastAsia"/>
                <w:color w:val="auto"/>
                <w:sz w:val="24"/>
              </w:rPr>
              <w:t>1</w:t>
            </w:r>
            <w:r>
              <w:rPr>
                <w:color w:val="auto"/>
                <w:sz w:val="24"/>
              </w:rPr>
              <w:t>、4#巴歇尔槽，1套，304，含超声波液位计1台；</w:t>
            </w:r>
          </w:p>
          <w:p w14:paraId="369AA946">
            <w:pPr>
              <w:spacing w:line="360" w:lineRule="auto"/>
              <w:ind w:firstLine="482" w:firstLineChars="200"/>
              <w:rPr>
                <w:b/>
                <w:color w:val="auto"/>
                <w:kern w:val="0"/>
                <w:sz w:val="24"/>
                <w:lang w:bidi="hi-IN"/>
              </w:rPr>
            </w:pPr>
            <w:r>
              <w:rPr>
                <w:rFonts w:hint="eastAsia"/>
                <w:b/>
                <w:color w:val="auto"/>
                <w:sz w:val="24"/>
              </w:rPr>
              <w:t>（</w:t>
            </w:r>
            <w:r>
              <w:rPr>
                <w:b/>
                <w:color w:val="auto"/>
                <w:sz w:val="24"/>
              </w:rPr>
              <w:t>h</w:t>
            </w:r>
            <w:r>
              <w:rPr>
                <w:rFonts w:hint="eastAsia"/>
                <w:b/>
                <w:color w:val="auto"/>
                <w:sz w:val="24"/>
              </w:rPr>
              <w:t>）污泥池</w:t>
            </w:r>
          </w:p>
          <w:p w14:paraId="5D88867D">
            <w:pPr>
              <w:spacing w:line="360" w:lineRule="auto"/>
              <w:ind w:firstLine="480" w:firstLineChars="200"/>
              <w:rPr>
                <w:color w:val="auto"/>
                <w:sz w:val="24"/>
              </w:rPr>
            </w:pPr>
            <w:r>
              <w:rPr>
                <w:color w:val="auto"/>
                <w:sz w:val="24"/>
              </w:rPr>
              <w:t>结构：地下式钢砼结构；</w:t>
            </w:r>
          </w:p>
          <w:p w14:paraId="0936F49B">
            <w:pPr>
              <w:spacing w:line="360" w:lineRule="auto"/>
              <w:ind w:firstLine="480" w:firstLineChars="200"/>
              <w:rPr>
                <w:color w:val="auto"/>
                <w:sz w:val="24"/>
              </w:rPr>
            </w:pPr>
            <w:r>
              <w:rPr>
                <w:color w:val="auto"/>
                <w:sz w:val="24"/>
              </w:rPr>
              <w:t>主要功能：收集系统污泥；</w:t>
            </w:r>
          </w:p>
          <w:p w14:paraId="0B9E16D2">
            <w:pPr>
              <w:spacing w:line="360" w:lineRule="auto"/>
              <w:ind w:firstLine="480" w:firstLineChars="200"/>
              <w:rPr>
                <w:color w:val="auto"/>
                <w:sz w:val="24"/>
              </w:rPr>
            </w:pPr>
            <w:r>
              <w:rPr>
                <w:color w:val="auto"/>
                <w:sz w:val="24"/>
              </w:rPr>
              <w:t>设计尺寸：</w:t>
            </w:r>
            <w:r>
              <w:rPr>
                <w:rFonts w:hint="eastAsia"/>
                <w:color w:val="auto"/>
                <w:sz w:val="24"/>
              </w:rPr>
              <w:t>5.3</w:t>
            </w:r>
            <w:r>
              <w:rPr>
                <w:color w:val="auto"/>
                <w:sz w:val="24"/>
              </w:rPr>
              <w:t>m×</w:t>
            </w:r>
            <w:r>
              <w:rPr>
                <w:rFonts w:hint="eastAsia"/>
                <w:color w:val="auto"/>
                <w:sz w:val="24"/>
              </w:rPr>
              <w:t>8.8</w:t>
            </w:r>
            <w:r>
              <w:rPr>
                <w:color w:val="auto"/>
                <w:sz w:val="24"/>
              </w:rPr>
              <w:t>m×</w:t>
            </w:r>
            <w:r>
              <w:rPr>
                <w:rFonts w:hint="eastAsia"/>
                <w:color w:val="auto"/>
                <w:sz w:val="24"/>
              </w:rPr>
              <w:t>4</w:t>
            </w:r>
            <w:r>
              <w:rPr>
                <w:color w:val="auto"/>
                <w:sz w:val="24"/>
              </w:rPr>
              <w:t>.0m；</w:t>
            </w:r>
          </w:p>
          <w:p w14:paraId="73FBD712">
            <w:pPr>
              <w:spacing w:line="360" w:lineRule="auto"/>
              <w:ind w:firstLine="480" w:firstLineChars="200"/>
              <w:rPr>
                <w:color w:val="auto"/>
                <w:sz w:val="24"/>
              </w:rPr>
            </w:pPr>
            <w:r>
              <w:rPr>
                <w:color w:val="auto"/>
                <w:sz w:val="24"/>
              </w:rPr>
              <w:t>有效容积：210m</w:t>
            </w:r>
            <w:r>
              <w:rPr>
                <w:color w:val="auto"/>
                <w:sz w:val="24"/>
                <w:vertAlign w:val="superscript"/>
              </w:rPr>
              <w:t>3</w:t>
            </w:r>
            <w:r>
              <w:rPr>
                <w:color w:val="auto"/>
                <w:sz w:val="24"/>
              </w:rPr>
              <w:t>；</w:t>
            </w:r>
          </w:p>
          <w:p w14:paraId="702B57F9">
            <w:pPr>
              <w:spacing w:line="360" w:lineRule="auto"/>
              <w:ind w:firstLine="480" w:firstLineChars="200"/>
              <w:rPr>
                <w:color w:val="auto"/>
                <w:sz w:val="24"/>
              </w:rPr>
            </w:pPr>
            <w:r>
              <w:rPr>
                <w:color w:val="auto"/>
                <w:sz w:val="24"/>
              </w:rPr>
              <w:t>有效水深：4.5m；</w:t>
            </w:r>
          </w:p>
          <w:p w14:paraId="4A71E144">
            <w:pPr>
              <w:spacing w:line="360" w:lineRule="auto"/>
              <w:ind w:firstLine="480" w:firstLineChars="200"/>
              <w:rPr>
                <w:color w:val="auto"/>
                <w:sz w:val="24"/>
              </w:rPr>
            </w:pPr>
            <w:r>
              <w:rPr>
                <w:color w:val="auto"/>
                <w:sz w:val="24"/>
              </w:rPr>
              <w:t>主要设备 ：1、气动隔膜泵，2台，一用一备，口径3寸；</w:t>
            </w:r>
          </w:p>
          <w:p w14:paraId="0F015A51">
            <w:pPr>
              <w:spacing w:line="360" w:lineRule="auto"/>
              <w:ind w:firstLine="480" w:firstLineChars="200"/>
              <w:rPr>
                <w:color w:val="auto"/>
                <w:sz w:val="24"/>
              </w:rPr>
            </w:pPr>
            <w:r>
              <w:rPr>
                <w:color w:val="auto"/>
                <w:sz w:val="24"/>
              </w:rPr>
              <w:t xml:space="preserve">           2、空压机，1台，N=</w:t>
            </w:r>
            <w:r>
              <w:rPr>
                <w:rFonts w:hint="eastAsia"/>
                <w:color w:val="auto"/>
                <w:sz w:val="24"/>
              </w:rPr>
              <w:t>15</w:t>
            </w:r>
            <w:r>
              <w:rPr>
                <w:color w:val="auto"/>
                <w:sz w:val="24"/>
              </w:rPr>
              <w:t>kW，含1m</w:t>
            </w:r>
            <w:r>
              <w:rPr>
                <w:color w:val="auto"/>
                <w:sz w:val="24"/>
                <w:vertAlign w:val="superscript"/>
              </w:rPr>
              <w:t>3</w:t>
            </w:r>
            <w:r>
              <w:rPr>
                <w:color w:val="auto"/>
                <w:sz w:val="24"/>
              </w:rPr>
              <w:t>储气罐1台。</w:t>
            </w:r>
          </w:p>
          <w:p w14:paraId="214E5344">
            <w:pPr>
              <w:spacing w:line="360" w:lineRule="auto"/>
              <w:ind w:firstLine="1920" w:firstLineChars="800"/>
              <w:rPr>
                <w:color w:val="auto"/>
                <w:sz w:val="24"/>
              </w:rPr>
            </w:pPr>
            <w:r>
              <w:rPr>
                <w:rFonts w:hint="eastAsia"/>
                <w:color w:val="auto"/>
                <w:sz w:val="24"/>
                <w:lang w:eastAsia="zh-CN"/>
              </w:rPr>
              <w:t>3.</w:t>
            </w:r>
            <w:r>
              <w:rPr>
                <w:color w:val="auto"/>
                <w:sz w:val="24"/>
              </w:rPr>
              <w:t>液下推流搅拌机，304，1台，N=</w:t>
            </w:r>
            <w:r>
              <w:rPr>
                <w:rFonts w:hint="eastAsia"/>
                <w:color w:val="auto"/>
                <w:sz w:val="24"/>
              </w:rPr>
              <w:t>2</w:t>
            </w:r>
            <w:r>
              <w:rPr>
                <w:color w:val="auto"/>
                <w:sz w:val="24"/>
              </w:rPr>
              <w:t>.5kW；</w:t>
            </w:r>
          </w:p>
          <w:p w14:paraId="079164FE">
            <w:pPr>
              <w:spacing w:line="360" w:lineRule="auto"/>
              <w:ind w:firstLine="1920" w:firstLineChars="800"/>
              <w:rPr>
                <w:color w:val="auto"/>
                <w:sz w:val="24"/>
              </w:rPr>
            </w:pPr>
            <w:r>
              <w:rPr>
                <w:rFonts w:hint="eastAsia"/>
                <w:color w:val="auto"/>
                <w:sz w:val="24"/>
                <w:lang w:eastAsia="zh-CN"/>
              </w:rPr>
              <w:t>4.</w:t>
            </w:r>
            <w:r>
              <w:rPr>
                <w:rFonts w:hint="eastAsia"/>
                <w:color w:val="auto"/>
                <w:sz w:val="24"/>
              </w:rPr>
              <w:t>12公斤隔膜式</w:t>
            </w:r>
            <w:r>
              <w:rPr>
                <w:color w:val="auto"/>
                <w:sz w:val="24"/>
              </w:rPr>
              <w:t>板框压滤机，1台，1</w:t>
            </w:r>
            <w:r>
              <w:rPr>
                <w:rFonts w:hint="eastAsia"/>
                <w:color w:val="auto"/>
                <w:sz w:val="24"/>
              </w:rPr>
              <w:t>2</w:t>
            </w:r>
            <w:r>
              <w:rPr>
                <w:color w:val="auto"/>
                <w:sz w:val="24"/>
              </w:rPr>
              <w:t>0m</w:t>
            </w:r>
            <w:r>
              <w:rPr>
                <w:color w:val="auto"/>
                <w:sz w:val="24"/>
                <w:vertAlign w:val="superscript"/>
              </w:rPr>
              <w:t>2</w:t>
            </w:r>
            <w:r>
              <w:rPr>
                <w:color w:val="auto"/>
                <w:sz w:val="24"/>
              </w:rPr>
              <w:t>滤布，配套设备含自动拉板机和接液翻板</w:t>
            </w:r>
            <w:r>
              <w:rPr>
                <w:rFonts w:hint="eastAsia"/>
                <w:color w:val="auto"/>
                <w:sz w:val="24"/>
              </w:rPr>
              <w:t>、安装底座、储泥斗、反吹系统</w:t>
            </w:r>
            <w:r>
              <w:rPr>
                <w:color w:val="auto"/>
                <w:sz w:val="24"/>
              </w:rPr>
              <w:t>。</w:t>
            </w:r>
          </w:p>
          <w:p w14:paraId="4351C3A6">
            <w:pPr>
              <w:spacing w:line="360" w:lineRule="auto"/>
              <w:ind w:firstLine="482" w:firstLineChars="200"/>
              <w:rPr>
                <w:b/>
                <w:color w:val="auto"/>
                <w:sz w:val="24"/>
              </w:rPr>
            </w:pPr>
            <w:r>
              <w:rPr>
                <w:rFonts w:hint="eastAsia"/>
                <w:b/>
                <w:color w:val="auto"/>
                <w:sz w:val="24"/>
              </w:rPr>
              <w:t>（</w:t>
            </w:r>
            <w:r>
              <w:rPr>
                <w:b/>
                <w:color w:val="auto"/>
                <w:sz w:val="24"/>
              </w:rPr>
              <w:t>i</w:t>
            </w:r>
            <w:r>
              <w:rPr>
                <w:rFonts w:hint="eastAsia"/>
                <w:b/>
                <w:color w:val="auto"/>
                <w:sz w:val="24"/>
              </w:rPr>
              <w:t>）应急事故池</w:t>
            </w:r>
          </w:p>
          <w:p w14:paraId="387EEAF7">
            <w:pPr>
              <w:spacing w:line="360" w:lineRule="auto"/>
              <w:ind w:firstLine="480" w:firstLineChars="200"/>
              <w:rPr>
                <w:color w:val="auto"/>
                <w:sz w:val="24"/>
              </w:rPr>
            </w:pPr>
            <w:r>
              <w:rPr>
                <w:color w:val="auto"/>
                <w:sz w:val="24"/>
              </w:rPr>
              <w:t>结构：地下式钢砼结构；</w:t>
            </w:r>
          </w:p>
          <w:p w14:paraId="676A9CB3">
            <w:pPr>
              <w:spacing w:line="360" w:lineRule="auto"/>
              <w:ind w:firstLine="480" w:firstLineChars="200"/>
              <w:rPr>
                <w:color w:val="auto"/>
                <w:sz w:val="24"/>
              </w:rPr>
            </w:pPr>
            <w:r>
              <w:rPr>
                <w:color w:val="auto"/>
                <w:sz w:val="24"/>
              </w:rPr>
              <w:t>主要功能：储存废水站不达标</w:t>
            </w:r>
            <w:r>
              <w:rPr>
                <w:rFonts w:hint="eastAsia"/>
                <w:color w:val="auto"/>
                <w:sz w:val="24"/>
              </w:rPr>
              <w:t>水及</w:t>
            </w:r>
            <w:r>
              <w:rPr>
                <w:color w:val="auto"/>
                <w:sz w:val="24"/>
              </w:rPr>
              <w:t>事故水，再处理；</w:t>
            </w:r>
          </w:p>
          <w:p w14:paraId="712B7030">
            <w:pPr>
              <w:spacing w:line="360" w:lineRule="auto"/>
              <w:ind w:firstLine="480" w:firstLineChars="200"/>
              <w:rPr>
                <w:color w:val="auto"/>
                <w:sz w:val="24"/>
              </w:rPr>
            </w:pPr>
            <w:r>
              <w:rPr>
                <w:color w:val="auto"/>
                <w:sz w:val="24"/>
              </w:rPr>
              <w:t>工艺尺寸：</w:t>
            </w:r>
            <w:r>
              <w:rPr>
                <w:rFonts w:hint="eastAsia"/>
                <w:color w:val="auto"/>
                <w:sz w:val="24"/>
                <w:lang w:val="en-US" w:eastAsia="zh-CN"/>
              </w:rPr>
              <w:t>12.9</w:t>
            </w:r>
            <w:r>
              <w:rPr>
                <w:color w:val="auto"/>
                <w:sz w:val="24"/>
              </w:rPr>
              <w:t>m×</w:t>
            </w:r>
            <w:r>
              <w:rPr>
                <w:rFonts w:hint="eastAsia"/>
                <w:color w:val="auto"/>
                <w:sz w:val="24"/>
              </w:rPr>
              <w:t>8.8</w:t>
            </w:r>
            <w:r>
              <w:rPr>
                <w:color w:val="auto"/>
                <w:sz w:val="24"/>
              </w:rPr>
              <w:t>m×5.0m；</w:t>
            </w:r>
          </w:p>
          <w:p w14:paraId="6F16F846">
            <w:pPr>
              <w:spacing w:line="360" w:lineRule="auto"/>
              <w:ind w:firstLine="480" w:firstLineChars="200"/>
              <w:rPr>
                <w:color w:val="auto"/>
                <w:sz w:val="24"/>
              </w:rPr>
            </w:pPr>
            <w:r>
              <w:rPr>
                <w:color w:val="auto"/>
                <w:sz w:val="24"/>
              </w:rPr>
              <w:t>有效水深：4.5m；</w:t>
            </w:r>
          </w:p>
          <w:p w14:paraId="35A96BEA">
            <w:pPr>
              <w:spacing w:line="360" w:lineRule="auto"/>
              <w:ind w:firstLine="480" w:firstLineChars="200"/>
              <w:rPr>
                <w:color w:val="auto"/>
                <w:sz w:val="24"/>
              </w:rPr>
            </w:pPr>
            <w:r>
              <w:rPr>
                <w:color w:val="auto"/>
                <w:sz w:val="24"/>
              </w:rPr>
              <w:t>有效池容：</w:t>
            </w:r>
            <w:r>
              <w:rPr>
                <w:rFonts w:hint="eastAsia"/>
                <w:color w:val="auto"/>
                <w:sz w:val="24"/>
                <w:lang w:val="en-US" w:eastAsia="zh-CN"/>
              </w:rPr>
              <w:t>513</w:t>
            </w:r>
            <w:r>
              <w:rPr>
                <w:color w:val="auto"/>
                <w:sz w:val="24"/>
              </w:rPr>
              <w:t>m</w:t>
            </w:r>
            <w:r>
              <w:rPr>
                <w:color w:val="auto"/>
                <w:sz w:val="24"/>
                <w:vertAlign w:val="superscript"/>
              </w:rPr>
              <w:t>3</w:t>
            </w:r>
            <w:r>
              <w:rPr>
                <w:color w:val="auto"/>
                <w:sz w:val="24"/>
              </w:rPr>
              <w:t>；</w:t>
            </w:r>
          </w:p>
          <w:p w14:paraId="5BB0EA5E">
            <w:pPr>
              <w:spacing w:line="360" w:lineRule="auto"/>
              <w:ind w:firstLine="480" w:firstLineChars="200"/>
              <w:rPr>
                <w:color w:val="auto"/>
                <w:sz w:val="24"/>
              </w:rPr>
            </w:pPr>
            <w:r>
              <w:rPr>
                <w:color w:val="auto"/>
                <w:sz w:val="24"/>
              </w:rPr>
              <w:t>主要设备：1、提升泵：304，潜污泵，2台，一用一备，Q=100m</w:t>
            </w:r>
            <w:r>
              <w:rPr>
                <w:color w:val="auto"/>
                <w:sz w:val="24"/>
                <w:vertAlign w:val="superscript"/>
              </w:rPr>
              <w:t>3</w:t>
            </w:r>
            <w:r>
              <w:rPr>
                <w:color w:val="auto"/>
                <w:sz w:val="24"/>
              </w:rPr>
              <w:t>/h，H=15m，N=7.5</w:t>
            </w:r>
            <w:r>
              <w:rPr>
                <w:rFonts w:hint="eastAsia"/>
                <w:color w:val="auto"/>
                <w:sz w:val="24"/>
                <w:lang w:eastAsia="zh-CN"/>
              </w:rPr>
              <w:t>kW</w:t>
            </w:r>
            <w:r>
              <w:rPr>
                <w:color w:val="auto"/>
                <w:sz w:val="24"/>
              </w:rPr>
              <w:t>；</w:t>
            </w:r>
          </w:p>
          <w:p w14:paraId="0806CFA4">
            <w:pPr>
              <w:spacing w:line="360" w:lineRule="auto"/>
              <w:ind w:firstLine="1680" w:firstLineChars="700"/>
              <w:rPr>
                <w:color w:val="auto"/>
                <w:sz w:val="24"/>
              </w:rPr>
            </w:pPr>
            <w:r>
              <w:rPr>
                <w:rFonts w:hint="eastAsia"/>
                <w:color w:val="auto"/>
                <w:sz w:val="24"/>
                <w:lang w:eastAsia="zh-CN"/>
              </w:rPr>
              <w:t>2.</w:t>
            </w:r>
            <w:r>
              <w:rPr>
                <w:color w:val="auto"/>
                <w:sz w:val="24"/>
              </w:rPr>
              <w:t>浮球液位计，1套；</w:t>
            </w:r>
          </w:p>
          <w:p w14:paraId="1B330D1B">
            <w:pPr>
              <w:spacing w:line="360" w:lineRule="auto"/>
              <w:ind w:firstLine="1680" w:firstLineChars="700"/>
              <w:rPr>
                <w:color w:val="auto"/>
                <w:sz w:val="24"/>
              </w:rPr>
            </w:pPr>
            <w:r>
              <w:rPr>
                <w:rFonts w:hint="eastAsia"/>
                <w:color w:val="auto"/>
                <w:sz w:val="24"/>
                <w:lang w:eastAsia="zh-CN"/>
              </w:rPr>
              <w:t>3.</w:t>
            </w:r>
            <w:r>
              <w:rPr>
                <w:color w:val="auto"/>
                <w:sz w:val="24"/>
              </w:rPr>
              <w:t>液下推流搅拌机，2台，304，N=3.0kW</w:t>
            </w:r>
            <w:r>
              <w:rPr>
                <w:rFonts w:hint="eastAsia"/>
                <w:color w:val="auto"/>
                <w:sz w:val="24"/>
              </w:rPr>
              <w:t>；</w:t>
            </w:r>
          </w:p>
          <w:p w14:paraId="4934CDCA">
            <w:pPr>
              <w:spacing w:line="360" w:lineRule="auto"/>
              <w:ind w:firstLine="480" w:firstLineChars="200"/>
              <w:rPr>
                <w:color w:val="auto"/>
                <w:sz w:val="24"/>
              </w:rPr>
            </w:pPr>
            <w:r>
              <w:rPr>
                <w:rFonts w:hint="eastAsia"/>
                <w:color w:val="auto"/>
                <w:sz w:val="24"/>
              </w:rPr>
              <w:t xml:space="preserve">          4、电磁流量计，1套，0-</w:t>
            </w:r>
            <w:r>
              <w:rPr>
                <w:color w:val="auto"/>
                <w:sz w:val="24"/>
              </w:rPr>
              <w:t>100</w:t>
            </w:r>
            <w:r>
              <w:rPr>
                <w:rFonts w:hint="eastAsia"/>
                <w:color w:val="auto"/>
                <w:sz w:val="24"/>
              </w:rPr>
              <w:t>m</w:t>
            </w:r>
            <w:r>
              <w:rPr>
                <w:rFonts w:hint="eastAsia"/>
                <w:color w:val="auto"/>
                <w:sz w:val="24"/>
                <w:vertAlign w:val="superscript"/>
              </w:rPr>
              <w:t>3</w:t>
            </w:r>
            <w:r>
              <w:rPr>
                <w:rFonts w:hint="eastAsia"/>
                <w:color w:val="auto"/>
                <w:sz w:val="24"/>
              </w:rPr>
              <w:t>/h。</w:t>
            </w:r>
          </w:p>
          <w:p w14:paraId="709B9359">
            <w:pPr>
              <w:spacing w:line="360" w:lineRule="auto"/>
              <w:ind w:firstLine="482" w:firstLineChars="200"/>
              <w:rPr>
                <w:b/>
                <w:color w:val="auto"/>
                <w:kern w:val="0"/>
                <w:sz w:val="24"/>
                <w:lang w:bidi="hi-IN"/>
              </w:rPr>
            </w:pPr>
            <w:r>
              <w:rPr>
                <w:rFonts w:hint="eastAsia"/>
                <w:b/>
                <w:color w:val="auto"/>
                <w:sz w:val="24"/>
              </w:rPr>
              <w:t>（j）辅助用房</w:t>
            </w:r>
          </w:p>
          <w:p w14:paraId="158762F0">
            <w:pPr>
              <w:spacing w:line="360" w:lineRule="auto"/>
              <w:ind w:firstLine="480" w:firstLineChars="200"/>
              <w:rPr>
                <w:color w:val="auto"/>
                <w:sz w:val="24"/>
              </w:rPr>
            </w:pPr>
            <w:r>
              <w:rPr>
                <w:color w:val="auto"/>
                <w:sz w:val="24"/>
              </w:rPr>
              <w:t>辅助用房</w:t>
            </w:r>
            <w:r>
              <w:rPr>
                <w:rFonts w:hint="eastAsia"/>
                <w:color w:val="auto"/>
                <w:sz w:val="24"/>
              </w:rPr>
              <w:t>（压滤机房、中控室、气浮间、值班室、化验室、格栅间）</w:t>
            </w:r>
            <w:r>
              <w:rPr>
                <w:color w:val="auto"/>
                <w:sz w:val="24"/>
              </w:rPr>
              <w:t>建于收集系统上部</w:t>
            </w:r>
            <w:r>
              <w:rPr>
                <w:rFonts w:hint="eastAsia"/>
                <w:color w:val="auto"/>
                <w:sz w:val="24"/>
              </w:rPr>
              <w:t>（收集系统顶部加盖）</w:t>
            </w:r>
            <w:r>
              <w:rPr>
                <w:color w:val="auto"/>
                <w:sz w:val="24"/>
              </w:rPr>
              <w:t>，</w:t>
            </w:r>
            <w:r>
              <w:rPr>
                <w:rFonts w:hint="eastAsia"/>
                <w:color w:val="auto"/>
                <w:sz w:val="24"/>
              </w:rPr>
              <w:t>其余辅助用房（风机房、空压机房）位于地面，</w:t>
            </w:r>
            <w:r>
              <w:rPr>
                <w:color w:val="auto"/>
                <w:sz w:val="24"/>
              </w:rPr>
              <w:t>采用砖混或大棚结构</w:t>
            </w:r>
            <w:r>
              <w:rPr>
                <w:rFonts w:hint="eastAsia"/>
                <w:color w:val="auto"/>
                <w:sz w:val="24"/>
              </w:rPr>
              <w:t>，具体尺寸和位置可视现场情况再行确定</w:t>
            </w:r>
            <w:r>
              <w:rPr>
                <w:color w:val="auto"/>
                <w:sz w:val="24"/>
              </w:rPr>
              <w:t>。</w:t>
            </w:r>
          </w:p>
          <w:p w14:paraId="136BEE49">
            <w:pPr>
              <w:spacing w:line="360" w:lineRule="auto"/>
              <w:ind w:firstLine="480" w:firstLineChars="200"/>
              <w:jc w:val="left"/>
              <w:rPr>
                <w:b/>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3 \* GB3</w:instrText>
            </w:r>
            <w:r>
              <w:rPr>
                <w:color w:val="auto"/>
                <w:sz w:val="24"/>
              </w:rPr>
              <w:instrText xml:space="preserve"> </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lang w:val="en-US" w:eastAsia="zh-CN"/>
              </w:rPr>
              <w:t>依托</w:t>
            </w:r>
            <w:r>
              <w:rPr>
                <w:rFonts w:hint="eastAsia"/>
                <w:color w:val="auto"/>
                <w:sz w:val="24"/>
              </w:rPr>
              <w:t>可行性</w:t>
            </w:r>
            <w:r>
              <w:rPr>
                <w:color w:val="auto"/>
                <w:sz w:val="24"/>
              </w:rPr>
              <w:t>分析</w:t>
            </w:r>
          </w:p>
          <w:p w14:paraId="0C5E2624">
            <w:pPr>
              <w:numPr>
                <w:ilvl w:val="0"/>
                <w:numId w:val="8"/>
              </w:numPr>
              <w:spacing w:line="360" w:lineRule="auto"/>
              <w:jc w:val="left"/>
              <w:rPr>
                <w:b/>
                <w:color w:val="auto"/>
                <w:sz w:val="24"/>
              </w:rPr>
            </w:pPr>
            <w:r>
              <w:rPr>
                <w:color w:val="auto"/>
                <w:sz w:val="24"/>
              </w:rPr>
              <w:t>处理能力可行性分析</w:t>
            </w:r>
          </w:p>
          <w:p w14:paraId="21F4F0F5">
            <w:pPr>
              <w:spacing w:line="360" w:lineRule="auto"/>
              <w:ind w:firstLine="480" w:firstLineChars="200"/>
              <w:rPr>
                <w:color w:val="auto"/>
                <w:sz w:val="24"/>
              </w:rPr>
            </w:pPr>
            <w:r>
              <w:rPr>
                <w:color w:val="auto"/>
                <w:sz w:val="24"/>
              </w:rPr>
              <w:t>厂内综合污水处理站设计处理能力为1600t/d，</w:t>
            </w:r>
            <w:r>
              <w:rPr>
                <w:rFonts w:hint="eastAsia"/>
                <w:color w:val="auto"/>
                <w:sz w:val="24"/>
                <w:lang w:val="en-US" w:eastAsia="zh-CN"/>
              </w:rPr>
              <w:t>根据一期现有项目验收情况</w:t>
            </w:r>
            <w:r>
              <w:rPr>
                <w:color w:val="auto"/>
                <w:sz w:val="24"/>
              </w:rPr>
              <w:t>排入污水处理站处理的</w:t>
            </w:r>
            <w:r>
              <w:rPr>
                <w:rFonts w:hint="eastAsia"/>
                <w:color w:val="auto"/>
                <w:sz w:val="24"/>
                <w:lang w:eastAsia="zh-CN"/>
              </w:rPr>
              <w:t>综合</w:t>
            </w:r>
            <w:r>
              <w:rPr>
                <w:color w:val="auto"/>
                <w:sz w:val="24"/>
              </w:rPr>
              <w:t>废水总计</w:t>
            </w:r>
            <w:r>
              <w:rPr>
                <w:rFonts w:hint="eastAsia"/>
                <w:color w:val="auto"/>
                <w:sz w:val="24"/>
                <w:lang w:val="en-US" w:eastAsia="zh-CN"/>
              </w:rPr>
              <w:t>145825</w:t>
            </w:r>
            <w:r>
              <w:rPr>
                <w:color w:val="auto"/>
                <w:sz w:val="24"/>
              </w:rPr>
              <w:t>t/a（</w:t>
            </w:r>
            <w:r>
              <w:rPr>
                <w:rFonts w:hint="eastAsia"/>
                <w:color w:val="auto"/>
                <w:sz w:val="24"/>
                <w:lang w:val="en-US" w:eastAsia="zh-CN"/>
              </w:rPr>
              <w:t>399.5</w:t>
            </w:r>
            <w:r>
              <w:rPr>
                <w:color w:val="auto"/>
                <w:sz w:val="24"/>
              </w:rPr>
              <w:t>t/d）</w:t>
            </w:r>
            <w:r>
              <w:rPr>
                <w:rFonts w:hint="eastAsia"/>
                <w:color w:val="auto"/>
                <w:sz w:val="24"/>
                <w:lang w:val="en-US" w:eastAsia="zh-CN"/>
              </w:rPr>
              <w:t>，</w:t>
            </w:r>
            <w:r>
              <w:rPr>
                <w:rFonts w:hint="eastAsia"/>
                <w:color w:val="auto"/>
                <w:sz w:val="24"/>
                <w:lang w:eastAsia="zh-CN"/>
              </w:rPr>
              <w:t>二期未建设项目拟</w:t>
            </w:r>
            <w:r>
              <w:rPr>
                <w:color w:val="auto"/>
                <w:sz w:val="24"/>
              </w:rPr>
              <w:t>排入污水处理站处理的</w:t>
            </w:r>
            <w:r>
              <w:rPr>
                <w:rFonts w:hint="eastAsia"/>
                <w:color w:val="auto"/>
                <w:sz w:val="24"/>
                <w:lang w:eastAsia="zh-CN"/>
              </w:rPr>
              <w:t>综合</w:t>
            </w:r>
            <w:r>
              <w:rPr>
                <w:color w:val="auto"/>
                <w:sz w:val="24"/>
              </w:rPr>
              <w:t>废水总计</w:t>
            </w:r>
            <w:r>
              <w:rPr>
                <w:rFonts w:hint="eastAsia"/>
                <w:color w:val="auto"/>
                <w:sz w:val="24"/>
                <w:lang w:val="en-US" w:eastAsia="zh-CN"/>
              </w:rPr>
              <w:t>148530</w:t>
            </w:r>
            <w:r>
              <w:rPr>
                <w:color w:val="auto"/>
                <w:sz w:val="24"/>
              </w:rPr>
              <w:t>t/a（</w:t>
            </w:r>
            <w:r>
              <w:rPr>
                <w:rFonts w:hint="eastAsia"/>
                <w:color w:val="auto"/>
                <w:sz w:val="24"/>
                <w:lang w:val="en-US" w:eastAsia="zh-CN"/>
              </w:rPr>
              <w:t>406.9</w:t>
            </w:r>
            <w:r>
              <w:rPr>
                <w:color w:val="auto"/>
                <w:sz w:val="24"/>
              </w:rPr>
              <w:t>t/d）。</w:t>
            </w:r>
            <w:r>
              <w:rPr>
                <w:rFonts w:hint="eastAsia"/>
                <w:color w:val="auto"/>
                <w:sz w:val="24"/>
                <w:lang w:val="en-US" w:eastAsia="zh-CN"/>
              </w:rPr>
              <w:t>剩余793.6t/d的处理能力足够处理扩建项目每天产生的废水，据目前分析，扩建项目每天产生废水量约128.4t。</w:t>
            </w:r>
            <w:r>
              <w:rPr>
                <w:color w:val="auto"/>
                <w:sz w:val="24"/>
              </w:rPr>
              <w:t>综上，</w:t>
            </w:r>
            <w:r>
              <w:rPr>
                <w:rFonts w:hint="eastAsia"/>
                <w:color w:val="auto"/>
                <w:sz w:val="24"/>
                <w:lang w:val="en-US" w:eastAsia="zh-CN"/>
              </w:rPr>
              <w:t>扩建</w:t>
            </w:r>
            <w:r>
              <w:rPr>
                <w:color w:val="auto"/>
                <w:sz w:val="24"/>
              </w:rPr>
              <w:t>项目生产废水</w:t>
            </w:r>
            <w:r>
              <w:rPr>
                <w:rFonts w:hint="eastAsia"/>
                <w:color w:val="auto"/>
                <w:sz w:val="24"/>
                <w:lang w:val="en-US" w:eastAsia="zh-CN"/>
              </w:rPr>
              <w:t>可依托现有</w:t>
            </w:r>
            <w:r>
              <w:rPr>
                <w:color w:val="auto"/>
                <w:sz w:val="24"/>
              </w:rPr>
              <w:t>污水处理系统。</w:t>
            </w:r>
          </w:p>
          <w:p w14:paraId="60899CC7">
            <w:pPr>
              <w:numPr>
                <w:ilvl w:val="0"/>
                <w:numId w:val="8"/>
              </w:numPr>
              <w:spacing w:line="360" w:lineRule="auto"/>
              <w:rPr>
                <w:b/>
                <w:color w:val="auto"/>
                <w:sz w:val="24"/>
              </w:rPr>
            </w:pPr>
            <w:r>
              <w:rPr>
                <w:color w:val="auto"/>
                <w:sz w:val="24"/>
              </w:rPr>
              <w:t>处理工艺可行性分析</w:t>
            </w:r>
          </w:p>
          <w:p w14:paraId="6D1ABD83">
            <w:pPr>
              <w:spacing w:line="360" w:lineRule="auto"/>
              <w:ind w:firstLine="480" w:firstLineChars="200"/>
              <w:rPr>
                <w:color w:val="auto"/>
                <w:sz w:val="24"/>
              </w:rPr>
            </w:pPr>
            <w:r>
              <w:rPr>
                <w:rFonts w:hint="eastAsia"/>
                <w:color w:val="auto"/>
                <w:sz w:val="24"/>
              </w:rPr>
              <w:t>混凝气浮池：根据《污水气浮处理工程技术规范》（HJ 2007-2010）：“气浮是指通过某种方法产生大量微气泡，</w:t>
            </w:r>
            <w:r>
              <w:rPr>
                <w:rFonts w:hint="eastAsia"/>
                <w:color w:val="auto"/>
                <w:sz w:val="24"/>
                <w:lang w:eastAsia="zh-CN"/>
              </w:rPr>
              <w:t>黏附</w:t>
            </w:r>
            <w:r>
              <w:rPr>
                <w:rFonts w:hint="eastAsia"/>
                <w:color w:val="auto"/>
                <w:sz w:val="24"/>
              </w:rPr>
              <w:t>水中悬浮和脱稳胶体颗粒，在水中上浮完成固液分离的一种过程。气浮工艺处理对象为疏水性悬浮物（SS）及脱稳胶体颗粒，原水SS浓度可以高达5000</w:t>
            </w:r>
            <w:r>
              <w:rPr>
                <w:rFonts w:hint="eastAsia"/>
                <w:color w:val="auto"/>
                <w:sz w:val="24"/>
                <w:lang w:eastAsia="zh-CN"/>
              </w:rPr>
              <w:t>～</w:t>
            </w:r>
            <w:r>
              <w:rPr>
                <w:rFonts w:hint="eastAsia"/>
                <w:color w:val="auto"/>
                <w:sz w:val="24"/>
              </w:rPr>
              <w:t>10000mg/L。气浮出水SS一般可小于20</w:t>
            </w:r>
            <w:r>
              <w:rPr>
                <w:rFonts w:hint="eastAsia"/>
                <w:color w:val="auto"/>
                <w:sz w:val="24"/>
                <w:lang w:eastAsia="zh-CN"/>
              </w:rPr>
              <w:t>～</w:t>
            </w:r>
            <w:r>
              <w:rPr>
                <w:rFonts w:hint="eastAsia"/>
                <w:color w:val="auto"/>
                <w:sz w:val="24"/>
              </w:rPr>
              <w:t>30mg/L。”</w:t>
            </w:r>
          </w:p>
          <w:p w14:paraId="06466727">
            <w:pPr>
              <w:spacing w:line="360" w:lineRule="auto"/>
              <w:ind w:firstLine="480" w:firstLineChars="200"/>
              <w:rPr>
                <w:color w:val="auto"/>
                <w:sz w:val="24"/>
              </w:rPr>
            </w:pPr>
            <w:r>
              <w:rPr>
                <w:rFonts w:hint="eastAsia"/>
                <w:color w:val="auto"/>
                <w:sz w:val="24"/>
              </w:rPr>
              <w:t>水解酸化池：根据《水解酸化反应器污水处理工程技术规范》（HJ 2047-2015）：“水解酸化是指将厌氧生物反应控制在水解和酸化阶段，利用厌氧或兼性菌在水解和酸化阶段的作用，将污水中悬浮性有机固体和难生物降解的大分子物质（包括碳水化合物、脂肪和脂类等）水解成溶解性有机物和易生物降解的小分子物质，小分子有机物</w:t>
            </w:r>
            <w:r>
              <w:rPr>
                <w:rFonts w:hint="eastAsia"/>
                <w:color w:val="auto"/>
                <w:sz w:val="24"/>
                <w:lang w:eastAsia="zh-CN"/>
              </w:rPr>
              <w:t>再</w:t>
            </w:r>
            <w:r>
              <w:rPr>
                <w:rFonts w:hint="eastAsia"/>
                <w:color w:val="auto"/>
                <w:sz w:val="24"/>
              </w:rPr>
              <w:t>酸化菌作用下转化成挥发性脂肪酸的污水处理装置。进水水质可生化性较好，非溶解性COD比例&gt;60%时，SS去除效率可达50%</w:t>
            </w:r>
            <w:r>
              <w:rPr>
                <w:rFonts w:hint="eastAsia"/>
                <w:color w:val="auto"/>
                <w:sz w:val="24"/>
                <w:lang w:eastAsia="zh-CN"/>
              </w:rPr>
              <w:t>～</w:t>
            </w:r>
            <w:r>
              <w:rPr>
                <w:rFonts w:hint="eastAsia"/>
                <w:color w:val="auto"/>
                <w:sz w:val="24"/>
              </w:rPr>
              <w:t>80%、COD</w:t>
            </w:r>
            <w:r>
              <w:rPr>
                <w:rFonts w:hint="eastAsia"/>
                <w:color w:val="auto"/>
                <w:sz w:val="24"/>
                <w:vertAlign w:val="subscript"/>
              </w:rPr>
              <w:t>Cr</w:t>
            </w:r>
            <w:r>
              <w:rPr>
                <w:rFonts w:hint="eastAsia"/>
                <w:color w:val="auto"/>
                <w:sz w:val="24"/>
              </w:rPr>
              <w:t>去除效率可达30%</w:t>
            </w:r>
            <w:r>
              <w:rPr>
                <w:rFonts w:hint="eastAsia"/>
                <w:color w:val="auto"/>
                <w:sz w:val="24"/>
                <w:lang w:eastAsia="zh-CN"/>
              </w:rPr>
              <w:t>～</w:t>
            </w:r>
            <w:r>
              <w:rPr>
                <w:rFonts w:hint="eastAsia"/>
                <w:color w:val="auto"/>
                <w:sz w:val="24"/>
              </w:rPr>
              <w:t>50%、BOD5去除效率可达20%</w:t>
            </w:r>
            <w:r>
              <w:rPr>
                <w:rFonts w:hint="eastAsia"/>
                <w:color w:val="auto"/>
                <w:sz w:val="24"/>
                <w:lang w:eastAsia="zh-CN"/>
              </w:rPr>
              <w:t>～</w:t>
            </w:r>
            <w:r>
              <w:rPr>
                <w:rFonts w:hint="eastAsia"/>
                <w:color w:val="auto"/>
                <w:sz w:val="24"/>
              </w:rPr>
              <w:t>40%；</w:t>
            </w:r>
            <w:r>
              <w:rPr>
                <w:rFonts w:hint="eastAsia"/>
                <w:color w:val="auto"/>
                <w:sz w:val="24"/>
              </w:rPr>
              <w:br w:type="textWrapping"/>
            </w:r>
            <w:r>
              <w:rPr>
                <w:rFonts w:hint="eastAsia"/>
                <w:color w:val="auto"/>
                <w:sz w:val="24"/>
              </w:rPr>
              <w:t>进水水质可生化性一般，非溶解性COD比例30%</w:t>
            </w:r>
            <w:r>
              <w:rPr>
                <w:rFonts w:hint="eastAsia"/>
                <w:color w:val="auto"/>
                <w:sz w:val="24"/>
                <w:lang w:eastAsia="zh-CN"/>
              </w:rPr>
              <w:t>～</w:t>
            </w:r>
            <w:r>
              <w:rPr>
                <w:rFonts w:hint="eastAsia"/>
                <w:color w:val="auto"/>
                <w:sz w:val="24"/>
              </w:rPr>
              <w:t>60%时，SS去除效率可达30%</w:t>
            </w:r>
            <w:r>
              <w:rPr>
                <w:rFonts w:hint="eastAsia"/>
                <w:color w:val="auto"/>
                <w:sz w:val="24"/>
                <w:lang w:eastAsia="zh-CN"/>
              </w:rPr>
              <w:t>～</w:t>
            </w:r>
            <w:r>
              <w:rPr>
                <w:rFonts w:hint="eastAsia"/>
                <w:color w:val="auto"/>
                <w:sz w:val="24"/>
              </w:rPr>
              <w:t>50%、COD</w:t>
            </w:r>
            <w:r>
              <w:rPr>
                <w:rFonts w:hint="eastAsia"/>
                <w:color w:val="auto"/>
                <w:sz w:val="24"/>
                <w:vertAlign w:val="subscript"/>
              </w:rPr>
              <w:t>Cr</w:t>
            </w:r>
            <w:r>
              <w:rPr>
                <w:rFonts w:hint="eastAsia"/>
                <w:color w:val="auto"/>
                <w:sz w:val="24"/>
              </w:rPr>
              <w:t>去除效率可达10%</w:t>
            </w:r>
            <w:r>
              <w:rPr>
                <w:rFonts w:hint="eastAsia"/>
                <w:color w:val="auto"/>
                <w:sz w:val="24"/>
                <w:lang w:eastAsia="zh-CN"/>
              </w:rPr>
              <w:t>～</w:t>
            </w:r>
            <w:r>
              <w:rPr>
                <w:rFonts w:hint="eastAsia"/>
                <w:color w:val="auto"/>
                <w:sz w:val="24"/>
              </w:rPr>
              <w:t>30%、BOD</w:t>
            </w:r>
            <w:r>
              <w:rPr>
                <w:rFonts w:hint="eastAsia"/>
                <w:color w:val="auto"/>
                <w:sz w:val="24"/>
                <w:vertAlign w:val="subscript"/>
              </w:rPr>
              <w:t>5</w:t>
            </w:r>
            <w:r>
              <w:rPr>
                <w:rFonts w:hint="eastAsia"/>
                <w:color w:val="auto"/>
                <w:sz w:val="24"/>
              </w:rPr>
              <w:t>去除效率可达10%</w:t>
            </w:r>
            <w:r>
              <w:rPr>
                <w:rFonts w:hint="eastAsia"/>
                <w:color w:val="auto"/>
                <w:sz w:val="24"/>
                <w:lang w:eastAsia="zh-CN"/>
              </w:rPr>
              <w:t>～</w:t>
            </w:r>
            <w:r>
              <w:rPr>
                <w:rFonts w:hint="eastAsia"/>
                <w:color w:val="auto"/>
                <w:sz w:val="24"/>
              </w:rPr>
              <w:t>20%；</w:t>
            </w:r>
            <w:r>
              <w:rPr>
                <w:rFonts w:hint="eastAsia"/>
                <w:color w:val="auto"/>
                <w:sz w:val="24"/>
              </w:rPr>
              <w:br w:type="textWrapping"/>
            </w:r>
            <w:r>
              <w:rPr>
                <w:rFonts w:hint="eastAsia"/>
                <w:color w:val="auto"/>
                <w:sz w:val="24"/>
              </w:rPr>
              <w:t>进水水质可生化性较差，非溶解性COD比例&lt;30%时，SS去除效率可达30%</w:t>
            </w:r>
            <w:r>
              <w:rPr>
                <w:rFonts w:hint="eastAsia"/>
                <w:color w:val="auto"/>
                <w:sz w:val="24"/>
                <w:lang w:eastAsia="zh-CN"/>
              </w:rPr>
              <w:t>～</w:t>
            </w:r>
            <w:r>
              <w:rPr>
                <w:rFonts w:hint="eastAsia"/>
                <w:color w:val="auto"/>
                <w:sz w:val="24"/>
              </w:rPr>
              <w:t>50%、COD</w:t>
            </w:r>
            <w:r>
              <w:rPr>
                <w:rFonts w:hint="eastAsia"/>
                <w:color w:val="auto"/>
                <w:sz w:val="24"/>
                <w:vertAlign w:val="subscript"/>
              </w:rPr>
              <w:t>Cr</w:t>
            </w:r>
            <w:r>
              <w:rPr>
                <w:rFonts w:hint="eastAsia"/>
                <w:color w:val="auto"/>
                <w:sz w:val="24"/>
              </w:rPr>
              <w:t>去除效率10%以下、BOD</w:t>
            </w:r>
            <w:r>
              <w:rPr>
                <w:rFonts w:hint="eastAsia"/>
                <w:color w:val="auto"/>
                <w:sz w:val="24"/>
                <w:vertAlign w:val="subscript"/>
              </w:rPr>
              <w:t>5</w:t>
            </w:r>
            <w:r>
              <w:rPr>
                <w:rFonts w:hint="eastAsia"/>
                <w:color w:val="auto"/>
                <w:sz w:val="24"/>
              </w:rPr>
              <w:t>去除效率10%以下。”</w:t>
            </w:r>
          </w:p>
          <w:p w14:paraId="5F7BFE82">
            <w:pPr>
              <w:spacing w:line="360" w:lineRule="auto"/>
              <w:ind w:firstLine="480" w:firstLineChars="200"/>
              <w:rPr>
                <w:color w:val="auto"/>
                <w:sz w:val="24"/>
              </w:rPr>
            </w:pPr>
            <w:r>
              <w:rPr>
                <w:rFonts w:hint="eastAsia"/>
                <w:color w:val="auto"/>
                <w:sz w:val="24"/>
              </w:rPr>
              <w:t>接触氧化池：根据《生物接触氧化法污水处理工程技术规范》（H</w:t>
            </w:r>
            <w:r>
              <w:rPr>
                <w:color w:val="auto"/>
                <w:sz w:val="24"/>
              </w:rPr>
              <w:t>J2009-2011</w:t>
            </w:r>
            <w:r>
              <w:rPr>
                <w:rFonts w:hint="eastAsia"/>
                <w:color w:val="auto"/>
                <w:sz w:val="24"/>
              </w:rPr>
              <w:t>）</w:t>
            </w:r>
            <w:r>
              <w:rPr>
                <w:rFonts w:hint="eastAsia"/>
                <w:color w:val="auto"/>
                <w:sz w:val="24"/>
                <w:lang w:eastAsia="zh-CN"/>
              </w:rPr>
              <w:t>：</w:t>
            </w:r>
            <w:r>
              <w:rPr>
                <w:rFonts w:hint="eastAsia"/>
                <w:color w:val="auto"/>
                <w:sz w:val="24"/>
              </w:rPr>
              <w:t>“生物接触氧化法指一种好氧生物膜污水处理方法，该系统浸没于污水中的填料、填料表面的生物膜、曝气系统和池体构成。在有氧条件下，污水与固着在填料表面的生物膜充分接触，通过生物降解作用去除污水中的有机物、营养盐等，使污水得到净化。处理城镇污水时污染物去除效率分别为：COD</w:t>
            </w:r>
            <w:r>
              <w:rPr>
                <w:rFonts w:hint="eastAsia"/>
                <w:color w:val="auto"/>
                <w:sz w:val="24"/>
                <w:vertAlign w:val="subscript"/>
              </w:rPr>
              <w:t>Cr</w:t>
            </w:r>
            <w:r>
              <w:rPr>
                <w:color w:val="auto"/>
                <w:sz w:val="24"/>
              </w:rPr>
              <w:t>80</w:t>
            </w:r>
            <w:r>
              <w:rPr>
                <w:rFonts w:hint="eastAsia"/>
                <w:color w:val="auto"/>
                <w:sz w:val="24"/>
                <w:lang w:eastAsia="zh-CN"/>
              </w:rPr>
              <w:t>%～</w:t>
            </w:r>
            <w:r>
              <w:rPr>
                <w:rFonts w:hint="eastAsia"/>
                <w:color w:val="auto"/>
                <w:sz w:val="24"/>
              </w:rPr>
              <w:t>90%、BOD</w:t>
            </w:r>
            <w:r>
              <w:rPr>
                <w:rFonts w:hint="eastAsia"/>
                <w:color w:val="auto"/>
                <w:sz w:val="24"/>
                <w:vertAlign w:val="subscript"/>
              </w:rPr>
              <w:t>5</w:t>
            </w:r>
            <w:r>
              <w:rPr>
                <w:rFonts w:hint="eastAsia"/>
                <w:color w:val="auto"/>
                <w:sz w:val="24"/>
              </w:rPr>
              <w:t>为</w:t>
            </w:r>
            <w:r>
              <w:rPr>
                <w:rFonts w:hint="eastAsia"/>
                <w:color w:val="auto"/>
                <w:sz w:val="24"/>
                <w:lang w:val="en-US" w:eastAsia="zh-CN"/>
              </w:rPr>
              <w:t>7</w:t>
            </w:r>
            <w:r>
              <w:rPr>
                <w:rFonts w:hint="eastAsia"/>
                <w:color w:val="auto"/>
                <w:sz w:val="24"/>
              </w:rPr>
              <w:t>0</w:t>
            </w:r>
            <w:r>
              <w:rPr>
                <w:rFonts w:hint="eastAsia"/>
                <w:color w:val="auto"/>
                <w:sz w:val="24"/>
                <w:lang w:eastAsia="zh-CN"/>
              </w:rPr>
              <w:t>%～</w:t>
            </w:r>
            <w:r>
              <w:rPr>
                <w:rFonts w:hint="eastAsia"/>
                <w:color w:val="auto"/>
                <w:sz w:val="24"/>
              </w:rPr>
              <w:t>9</w:t>
            </w:r>
            <w:r>
              <w:rPr>
                <w:rFonts w:hint="eastAsia"/>
                <w:color w:val="auto"/>
                <w:sz w:val="24"/>
                <w:lang w:val="en-US" w:eastAsia="zh-CN"/>
              </w:rPr>
              <w:t>0</w:t>
            </w:r>
            <w:r>
              <w:rPr>
                <w:rFonts w:hint="eastAsia"/>
                <w:color w:val="auto"/>
                <w:sz w:val="24"/>
              </w:rPr>
              <w:t>%、SS为</w:t>
            </w:r>
            <w:r>
              <w:rPr>
                <w:color w:val="auto"/>
                <w:sz w:val="24"/>
              </w:rPr>
              <w:t>70</w:t>
            </w:r>
            <w:r>
              <w:rPr>
                <w:rFonts w:hint="eastAsia"/>
                <w:color w:val="auto"/>
                <w:sz w:val="24"/>
                <w:lang w:eastAsia="zh-CN"/>
              </w:rPr>
              <w:t>%～</w:t>
            </w:r>
            <w:r>
              <w:rPr>
                <w:rFonts w:hint="eastAsia"/>
                <w:color w:val="auto"/>
                <w:sz w:val="24"/>
              </w:rPr>
              <w:t>9</w:t>
            </w:r>
            <w:r>
              <w:rPr>
                <w:color w:val="auto"/>
                <w:sz w:val="24"/>
              </w:rPr>
              <w:t>0</w:t>
            </w:r>
            <w:r>
              <w:rPr>
                <w:rFonts w:hint="eastAsia"/>
                <w:color w:val="auto"/>
                <w:sz w:val="24"/>
              </w:rPr>
              <w:t>%、氨氮为</w:t>
            </w:r>
            <w:r>
              <w:rPr>
                <w:color w:val="auto"/>
                <w:sz w:val="24"/>
              </w:rPr>
              <w:t>60</w:t>
            </w:r>
            <w:r>
              <w:rPr>
                <w:rFonts w:hint="eastAsia"/>
                <w:color w:val="auto"/>
                <w:sz w:val="24"/>
                <w:lang w:eastAsia="zh-CN"/>
              </w:rPr>
              <w:t>%～</w:t>
            </w:r>
            <w:r>
              <w:rPr>
                <w:rFonts w:hint="eastAsia"/>
                <w:color w:val="auto"/>
                <w:sz w:val="24"/>
              </w:rPr>
              <w:t>9</w:t>
            </w:r>
            <w:r>
              <w:rPr>
                <w:rFonts w:hint="eastAsia"/>
                <w:color w:val="auto"/>
                <w:sz w:val="24"/>
                <w:lang w:val="en-US" w:eastAsia="zh-CN"/>
              </w:rPr>
              <w:t>5</w:t>
            </w:r>
            <w:r>
              <w:rPr>
                <w:rFonts w:hint="eastAsia"/>
                <w:color w:val="auto"/>
                <w:sz w:val="24"/>
              </w:rPr>
              <w:t>%、总氮为</w:t>
            </w:r>
            <w:r>
              <w:rPr>
                <w:color w:val="auto"/>
                <w:sz w:val="24"/>
              </w:rPr>
              <w:t>50</w:t>
            </w:r>
            <w:r>
              <w:rPr>
                <w:rFonts w:hint="eastAsia"/>
                <w:color w:val="auto"/>
                <w:sz w:val="24"/>
                <w:lang w:eastAsia="zh-CN"/>
              </w:rPr>
              <w:t>%～</w:t>
            </w:r>
            <w:r>
              <w:rPr>
                <w:rFonts w:hint="eastAsia"/>
                <w:color w:val="auto"/>
                <w:sz w:val="24"/>
                <w:lang w:val="en-US" w:eastAsia="zh-CN"/>
              </w:rPr>
              <w:t>95</w:t>
            </w:r>
            <w:r>
              <w:rPr>
                <w:rFonts w:hint="eastAsia"/>
                <w:color w:val="auto"/>
                <w:sz w:val="24"/>
              </w:rPr>
              <w:t>%；处理工业污水时污染物去除效率分别为：COD</w:t>
            </w:r>
            <w:r>
              <w:rPr>
                <w:rFonts w:hint="eastAsia"/>
                <w:color w:val="auto"/>
                <w:sz w:val="24"/>
                <w:vertAlign w:val="subscript"/>
              </w:rPr>
              <w:t>Cr</w:t>
            </w:r>
            <w:r>
              <w:rPr>
                <w:color w:val="auto"/>
                <w:sz w:val="24"/>
              </w:rPr>
              <w:t>6</w:t>
            </w:r>
            <w:r>
              <w:rPr>
                <w:rFonts w:hint="eastAsia"/>
                <w:color w:val="auto"/>
                <w:sz w:val="24"/>
              </w:rPr>
              <w:t>0</w:t>
            </w:r>
            <w:r>
              <w:rPr>
                <w:rFonts w:hint="eastAsia"/>
                <w:color w:val="auto"/>
                <w:sz w:val="24"/>
                <w:lang w:eastAsia="zh-CN"/>
              </w:rPr>
              <w:t>%～</w:t>
            </w:r>
            <w:r>
              <w:rPr>
                <w:rFonts w:hint="eastAsia"/>
                <w:color w:val="auto"/>
                <w:sz w:val="24"/>
              </w:rPr>
              <w:t>90%、BOD</w:t>
            </w:r>
            <w:r>
              <w:rPr>
                <w:rFonts w:hint="eastAsia"/>
                <w:color w:val="auto"/>
                <w:sz w:val="24"/>
                <w:vertAlign w:val="subscript"/>
              </w:rPr>
              <w:t>5</w:t>
            </w:r>
            <w:r>
              <w:rPr>
                <w:rFonts w:hint="eastAsia"/>
                <w:color w:val="auto"/>
                <w:sz w:val="24"/>
              </w:rPr>
              <w:t>为70</w:t>
            </w:r>
            <w:r>
              <w:rPr>
                <w:rFonts w:hint="eastAsia"/>
                <w:color w:val="auto"/>
                <w:sz w:val="24"/>
                <w:lang w:eastAsia="zh-CN"/>
              </w:rPr>
              <w:t>%～</w:t>
            </w:r>
            <w:r>
              <w:rPr>
                <w:rFonts w:hint="eastAsia"/>
                <w:color w:val="auto"/>
                <w:sz w:val="24"/>
              </w:rPr>
              <w:t>9</w:t>
            </w:r>
            <w:r>
              <w:rPr>
                <w:color w:val="auto"/>
                <w:sz w:val="24"/>
              </w:rPr>
              <w:t>5</w:t>
            </w:r>
            <w:r>
              <w:rPr>
                <w:rFonts w:hint="eastAsia"/>
                <w:color w:val="auto"/>
                <w:sz w:val="24"/>
              </w:rPr>
              <w:t>%、SS为70</w:t>
            </w:r>
            <w:r>
              <w:rPr>
                <w:rFonts w:hint="eastAsia"/>
                <w:color w:val="auto"/>
                <w:sz w:val="24"/>
                <w:lang w:eastAsia="zh-CN"/>
              </w:rPr>
              <w:t>%～</w:t>
            </w:r>
            <w:r>
              <w:rPr>
                <w:rFonts w:hint="eastAsia"/>
                <w:color w:val="auto"/>
                <w:sz w:val="24"/>
              </w:rPr>
              <w:t>90%、氨氮为</w:t>
            </w:r>
            <w:r>
              <w:rPr>
                <w:color w:val="auto"/>
                <w:sz w:val="24"/>
              </w:rPr>
              <w:t>50</w:t>
            </w:r>
            <w:r>
              <w:rPr>
                <w:rFonts w:hint="eastAsia"/>
                <w:color w:val="auto"/>
                <w:sz w:val="24"/>
                <w:lang w:eastAsia="zh-CN"/>
              </w:rPr>
              <w:t>%～</w:t>
            </w:r>
            <w:r>
              <w:rPr>
                <w:rFonts w:hint="eastAsia"/>
                <w:color w:val="auto"/>
                <w:sz w:val="24"/>
                <w:lang w:val="en-US" w:eastAsia="zh-CN"/>
              </w:rPr>
              <w:t>95</w:t>
            </w:r>
            <w:r>
              <w:rPr>
                <w:rFonts w:hint="eastAsia"/>
                <w:color w:val="auto"/>
                <w:sz w:val="24"/>
              </w:rPr>
              <w:t>%、总氮为</w:t>
            </w:r>
            <w:r>
              <w:rPr>
                <w:color w:val="auto"/>
                <w:sz w:val="24"/>
              </w:rPr>
              <w:t>4</w:t>
            </w:r>
            <w:r>
              <w:rPr>
                <w:rFonts w:hint="eastAsia"/>
                <w:color w:val="auto"/>
                <w:sz w:val="24"/>
              </w:rPr>
              <w:t>0</w:t>
            </w:r>
            <w:r>
              <w:rPr>
                <w:rFonts w:hint="eastAsia"/>
                <w:color w:val="auto"/>
                <w:sz w:val="24"/>
                <w:lang w:eastAsia="zh-CN"/>
              </w:rPr>
              <w:t>%～</w:t>
            </w:r>
            <w:r>
              <w:rPr>
                <w:rFonts w:hint="eastAsia"/>
                <w:color w:val="auto"/>
                <w:sz w:val="24"/>
                <w:lang w:val="en-US" w:eastAsia="zh-CN"/>
              </w:rPr>
              <w:t>95</w:t>
            </w:r>
            <w:r>
              <w:rPr>
                <w:rFonts w:hint="eastAsia"/>
                <w:color w:val="auto"/>
                <w:sz w:val="24"/>
              </w:rPr>
              <w:t>%。”</w:t>
            </w:r>
          </w:p>
          <w:p w14:paraId="54DAB3C8">
            <w:pPr>
              <w:spacing w:line="360" w:lineRule="auto"/>
              <w:ind w:firstLine="480" w:firstLineChars="200"/>
              <w:rPr>
                <w:b/>
                <w:color w:val="auto"/>
                <w:sz w:val="24"/>
              </w:rPr>
            </w:pPr>
            <w:r>
              <w:rPr>
                <w:color w:val="auto"/>
                <w:sz w:val="24"/>
              </w:rPr>
              <w:t>厂内污水处理站处理工艺分级处理效率</w:t>
            </w:r>
            <w:r>
              <w:rPr>
                <w:rFonts w:hint="eastAsia"/>
                <w:color w:val="auto"/>
                <w:sz w:val="24"/>
                <w:lang w:eastAsia="zh-CN"/>
              </w:rPr>
              <w:t>根据现有</w:t>
            </w:r>
            <w:r>
              <w:rPr>
                <w:rFonts w:hint="eastAsia" w:cs="Times New Roman"/>
                <w:color w:val="auto"/>
                <w:sz w:val="24"/>
                <w:szCs w:val="24"/>
                <w:lang w:eastAsia="zh-CN"/>
              </w:rPr>
              <w:t>已批已验“</w:t>
            </w:r>
            <w:r>
              <w:rPr>
                <w:rFonts w:hint="eastAsia" w:ascii="Times New Roman" w:hAnsi="Times New Roman" w:cs="Times New Roman"/>
                <w:color w:val="auto"/>
                <w:sz w:val="24"/>
                <w:szCs w:val="24"/>
              </w:rPr>
              <w:t>年产1.5万吨预制凉菜智能制造（加工）项目、研发及检测中心建设项目</w:t>
            </w:r>
            <w:r>
              <w:rPr>
                <w:rFonts w:hint="eastAsia" w:ascii="Times New Roman" w:hAnsi="Times New Roman" w:cs="Times New Roman"/>
                <w:color w:val="auto"/>
                <w:sz w:val="24"/>
                <w:szCs w:val="24"/>
                <w:lang w:eastAsia="zh-CN"/>
              </w:rPr>
              <w:t>，</w:t>
            </w:r>
            <w:r>
              <w:rPr>
                <w:color w:val="auto"/>
                <w:sz w:val="24"/>
              </w:rPr>
              <w:t>详见表4-1</w:t>
            </w:r>
            <w:r>
              <w:rPr>
                <w:rFonts w:hint="eastAsia"/>
                <w:color w:val="auto"/>
                <w:sz w:val="24"/>
                <w:lang w:val="en-US" w:eastAsia="zh-CN"/>
              </w:rPr>
              <w:t>5</w:t>
            </w:r>
            <w:r>
              <w:rPr>
                <w:color w:val="auto"/>
                <w:sz w:val="24"/>
              </w:rPr>
              <w:t>。</w:t>
            </w:r>
          </w:p>
          <w:p w14:paraId="423EA6EE">
            <w:pPr>
              <w:jc w:val="center"/>
              <w:rPr>
                <w:b/>
                <w:color w:val="auto"/>
                <w:sz w:val="24"/>
              </w:rPr>
            </w:pPr>
            <w:r>
              <w:rPr>
                <w:b/>
                <w:color w:val="auto"/>
                <w:sz w:val="24"/>
              </w:rPr>
              <w:t>表4-1</w:t>
            </w:r>
            <w:r>
              <w:rPr>
                <w:rFonts w:hint="eastAsia"/>
                <w:b/>
                <w:color w:val="auto"/>
                <w:sz w:val="24"/>
                <w:lang w:val="en-US" w:eastAsia="zh-CN"/>
              </w:rPr>
              <w:t>5</w:t>
            </w:r>
            <w:r>
              <w:rPr>
                <w:b/>
                <w:color w:val="auto"/>
                <w:sz w:val="24"/>
              </w:rPr>
              <w:t xml:space="preserve"> 污水处理</w:t>
            </w:r>
            <w:r>
              <w:rPr>
                <w:rFonts w:hint="eastAsia"/>
                <w:b/>
                <w:color w:val="auto"/>
                <w:sz w:val="24"/>
                <w:lang w:eastAsia="zh-CN"/>
              </w:rPr>
              <w:t>效率</w:t>
            </w:r>
            <w:r>
              <w:rPr>
                <w:b/>
                <w:color w:val="auto"/>
                <w:sz w:val="24"/>
              </w:rPr>
              <w:t>情况一览表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0"/>
              <w:gridCol w:w="4415"/>
            </w:tblGrid>
            <w:tr w14:paraId="64A43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410" w:type="pct"/>
                  <w:tcBorders>
                    <w:top w:val="single" w:color="auto" w:sz="12" w:space="0"/>
                    <w:bottom w:val="single" w:color="auto" w:sz="4" w:space="0"/>
                  </w:tcBorders>
                  <w:shd w:val="clear" w:color="auto" w:fill="auto"/>
                  <w:vAlign w:val="center"/>
                </w:tcPr>
                <w:p w14:paraId="166B273E">
                  <w:pPr>
                    <w:adjustRightInd w:val="0"/>
                    <w:snapToGrid w:val="0"/>
                    <w:jc w:val="center"/>
                    <w:rPr>
                      <w:b/>
                      <w:color w:val="auto"/>
                      <w:sz w:val="21"/>
                      <w:szCs w:val="21"/>
                    </w:rPr>
                  </w:pPr>
                  <w:r>
                    <w:rPr>
                      <w:b/>
                      <w:color w:val="auto"/>
                      <w:sz w:val="21"/>
                      <w:szCs w:val="21"/>
                    </w:rPr>
                    <w:t>污染物</w:t>
                  </w:r>
                </w:p>
              </w:tc>
              <w:tc>
                <w:tcPr>
                  <w:tcW w:w="2589" w:type="pct"/>
                  <w:tcBorders>
                    <w:top w:val="single" w:color="auto" w:sz="12" w:space="0"/>
                    <w:bottom w:val="single" w:color="auto" w:sz="4" w:space="0"/>
                  </w:tcBorders>
                  <w:shd w:val="clear" w:color="auto" w:fill="auto"/>
                  <w:vAlign w:val="center"/>
                </w:tcPr>
                <w:p w14:paraId="1AA1FD11">
                  <w:pPr>
                    <w:adjustRightInd w:val="0"/>
                    <w:snapToGrid w:val="0"/>
                    <w:jc w:val="center"/>
                    <w:rPr>
                      <w:b/>
                      <w:color w:val="auto"/>
                      <w:sz w:val="21"/>
                      <w:szCs w:val="21"/>
                    </w:rPr>
                  </w:pPr>
                  <w:r>
                    <w:rPr>
                      <w:rFonts w:hint="eastAsia"/>
                      <w:b/>
                      <w:color w:val="auto"/>
                      <w:sz w:val="21"/>
                      <w:szCs w:val="21"/>
                      <w:lang w:eastAsia="zh-CN"/>
                    </w:rPr>
                    <w:t>处理</w:t>
                  </w:r>
                  <w:r>
                    <w:rPr>
                      <w:b/>
                      <w:color w:val="auto"/>
                      <w:sz w:val="21"/>
                      <w:szCs w:val="21"/>
                    </w:rPr>
                    <w:t>效率%</w:t>
                  </w:r>
                </w:p>
              </w:tc>
            </w:tr>
            <w:tr w14:paraId="7E527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pct"/>
                  <w:tcBorders>
                    <w:top w:val="single" w:color="auto" w:sz="4" w:space="0"/>
                    <w:bottom w:val="single" w:color="auto" w:sz="4" w:space="0"/>
                  </w:tcBorders>
                  <w:shd w:val="clear" w:color="auto" w:fill="auto"/>
                  <w:vAlign w:val="center"/>
                </w:tcPr>
                <w:p w14:paraId="39242D03">
                  <w:pPr>
                    <w:adjustRightInd w:val="0"/>
                    <w:snapToGrid w:val="0"/>
                    <w:jc w:val="center"/>
                    <w:rPr>
                      <w:color w:val="auto"/>
                      <w:sz w:val="21"/>
                      <w:szCs w:val="21"/>
                    </w:rPr>
                  </w:pPr>
                  <w:r>
                    <w:rPr>
                      <w:color w:val="auto"/>
                      <w:sz w:val="21"/>
                      <w:szCs w:val="21"/>
                    </w:rPr>
                    <w:t>COD</w:t>
                  </w:r>
                </w:p>
              </w:tc>
              <w:tc>
                <w:tcPr>
                  <w:tcW w:w="2589" w:type="pct"/>
                  <w:tcBorders>
                    <w:top w:val="single" w:color="auto" w:sz="4" w:space="0"/>
                    <w:bottom w:val="single" w:color="auto" w:sz="4" w:space="0"/>
                  </w:tcBorders>
                  <w:shd w:val="clear" w:color="auto" w:fill="auto"/>
                  <w:vAlign w:val="center"/>
                </w:tcPr>
                <w:p w14:paraId="16FBFA11">
                  <w:pPr>
                    <w:keepNext w:val="0"/>
                    <w:keepLines w:val="0"/>
                    <w:widowControl/>
                    <w:suppressLineNumbers w:val="0"/>
                    <w:jc w:val="center"/>
                    <w:textAlignment w:val="center"/>
                    <w:rPr>
                      <w:rFonts w:eastAsia="等线"/>
                      <w:color w:val="auto"/>
                      <w:sz w:val="21"/>
                      <w:szCs w:val="21"/>
                    </w:rPr>
                  </w:pPr>
                  <w:r>
                    <w:rPr>
                      <w:rFonts w:hint="eastAsia" w:cs="Times New Roman"/>
                      <w:i w:val="0"/>
                      <w:iCs w:val="0"/>
                      <w:color w:val="auto"/>
                      <w:kern w:val="0"/>
                      <w:sz w:val="21"/>
                      <w:szCs w:val="21"/>
                      <w:u w:val="none"/>
                      <w:lang w:val="en-US" w:eastAsia="zh-CN" w:bidi="ar"/>
                    </w:rPr>
                    <w:t>90.39</w:t>
                  </w:r>
                  <w:r>
                    <w:rPr>
                      <w:rFonts w:hint="default" w:ascii="Times New Roman" w:hAnsi="Times New Roman" w:eastAsia="宋体" w:cs="Times New Roman"/>
                      <w:i w:val="0"/>
                      <w:iCs w:val="0"/>
                      <w:color w:val="auto"/>
                      <w:kern w:val="0"/>
                      <w:sz w:val="21"/>
                      <w:szCs w:val="21"/>
                      <w:u w:val="none"/>
                      <w:lang w:val="en-US" w:eastAsia="zh-CN" w:bidi="ar"/>
                    </w:rPr>
                    <w:t>%</w:t>
                  </w:r>
                </w:p>
              </w:tc>
            </w:tr>
            <w:tr w14:paraId="086D5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pct"/>
                  <w:tcBorders>
                    <w:top w:val="single" w:color="auto" w:sz="4" w:space="0"/>
                    <w:bottom w:val="single" w:color="auto" w:sz="4" w:space="0"/>
                  </w:tcBorders>
                  <w:shd w:val="clear" w:color="auto" w:fill="auto"/>
                  <w:vAlign w:val="center"/>
                </w:tcPr>
                <w:p w14:paraId="5870C50E">
                  <w:pPr>
                    <w:adjustRightInd w:val="0"/>
                    <w:snapToGrid w:val="0"/>
                    <w:jc w:val="center"/>
                    <w:rPr>
                      <w:color w:val="auto"/>
                      <w:sz w:val="21"/>
                      <w:szCs w:val="21"/>
                    </w:rPr>
                  </w:pPr>
                  <w:r>
                    <w:rPr>
                      <w:rFonts w:hint="eastAsia"/>
                      <w:color w:val="auto"/>
                      <w:sz w:val="21"/>
                      <w:szCs w:val="21"/>
                    </w:rPr>
                    <w:t>B</w:t>
                  </w:r>
                  <w:r>
                    <w:rPr>
                      <w:color w:val="auto"/>
                      <w:sz w:val="21"/>
                      <w:szCs w:val="21"/>
                    </w:rPr>
                    <w:t>OD</w:t>
                  </w:r>
                  <w:r>
                    <w:rPr>
                      <w:color w:val="auto"/>
                      <w:sz w:val="21"/>
                      <w:szCs w:val="21"/>
                      <w:vertAlign w:val="subscript"/>
                    </w:rPr>
                    <w:t>5</w:t>
                  </w:r>
                </w:p>
              </w:tc>
              <w:tc>
                <w:tcPr>
                  <w:tcW w:w="2589" w:type="pct"/>
                  <w:tcBorders>
                    <w:top w:val="single" w:color="auto" w:sz="4" w:space="0"/>
                    <w:bottom w:val="single" w:color="auto" w:sz="4" w:space="0"/>
                  </w:tcBorders>
                  <w:shd w:val="clear" w:color="auto" w:fill="auto"/>
                  <w:vAlign w:val="center"/>
                </w:tcPr>
                <w:p w14:paraId="27DE2166">
                  <w:pPr>
                    <w:keepNext w:val="0"/>
                    <w:keepLines w:val="0"/>
                    <w:widowControl/>
                    <w:suppressLineNumbers w:val="0"/>
                    <w:jc w:val="center"/>
                    <w:textAlignment w:val="center"/>
                    <w:rPr>
                      <w:rFonts w:eastAsia="等线"/>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77.14%</w:t>
                  </w:r>
                </w:p>
              </w:tc>
            </w:tr>
            <w:tr w14:paraId="52C22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pct"/>
                  <w:tcBorders>
                    <w:top w:val="single" w:color="auto" w:sz="4" w:space="0"/>
                    <w:bottom w:val="single" w:color="auto" w:sz="4" w:space="0"/>
                  </w:tcBorders>
                  <w:shd w:val="clear" w:color="auto" w:fill="auto"/>
                  <w:vAlign w:val="center"/>
                </w:tcPr>
                <w:p w14:paraId="611273A1">
                  <w:pPr>
                    <w:adjustRightInd w:val="0"/>
                    <w:snapToGrid w:val="0"/>
                    <w:jc w:val="center"/>
                    <w:rPr>
                      <w:color w:val="auto"/>
                      <w:sz w:val="21"/>
                      <w:szCs w:val="21"/>
                    </w:rPr>
                  </w:pPr>
                  <w:r>
                    <w:rPr>
                      <w:color w:val="auto"/>
                      <w:sz w:val="21"/>
                      <w:szCs w:val="21"/>
                    </w:rPr>
                    <w:t>SS</w:t>
                  </w:r>
                </w:p>
              </w:tc>
              <w:tc>
                <w:tcPr>
                  <w:tcW w:w="2589" w:type="pct"/>
                  <w:tcBorders>
                    <w:top w:val="single" w:color="auto" w:sz="4" w:space="0"/>
                    <w:bottom w:val="single" w:color="auto" w:sz="4" w:space="0"/>
                  </w:tcBorders>
                  <w:shd w:val="clear" w:color="auto" w:fill="auto"/>
                  <w:vAlign w:val="center"/>
                </w:tcPr>
                <w:p w14:paraId="14B28605">
                  <w:pPr>
                    <w:keepNext w:val="0"/>
                    <w:keepLines w:val="0"/>
                    <w:widowControl/>
                    <w:suppressLineNumbers w:val="0"/>
                    <w:jc w:val="center"/>
                    <w:textAlignment w:val="center"/>
                    <w:rPr>
                      <w:rFonts w:eastAsia="等线"/>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77.74%</w:t>
                  </w:r>
                </w:p>
              </w:tc>
            </w:tr>
            <w:tr w14:paraId="07FD0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pct"/>
                  <w:tcBorders>
                    <w:top w:val="single" w:color="auto" w:sz="4" w:space="0"/>
                    <w:bottom w:val="single" w:color="auto" w:sz="4" w:space="0"/>
                  </w:tcBorders>
                  <w:shd w:val="clear" w:color="auto" w:fill="auto"/>
                  <w:vAlign w:val="center"/>
                </w:tcPr>
                <w:p w14:paraId="1D491324">
                  <w:pPr>
                    <w:adjustRightInd w:val="0"/>
                    <w:snapToGrid w:val="0"/>
                    <w:jc w:val="center"/>
                    <w:rPr>
                      <w:color w:val="auto"/>
                      <w:sz w:val="21"/>
                      <w:szCs w:val="21"/>
                    </w:rPr>
                  </w:pPr>
                  <w:r>
                    <w:rPr>
                      <w:color w:val="auto"/>
                      <w:sz w:val="21"/>
                      <w:szCs w:val="21"/>
                    </w:rPr>
                    <w:t>氨氮</w:t>
                  </w:r>
                </w:p>
              </w:tc>
              <w:tc>
                <w:tcPr>
                  <w:tcW w:w="2589" w:type="pct"/>
                  <w:tcBorders>
                    <w:top w:val="single" w:color="auto" w:sz="4" w:space="0"/>
                    <w:bottom w:val="single" w:color="auto" w:sz="4" w:space="0"/>
                  </w:tcBorders>
                  <w:shd w:val="clear" w:color="auto" w:fill="auto"/>
                  <w:vAlign w:val="center"/>
                </w:tcPr>
                <w:p w14:paraId="4E040655">
                  <w:pPr>
                    <w:keepNext w:val="0"/>
                    <w:keepLines w:val="0"/>
                    <w:widowControl/>
                    <w:suppressLineNumbers w:val="0"/>
                    <w:jc w:val="center"/>
                    <w:textAlignment w:val="center"/>
                    <w:rPr>
                      <w:rFonts w:eastAsia="等线"/>
                      <w:color w:val="auto"/>
                      <w:sz w:val="21"/>
                      <w:szCs w:val="21"/>
                    </w:rPr>
                  </w:pPr>
                  <w:r>
                    <w:rPr>
                      <w:rFonts w:hint="eastAsia" w:cs="Times New Roman"/>
                      <w:i w:val="0"/>
                      <w:iCs w:val="0"/>
                      <w:color w:val="auto"/>
                      <w:kern w:val="0"/>
                      <w:sz w:val="21"/>
                      <w:szCs w:val="21"/>
                      <w:u w:val="none"/>
                      <w:lang w:val="en-US" w:eastAsia="zh-CN" w:bidi="ar"/>
                    </w:rPr>
                    <w:t>94.73</w:t>
                  </w:r>
                  <w:r>
                    <w:rPr>
                      <w:rFonts w:hint="default" w:ascii="Times New Roman" w:hAnsi="Times New Roman" w:eastAsia="宋体" w:cs="Times New Roman"/>
                      <w:i w:val="0"/>
                      <w:iCs w:val="0"/>
                      <w:color w:val="auto"/>
                      <w:kern w:val="0"/>
                      <w:sz w:val="21"/>
                      <w:szCs w:val="21"/>
                      <w:u w:val="none"/>
                      <w:lang w:val="en-US" w:eastAsia="zh-CN" w:bidi="ar"/>
                    </w:rPr>
                    <w:t>%</w:t>
                  </w:r>
                </w:p>
              </w:tc>
            </w:tr>
            <w:tr w14:paraId="40AC1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pct"/>
                  <w:tcBorders>
                    <w:top w:val="single" w:color="auto" w:sz="4" w:space="0"/>
                    <w:bottom w:val="single" w:color="auto" w:sz="4" w:space="0"/>
                  </w:tcBorders>
                  <w:shd w:val="clear" w:color="auto" w:fill="auto"/>
                  <w:vAlign w:val="center"/>
                </w:tcPr>
                <w:p w14:paraId="05BBADC9">
                  <w:pPr>
                    <w:adjustRightInd w:val="0"/>
                    <w:snapToGrid w:val="0"/>
                    <w:jc w:val="center"/>
                    <w:rPr>
                      <w:color w:val="auto"/>
                      <w:sz w:val="21"/>
                      <w:szCs w:val="21"/>
                    </w:rPr>
                  </w:pPr>
                  <w:r>
                    <w:rPr>
                      <w:color w:val="auto"/>
                      <w:sz w:val="21"/>
                      <w:szCs w:val="21"/>
                    </w:rPr>
                    <w:t>总氮</w:t>
                  </w:r>
                </w:p>
              </w:tc>
              <w:tc>
                <w:tcPr>
                  <w:tcW w:w="2589" w:type="pct"/>
                  <w:tcBorders>
                    <w:top w:val="single" w:color="auto" w:sz="4" w:space="0"/>
                    <w:bottom w:val="single" w:color="auto" w:sz="4" w:space="0"/>
                  </w:tcBorders>
                  <w:shd w:val="clear" w:color="auto" w:fill="auto"/>
                  <w:vAlign w:val="center"/>
                </w:tcPr>
                <w:p w14:paraId="5253D84C">
                  <w:pPr>
                    <w:keepNext w:val="0"/>
                    <w:keepLines w:val="0"/>
                    <w:widowControl/>
                    <w:suppressLineNumbers w:val="0"/>
                    <w:jc w:val="center"/>
                    <w:textAlignment w:val="center"/>
                    <w:rPr>
                      <w:rFonts w:eastAsia="等线"/>
                      <w:color w:val="auto"/>
                      <w:sz w:val="21"/>
                      <w:szCs w:val="21"/>
                    </w:rPr>
                  </w:pPr>
                  <w:r>
                    <w:rPr>
                      <w:rFonts w:hint="eastAsia" w:cs="Times New Roman"/>
                      <w:i w:val="0"/>
                      <w:iCs w:val="0"/>
                      <w:color w:val="auto"/>
                      <w:kern w:val="0"/>
                      <w:sz w:val="21"/>
                      <w:szCs w:val="21"/>
                      <w:u w:val="none"/>
                      <w:lang w:val="en-US" w:eastAsia="zh-CN" w:bidi="ar"/>
                    </w:rPr>
                    <w:t>94.73</w:t>
                  </w:r>
                  <w:r>
                    <w:rPr>
                      <w:rFonts w:hint="default" w:ascii="Times New Roman" w:hAnsi="Times New Roman" w:eastAsia="宋体" w:cs="Times New Roman"/>
                      <w:i w:val="0"/>
                      <w:iCs w:val="0"/>
                      <w:color w:val="auto"/>
                      <w:kern w:val="0"/>
                      <w:sz w:val="21"/>
                      <w:szCs w:val="21"/>
                      <w:u w:val="none"/>
                      <w:lang w:val="en-US" w:eastAsia="zh-CN" w:bidi="ar"/>
                    </w:rPr>
                    <w:t>%</w:t>
                  </w:r>
                </w:p>
              </w:tc>
            </w:tr>
            <w:tr w14:paraId="31883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pct"/>
                  <w:tcBorders>
                    <w:top w:val="single" w:color="auto" w:sz="4" w:space="0"/>
                    <w:bottom w:val="single" w:color="auto" w:sz="4" w:space="0"/>
                  </w:tcBorders>
                  <w:shd w:val="clear" w:color="auto" w:fill="auto"/>
                  <w:vAlign w:val="center"/>
                </w:tcPr>
                <w:p w14:paraId="5A14B558">
                  <w:pPr>
                    <w:adjustRightInd w:val="0"/>
                    <w:snapToGrid w:val="0"/>
                    <w:jc w:val="center"/>
                    <w:rPr>
                      <w:color w:val="auto"/>
                      <w:sz w:val="21"/>
                      <w:szCs w:val="21"/>
                    </w:rPr>
                  </w:pPr>
                  <w:r>
                    <w:rPr>
                      <w:color w:val="auto"/>
                      <w:sz w:val="21"/>
                      <w:szCs w:val="21"/>
                    </w:rPr>
                    <w:t>总磷</w:t>
                  </w:r>
                </w:p>
              </w:tc>
              <w:tc>
                <w:tcPr>
                  <w:tcW w:w="2589" w:type="pct"/>
                  <w:tcBorders>
                    <w:top w:val="single" w:color="auto" w:sz="4" w:space="0"/>
                    <w:bottom w:val="single" w:color="auto" w:sz="4" w:space="0"/>
                  </w:tcBorders>
                  <w:shd w:val="clear" w:color="auto" w:fill="auto"/>
                  <w:vAlign w:val="center"/>
                </w:tcPr>
                <w:p w14:paraId="7242EE70">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96.05</w:t>
                  </w:r>
                  <w:r>
                    <w:rPr>
                      <w:rFonts w:hint="default" w:cs="Times New Roman"/>
                      <w:i w:val="0"/>
                      <w:iCs w:val="0"/>
                      <w:color w:val="auto"/>
                      <w:kern w:val="0"/>
                      <w:sz w:val="21"/>
                      <w:szCs w:val="21"/>
                      <w:u w:val="none"/>
                      <w:lang w:val="en-US" w:eastAsia="zh-CN" w:bidi="ar"/>
                    </w:rPr>
                    <w:t>%</w:t>
                  </w:r>
                </w:p>
              </w:tc>
            </w:tr>
            <w:tr w14:paraId="2FB05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pct"/>
                  <w:tcBorders>
                    <w:top w:val="single" w:color="auto" w:sz="4" w:space="0"/>
                    <w:bottom w:val="single" w:color="auto" w:sz="4" w:space="0"/>
                  </w:tcBorders>
                  <w:shd w:val="clear" w:color="auto" w:fill="auto"/>
                  <w:vAlign w:val="center"/>
                </w:tcPr>
                <w:p w14:paraId="17D53CD8">
                  <w:pPr>
                    <w:adjustRightInd w:val="0"/>
                    <w:snapToGrid w:val="0"/>
                    <w:jc w:val="center"/>
                    <w:rPr>
                      <w:color w:val="auto"/>
                      <w:sz w:val="21"/>
                      <w:szCs w:val="21"/>
                    </w:rPr>
                  </w:pPr>
                  <w:r>
                    <w:rPr>
                      <w:color w:val="auto"/>
                      <w:sz w:val="21"/>
                      <w:szCs w:val="21"/>
                    </w:rPr>
                    <w:t>动植物油</w:t>
                  </w:r>
                </w:p>
              </w:tc>
              <w:tc>
                <w:tcPr>
                  <w:tcW w:w="2589" w:type="pct"/>
                  <w:tcBorders>
                    <w:top w:val="single" w:color="auto" w:sz="4" w:space="0"/>
                    <w:bottom w:val="single" w:color="auto" w:sz="4" w:space="0"/>
                  </w:tcBorders>
                  <w:shd w:val="clear" w:color="auto" w:fill="auto"/>
                  <w:vAlign w:val="center"/>
                </w:tcPr>
                <w:p w14:paraId="38787371">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98.16</w:t>
                  </w:r>
                  <w:r>
                    <w:rPr>
                      <w:rFonts w:hint="default" w:cs="Times New Roman"/>
                      <w:i w:val="0"/>
                      <w:iCs w:val="0"/>
                      <w:color w:val="auto"/>
                      <w:kern w:val="0"/>
                      <w:sz w:val="21"/>
                      <w:szCs w:val="21"/>
                      <w:u w:val="none"/>
                      <w:lang w:val="en-US" w:eastAsia="zh-CN" w:bidi="ar"/>
                    </w:rPr>
                    <w:t>%</w:t>
                  </w:r>
                </w:p>
              </w:tc>
            </w:tr>
            <w:tr w14:paraId="293F1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pct"/>
                  <w:tcBorders>
                    <w:top w:val="single" w:color="auto" w:sz="4" w:space="0"/>
                    <w:bottom w:val="single" w:color="auto" w:sz="4" w:space="0"/>
                  </w:tcBorders>
                  <w:shd w:val="clear" w:color="auto" w:fill="auto"/>
                  <w:vAlign w:val="center"/>
                </w:tcPr>
                <w:p w14:paraId="45D61EF9">
                  <w:pPr>
                    <w:adjustRightInd w:val="0"/>
                    <w:snapToGrid w:val="0"/>
                    <w:jc w:val="center"/>
                    <w:rPr>
                      <w:color w:val="auto"/>
                      <w:sz w:val="21"/>
                      <w:szCs w:val="21"/>
                    </w:rPr>
                  </w:pPr>
                  <w:r>
                    <w:rPr>
                      <w:color w:val="auto"/>
                      <w:sz w:val="21"/>
                      <w:szCs w:val="21"/>
                    </w:rPr>
                    <w:t>LAS</w:t>
                  </w:r>
                </w:p>
              </w:tc>
              <w:tc>
                <w:tcPr>
                  <w:tcW w:w="2589" w:type="pct"/>
                  <w:tcBorders>
                    <w:top w:val="single" w:color="auto" w:sz="4" w:space="0"/>
                    <w:bottom w:val="single" w:color="auto" w:sz="4" w:space="0"/>
                  </w:tcBorders>
                  <w:shd w:val="clear" w:color="auto" w:fill="auto"/>
                  <w:vAlign w:val="center"/>
                </w:tcPr>
                <w:p w14:paraId="1135E0C6">
                  <w:pPr>
                    <w:keepNext w:val="0"/>
                    <w:keepLines w:val="0"/>
                    <w:widowControl/>
                    <w:suppressLineNumbers w:val="0"/>
                    <w:jc w:val="center"/>
                    <w:textAlignment w:val="center"/>
                    <w:rPr>
                      <w:rFonts w:eastAsia="等线"/>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w:t>
                  </w: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.60%</w:t>
                  </w:r>
                </w:p>
              </w:tc>
            </w:tr>
            <w:tr w14:paraId="3B3CA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pct"/>
                  <w:tcBorders>
                    <w:top w:val="single" w:color="auto" w:sz="4" w:space="0"/>
                    <w:bottom w:val="single" w:color="auto" w:sz="12" w:space="0"/>
                  </w:tcBorders>
                  <w:shd w:val="clear" w:color="auto" w:fill="auto"/>
                  <w:vAlign w:val="center"/>
                </w:tcPr>
                <w:p w14:paraId="1497C2BC">
                  <w:pPr>
                    <w:adjustRightInd w:val="0"/>
                    <w:snapToGrid w:val="0"/>
                    <w:jc w:val="center"/>
                    <w:rPr>
                      <w:rFonts w:hint="eastAsia" w:eastAsia="宋体"/>
                      <w:color w:val="auto"/>
                      <w:sz w:val="21"/>
                      <w:szCs w:val="21"/>
                      <w:lang w:eastAsia="zh-CN"/>
                    </w:rPr>
                  </w:pPr>
                  <w:r>
                    <w:rPr>
                      <w:rFonts w:hint="eastAsia" w:cs="Times New Roman"/>
                      <w:color w:val="auto"/>
                      <w:sz w:val="21"/>
                      <w:szCs w:val="21"/>
                      <w:lang w:val="en-US" w:eastAsia="zh-CN"/>
                    </w:rPr>
                    <w:t>全盐量</w:t>
                  </w:r>
                </w:p>
              </w:tc>
              <w:tc>
                <w:tcPr>
                  <w:tcW w:w="2589" w:type="pct"/>
                  <w:tcBorders>
                    <w:top w:val="single" w:color="auto" w:sz="4" w:space="0"/>
                    <w:bottom w:val="single" w:color="auto" w:sz="12" w:space="0"/>
                  </w:tcBorders>
                  <w:shd w:val="clear" w:color="auto" w:fill="auto"/>
                  <w:vAlign w:val="center"/>
                </w:tcPr>
                <w:p w14:paraId="4DF409CA">
                  <w:pPr>
                    <w:widowControl/>
                    <w:jc w:val="center"/>
                    <w:rPr>
                      <w:rFonts w:hint="eastAsia" w:eastAsia="等线"/>
                      <w:color w:val="auto"/>
                      <w:sz w:val="21"/>
                      <w:szCs w:val="21"/>
                      <w:lang w:val="en-US" w:eastAsia="zh-CN"/>
                    </w:rPr>
                  </w:pPr>
                  <w:r>
                    <w:rPr>
                      <w:rFonts w:hint="eastAsia" w:eastAsia="等线"/>
                      <w:color w:val="auto"/>
                      <w:sz w:val="21"/>
                      <w:szCs w:val="21"/>
                      <w:lang w:val="en-US" w:eastAsia="zh-CN"/>
                    </w:rPr>
                    <w:t>0</w:t>
                  </w:r>
                </w:p>
              </w:tc>
            </w:tr>
          </w:tbl>
          <w:p w14:paraId="340AED1E">
            <w:pPr>
              <w:autoSpaceDE w:val="0"/>
              <w:autoSpaceDN w:val="0"/>
              <w:spacing w:before="120" w:beforeLines="50" w:line="360" w:lineRule="auto"/>
              <w:ind w:firstLine="480" w:firstLineChars="200"/>
              <w:rPr>
                <w:color w:val="auto"/>
                <w:sz w:val="24"/>
              </w:rPr>
            </w:pPr>
            <w:r>
              <w:rPr>
                <w:color w:val="auto"/>
                <w:sz w:val="24"/>
              </w:rPr>
              <w:t>由上表可知，综合废水经污水处理站处置后出水浓度为COD</w:t>
            </w:r>
            <w:r>
              <w:rPr>
                <w:rFonts w:hint="eastAsia"/>
                <w:color w:val="auto"/>
                <w:sz w:val="24"/>
                <w:lang w:val="en-US" w:eastAsia="zh-CN"/>
              </w:rPr>
              <w:t>80.4</w:t>
            </w:r>
            <w:r>
              <w:rPr>
                <w:color w:val="auto"/>
                <w:sz w:val="24"/>
              </w:rPr>
              <w:t>mg/L、</w:t>
            </w:r>
            <w:r>
              <w:rPr>
                <w:rFonts w:hint="eastAsia"/>
                <w:color w:val="auto"/>
                <w:sz w:val="24"/>
              </w:rPr>
              <w:t>B</w:t>
            </w:r>
            <w:r>
              <w:rPr>
                <w:color w:val="auto"/>
                <w:sz w:val="24"/>
              </w:rPr>
              <w:t>OD</w:t>
            </w:r>
            <w:r>
              <w:rPr>
                <w:color w:val="auto"/>
                <w:sz w:val="24"/>
                <w:vertAlign w:val="subscript"/>
              </w:rPr>
              <w:t>5</w:t>
            </w:r>
            <w:r>
              <w:rPr>
                <w:rFonts w:hint="eastAsia"/>
                <w:color w:val="auto"/>
                <w:sz w:val="24"/>
                <w:lang w:val="en-US" w:eastAsia="zh-CN"/>
              </w:rPr>
              <w:t>87.2</w:t>
            </w:r>
            <w:r>
              <w:rPr>
                <w:color w:val="auto"/>
                <w:sz w:val="24"/>
              </w:rPr>
              <w:t>mg/L</w:t>
            </w:r>
            <w:r>
              <w:rPr>
                <w:rFonts w:hint="eastAsia"/>
                <w:color w:val="auto"/>
                <w:sz w:val="24"/>
              </w:rPr>
              <w:t>、S</w:t>
            </w:r>
            <w:r>
              <w:rPr>
                <w:color w:val="auto"/>
                <w:sz w:val="24"/>
              </w:rPr>
              <w:t>S</w:t>
            </w:r>
            <w:r>
              <w:rPr>
                <w:rFonts w:hint="eastAsia"/>
                <w:color w:val="auto"/>
                <w:sz w:val="24"/>
                <w:lang w:val="en-US" w:eastAsia="zh-CN"/>
              </w:rPr>
              <w:t>43.8</w:t>
            </w:r>
            <w:r>
              <w:rPr>
                <w:color w:val="auto"/>
                <w:sz w:val="24"/>
              </w:rPr>
              <w:t>mg/L</w:t>
            </w:r>
            <w:r>
              <w:rPr>
                <w:rFonts w:hint="eastAsia"/>
                <w:color w:val="auto"/>
                <w:sz w:val="24"/>
              </w:rPr>
              <w:t>、氨氮</w:t>
            </w:r>
            <w:r>
              <w:rPr>
                <w:color w:val="auto"/>
                <w:sz w:val="24"/>
              </w:rPr>
              <w:t>2.8mg/L、</w:t>
            </w:r>
            <w:r>
              <w:rPr>
                <w:rFonts w:hint="eastAsia"/>
                <w:color w:val="auto"/>
                <w:sz w:val="24"/>
              </w:rPr>
              <w:t>总磷</w:t>
            </w:r>
            <w:r>
              <w:rPr>
                <w:rFonts w:hint="eastAsia"/>
                <w:color w:val="auto"/>
                <w:sz w:val="24"/>
                <w:lang w:val="en-US" w:eastAsia="zh-CN"/>
              </w:rPr>
              <w:t>0.5</w:t>
            </w:r>
            <w:r>
              <w:rPr>
                <w:color w:val="auto"/>
                <w:sz w:val="24"/>
              </w:rPr>
              <w:t>mg/L、</w:t>
            </w:r>
            <w:r>
              <w:rPr>
                <w:rFonts w:hint="eastAsia"/>
                <w:color w:val="auto"/>
                <w:sz w:val="24"/>
              </w:rPr>
              <w:t>总氮</w:t>
            </w:r>
            <w:r>
              <w:rPr>
                <w:rFonts w:hint="eastAsia"/>
                <w:color w:val="auto"/>
                <w:sz w:val="24"/>
                <w:lang w:val="en-US" w:eastAsia="zh-CN"/>
              </w:rPr>
              <w:t>5.3</w:t>
            </w:r>
            <w:r>
              <w:rPr>
                <w:color w:val="auto"/>
                <w:sz w:val="24"/>
              </w:rPr>
              <w:t>mg/L、</w:t>
            </w:r>
            <w:r>
              <w:rPr>
                <w:rFonts w:hint="eastAsia"/>
                <w:color w:val="auto"/>
                <w:sz w:val="24"/>
              </w:rPr>
              <w:t>动植物油0</w:t>
            </w:r>
            <w:r>
              <w:rPr>
                <w:rFonts w:hint="eastAsia"/>
                <w:color w:val="auto"/>
                <w:sz w:val="24"/>
                <w:lang w:val="en-US" w:eastAsia="zh-CN"/>
              </w:rPr>
              <w:t>.3</w:t>
            </w:r>
            <w:r>
              <w:rPr>
                <w:color w:val="auto"/>
                <w:sz w:val="24"/>
              </w:rPr>
              <w:t>mg/L、</w:t>
            </w:r>
            <w:r>
              <w:rPr>
                <w:rFonts w:hint="eastAsia"/>
                <w:color w:val="auto"/>
                <w:sz w:val="24"/>
              </w:rPr>
              <w:t>L</w:t>
            </w:r>
            <w:r>
              <w:rPr>
                <w:color w:val="auto"/>
                <w:sz w:val="24"/>
              </w:rPr>
              <w:t>AS</w:t>
            </w:r>
            <w:r>
              <w:rPr>
                <w:rFonts w:hint="eastAsia"/>
                <w:color w:val="auto"/>
                <w:sz w:val="24"/>
                <w:lang w:val="en-US" w:eastAsia="zh-CN"/>
              </w:rPr>
              <w:t>0.9</w:t>
            </w:r>
            <w:r>
              <w:rPr>
                <w:color w:val="auto"/>
                <w:sz w:val="24"/>
              </w:rPr>
              <w:t>mg/L，满足涟水经济开发区西区污水处理厂的接管标准。</w:t>
            </w:r>
          </w:p>
          <w:p w14:paraId="4C8324B2">
            <w:pPr>
              <w:autoSpaceDE w:val="0"/>
              <w:autoSpaceDN w:val="0"/>
              <w:spacing w:line="360" w:lineRule="auto"/>
              <w:ind w:firstLine="480" w:firstLineChars="200"/>
              <w:rPr>
                <w:b/>
                <w:color w:val="auto"/>
                <w:sz w:val="24"/>
              </w:rPr>
            </w:pPr>
            <w:r>
              <w:rPr>
                <w:rFonts w:hint="eastAsia"/>
                <w:color w:val="auto"/>
                <w:sz w:val="24"/>
              </w:rPr>
              <w:t>根据以上分析可知，从技术、经济角度上来看，建设项目各项废水治理设施能够保证稳定运行。</w:t>
            </w:r>
          </w:p>
          <w:p w14:paraId="608B82A1">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2.4依托污水处理设施的环境可行性分析</w:t>
            </w:r>
          </w:p>
          <w:p w14:paraId="1E6779FB">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建设项目</w:t>
            </w:r>
            <w:r>
              <w:rPr>
                <w:rFonts w:hint="eastAsia" w:cs="Times New Roman"/>
                <w:color w:val="auto"/>
                <w:kern w:val="0"/>
                <w:sz w:val="24"/>
                <w:lang w:eastAsia="zh-CN"/>
              </w:rPr>
              <w:t>综合</w:t>
            </w:r>
            <w:r>
              <w:rPr>
                <w:rFonts w:hint="default" w:ascii="Times New Roman" w:hAnsi="Times New Roman" w:eastAsia="宋体" w:cs="Times New Roman"/>
                <w:color w:val="auto"/>
                <w:kern w:val="0"/>
                <w:sz w:val="24"/>
                <w:lang w:eastAsia="zh-CN"/>
              </w:rPr>
              <w:t>废水经污水站处理后</w:t>
            </w:r>
            <w:r>
              <w:rPr>
                <w:rFonts w:hint="default" w:ascii="Times New Roman" w:hAnsi="Times New Roman" w:eastAsia="宋体" w:cs="Times New Roman"/>
                <w:color w:val="auto"/>
                <w:kern w:val="0"/>
                <w:sz w:val="24"/>
              </w:rPr>
              <w:t>达接管标准后排入</w:t>
            </w:r>
            <w:r>
              <w:rPr>
                <w:rFonts w:hint="default" w:ascii="Times New Roman" w:hAnsi="Times New Roman" w:eastAsia="宋体" w:cs="Times New Roman"/>
                <w:color w:val="auto"/>
                <w:kern w:val="0"/>
                <w:sz w:val="24"/>
                <w:lang w:eastAsia="zh-CN"/>
              </w:rPr>
              <w:t>涟水经济开发区西区污水处理厂</w:t>
            </w:r>
            <w:r>
              <w:rPr>
                <w:rFonts w:hint="default" w:ascii="Times New Roman" w:hAnsi="Times New Roman" w:eastAsia="宋体" w:cs="Times New Roman"/>
                <w:color w:val="auto"/>
                <w:kern w:val="0"/>
                <w:sz w:val="24"/>
              </w:rPr>
              <w:t>，深度处理</w:t>
            </w:r>
            <w:r>
              <w:rPr>
                <w:rFonts w:hint="eastAsia" w:cs="Times New Roman"/>
                <w:color w:val="auto"/>
                <w:kern w:val="0"/>
                <w:sz w:val="24"/>
                <w:lang w:eastAsia="zh-CN"/>
              </w:rPr>
              <w:t>达到</w:t>
            </w:r>
            <w:r>
              <w:rPr>
                <w:rFonts w:hint="default" w:ascii="Times New Roman" w:hAnsi="Times New Roman" w:eastAsia="宋体" w:cs="Times New Roman"/>
                <w:color w:val="auto"/>
                <w:kern w:val="0"/>
                <w:sz w:val="24"/>
              </w:rPr>
              <w:t>《城镇污水处理厂污染物排放标准》（GB18918-2002）表1中一级A标准，尾水排入</w:t>
            </w:r>
            <w:r>
              <w:rPr>
                <w:rFonts w:hint="default" w:ascii="Times New Roman" w:hAnsi="Times New Roman" w:eastAsia="宋体" w:cs="Times New Roman"/>
                <w:color w:val="auto"/>
                <w:kern w:val="0"/>
                <w:sz w:val="24"/>
                <w:lang w:eastAsia="zh-CN"/>
              </w:rPr>
              <w:t>公兴河</w:t>
            </w:r>
            <w:r>
              <w:rPr>
                <w:rFonts w:hint="default" w:ascii="Times New Roman" w:hAnsi="Times New Roman" w:eastAsia="宋体" w:cs="Times New Roman"/>
                <w:color w:val="auto"/>
                <w:kern w:val="0"/>
                <w:sz w:val="24"/>
              </w:rPr>
              <w:t>。</w:t>
            </w:r>
          </w:p>
          <w:p w14:paraId="718A0CC5">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bookmarkStart w:id="37" w:name="_Toc14199"/>
            <w:bookmarkStart w:id="38" w:name="_Toc3765"/>
            <w:bookmarkStart w:id="39" w:name="_Toc23756"/>
            <w:r>
              <w:rPr>
                <w:rFonts w:hint="default" w:ascii="Times New Roman" w:hAnsi="Times New Roman" w:eastAsia="宋体" w:cs="Times New Roman"/>
                <w:color w:val="auto"/>
                <w:kern w:val="0"/>
                <w:sz w:val="24"/>
              </w:rPr>
              <w:t>①经济开发区西区污水处理厂</w:t>
            </w:r>
            <w:bookmarkEnd w:id="37"/>
            <w:bookmarkEnd w:id="38"/>
            <w:bookmarkEnd w:id="39"/>
          </w:p>
          <w:p w14:paraId="429F64FC">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本项目污水接管入经济开发区</w:t>
            </w:r>
            <w:r>
              <w:rPr>
                <w:rFonts w:hint="default" w:ascii="Times New Roman" w:hAnsi="Times New Roman" w:eastAsia="宋体" w:cs="Times New Roman"/>
                <w:color w:val="auto"/>
                <w:kern w:val="0"/>
                <w:sz w:val="24"/>
                <w:lang w:eastAsia="zh-CN"/>
              </w:rPr>
              <w:t>西区</w:t>
            </w:r>
            <w:r>
              <w:rPr>
                <w:rFonts w:hint="default" w:ascii="Times New Roman" w:hAnsi="Times New Roman" w:eastAsia="宋体" w:cs="Times New Roman"/>
                <w:color w:val="auto"/>
                <w:kern w:val="0"/>
                <w:sz w:val="24"/>
              </w:rPr>
              <w:t>污水处理厂，污水处理厂总规模为6万t/d，分阶段进行建设，现状处理能力为</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万t/d</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1万</w:t>
            </w:r>
            <w:r>
              <w:rPr>
                <w:rFonts w:hint="default" w:ascii="Times New Roman" w:hAnsi="Times New Roman" w:eastAsia="宋体" w:cs="Times New Roman"/>
                <w:color w:val="auto"/>
                <w:kern w:val="0"/>
                <w:sz w:val="24"/>
              </w:rPr>
              <w:t>t/d</w:t>
            </w:r>
            <w:r>
              <w:rPr>
                <w:rFonts w:hint="default" w:ascii="Times New Roman" w:hAnsi="Times New Roman" w:eastAsia="宋体" w:cs="Times New Roman"/>
                <w:color w:val="auto"/>
                <w:kern w:val="0"/>
                <w:sz w:val="24"/>
                <w:lang w:eastAsia="zh-CN"/>
              </w:rPr>
              <w:t>扩建项目正在筹备中</w:t>
            </w:r>
            <w:r>
              <w:rPr>
                <w:rFonts w:hint="default" w:ascii="Times New Roman" w:hAnsi="Times New Roman" w:eastAsia="宋体" w:cs="Times New Roman"/>
                <w:color w:val="auto"/>
                <w:kern w:val="0"/>
                <w:sz w:val="24"/>
              </w:rPr>
              <w:t>。污水处理厂采用一级强化絮凝工艺配套快渗和消毒工艺，尾水排入公兴河，目前污水处理厂仅接管了经济开发区西区内的工业废水和生活污水，实际接管水量</w:t>
            </w:r>
            <w:r>
              <w:rPr>
                <w:rFonts w:hint="default" w:ascii="Times New Roman" w:hAnsi="Times New Roman" w:eastAsia="宋体" w:cs="Times New Roman"/>
                <w:color w:val="auto"/>
                <w:kern w:val="0"/>
                <w:sz w:val="24"/>
                <w:lang w:eastAsia="zh-CN"/>
              </w:rPr>
              <w:t>约</w:t>
            </w:r>
            <w:r>
              <w:rPr>
                <w:rFonts w:hint="default" w:ascii="Times New Roman" w:hAnsi="Times New Roman" w:eastAsia="宋体" w:cs="Times New Roman"/>
                <w:color w:val="auto"/>
                <w:kern w:val="0"/>
                <w:sz w:val="24"/>
                <w:lang w:val="en-US" w:eastAsia="zh-CN"/>
              </w:rPr>
              <w:t>1.8</w:t>
            </w:r>
            <w:r>
              <w:rPr>
                <w:rFonts w:hint="default" w:ascii="Times New Roman" w:hAnsi="Times New Roman" w:eastAsia="宋体" w:cs="Times New Roman"/>
                <w:color w:val="auto"/>
                <w:kern w:val="0"/>
                <w:sz w:val="24"/>
              </w:rPr>
              <w:t>万t/d，能够实现稳定达标排放。</w:t>
            </w:r>
          </w:p>
          <w:p w14:paraId="2D9511E9">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bookmarkStart w:id="40" w:name="_Toc28578"/>
            <w:bookmarkStart w:id="41" w:name="_Toc1106"/>
            <w:bookmarkStart w:id="42" w:name="_Toc8913"/>
            <w:r>
              <w:rPr>
                <w:rFonts w:hint="default" w:ascii="Times New Roman" w:hAnsi="Times New Roman" w:eastAsia="宋体" w:cs="Times New Roman"/>
                <w:color w:val="auto"/>
                <w:kern w:val="0"/>
                <w:sz w:val="24"/>
              </w:rPr>
              <w:t>②处理工艺情况</w:t>
            </w:r>
            <w:bookmarkEnd w:id="40"/>
            <w:bookmarkEnd w:id="41"/>
            <w:bookmarkEnd w:id="42"/>
          </w:p>
          <w:p w14:paraId="3E0F764A">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经济开发区（西区）污水处理厂目前尾水执行《城镇污水处理厂污染物排放标准》（GB18918-2002）一级A标准。其基本流程见图</w:t>
            </w:r>
            <w:r>
              <w:rPr>
                <w:rFonts w:hint="default" w:ascii="Times New Roman" w:hAnsi="Times New Roman" w:cs="Times New Roman"/>
                <w:color w:val="auto"/>
                <w:kern w:val="0"/>
                <w:sz w:val="24"/>
                <w:lang w:val="en-US" w:eastAsia="zh-CN"/>
              </w:rPr>
              <w:t>4-2</w:t>
            </w:r>
            <w:r>
              <w:rPr>
                <w:rFonts w:hint="default" w:ascii="Times New Roman" w:hAnsi="Times New Roman" w:eastAsia="宋体" w:cs="Times New Roman"/>
                <w:color w:val="auto"/>
                <w:kern w:val="0"/>
                <w:sz w:val="24"/>
              </w:rPr>
              <w:t>。</w:t>
            </w:r>
          </w:p>
          <w:p w14:paraId="45846EC0">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5318125" cy="2227580"/>
                  <wp:effectExtent l="0" t="0" r="15875" b="127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4"/>
                          <a:srcRect l="5249"/>
                          <a:stretch>
                            <a:fillRect/>
                          </a:stretch>
                        </pic:blipFill>
                        <pic:spPr>
                          <a:xfrm>
                            <a:off x="0" y="0"/>
                            <a:ext cx="5318125" cy="2227580"/>
                          </a:xfrm>
                          <a:prstGeom prst="rect">
                            <a:avLst/>
                          </a:prstGeom>
                          <a:noFill/>
                          <a:ln>
                            <a:noFill/>
                          </a:ln>
                        </pic:spPr>
                      </pic:pic>
                    </a:graphicData>
                  </a:graphic>
                </wp:inline>
              </w:drawing>
            </w:r>
          </w:p>
          <w:p w14:paraId="387F6C73">
            <w:pPr>
              <w:adjustRightInd w:val="0"/>
              <w:snapToGrid w:val="0"/>
              <w:spacing w:line="360" w:lineRule="auto"/>
              <w:ind w:firstLine="48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w:t>
            </w:r>
            <w:r>
              <w:rPr>
                <w:rFonts w:hint="default" w:ascii="Times New Roman" w:hAnsi="Times New Roman" w:cs="Times New Roman"/>
                <w:color w:val="auto"/>
                <w:sz w:val="21"/>
                <w:szCs w:val="21"/>
                <w:lang w:val="en-US" w:eastAsia="zh-CN"/>
              </w:rPr>
              <w:t>4-2</w:t>
            </w:r>
            <w:r>
              <w:rPr>
                <w:rFonts w:hint="default" w:ascii="Times New Roman" w:hAnsi="Times New Roman" w:eastAsia="宋体" w:cs="Times New Roman"/>
                <w:color w:val="auto"/>
                <w:sz w:val="21"/>
                <w:szCs w:val="21"/>
              </w:rPr>
              <w:t>涟水县经济开发区西区污水处理厂工艺流程图</w:t>
            </w:r>
          </w:p>
          <w:p w14:paraId="24687453">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bookmarkStart w:id="43" w:name="_Toc1844"/>
            <w:bookmarkStart w:id="44" w:name="_Toc228"/>
            <w:bookmarkStart w:id="45" w:name="_Toc25198"/>
            <w:r>
              <w:rPr>
                <w:rFonts w:hint="default" w:ascii="Times New Roman" w:hAnsi="Times New Roman" w:eastAsia="宋体" w:cs="Times New Roman"/>
                <w:color w:val="auto"/>
                <w:kern w:val="0"/>
                <w:sz w:val="24"/>
              </w:rPr>
              <w:t>③管网建设情况</w:t>
            </w:r>
            <w:bookmarkEnd w:id="43"/>
            <w:bookmarkEnd w:id="44"/>
            <w:bookmarkEnd w:id="45"/>
          </w:p>
          <w:p w14:paraId="4F603AE2">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根据涟水经济开发区管委会承诺，当经济开发区西区污水处理厂实际接管量达到1.5万t/d时，将进行对污水处理厂扩建二期工程</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目前二期工程已在筹建中</w:t>
            </w:r>
            <w:r>
              <w:rPr>
                <w:rFonts w:hint="default" w:ascii="Times New Roman" w:hAnsi="Times New Roman" w:eastAsia="宋体" w:cs="Times New Roman"/>
                <w:color w:val="auto"/>
                <w:kern w:val="0"/>
                <w:sz w:val="24"/>
              </w:rPr>
              <w:t>。园区道路和雨、污水管网均须在园区建成前实施到位，确保园区内项目的污水接管，最终将新港电子产业园区生活污水和</w:t>
            </w:r>
            <w:r>
              <w:rPr>
                <w:rFonts w:hint="eastAsia" w:cs="Times New Roman"/>
                <w:color w:val="auto"/>
                <w:kern w:val="0"/>
                <w:sz w:val="24"/>
                <w:lang w:eastAsia="zh-CN"/>
              </w:rPr>
              <w:t>其他</w:t>
            </w:r>
            <w:r>
              <w:rPr>
                <w:rFonts w:hint="default" w:ascii="Times New Roman" w:hAnsi="Times New Roman" w:eastAsia="宋体" w:cs="Times New Roman"/>
                <w:color w:val="auto"/>
                <w:kern w:val="0"/>
                <w:sz w:val="24"/>
              </w:rPr>
              <w:t>工业废水纳入涟水经济开发区西区污水处理厂处理。</w:t>
            </w:r>
          </w:p>
          <w:p w14:paraId="6E25188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8"/>
                <w:szCs w:val="28"/>
                <w:lang w:val="en-US" w:eastAsia="zh-CN"/>
              </w:rPr>
            </w:pPr>
            <w:r>
              <w:rPr>
                <w:rFonts w:hint="eastAsia" w:cs="Times New Roman"/>
                <w:b/>
                <w:bCs/>
                <w:color w:val="auto"/>
                <w:kern w:val="0"/>
                <w:sz w:val="24"/>
                <w:szCs w:val="24"/>
                <w:lang w:val="en-US" w:eastAsia="zh-CN"/>
              </w:rPr>
              <w:t>2.5</w:t>
            </w:r>
            <w:r>
              <w:rPr>
                <w:rFonts w:hint="default" w:ascii="Times New Roman" w:hAnsi="Times New Roman" w:eastAsia="宋体" w:cs="Times New Roman"/>
                <w:b/>
                <w:bCs/>
                <w:color w:val="auto"/>
                <w:kern w:val="0"/>
                <w:sz w:val="24"/>
                <w:szCs w:val="24"/>
                <w:lang w:val="en-US" w:eastAsia="zh-CN"/>
              </w:rPr>
              <w:t>废水接纳可行性分析</w:t>
            </w:r>
          </w:p>
          <w:p w14:paraId="3A3308E4">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（1）处理规模可行性</w:t>
            </w:r>
          </w:p>
          <w:p w14:paraId="03130493">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目前涟水经济开发区西区</w:t>
            </w:r>
            <w:r>
              <w:rPr>
                <w:rFonts w:hint="default" w:ascii="Times New Roman" w:hAnsi="Times New Roman" w:eastAsia="宋体" w:cs="Times New Roman"/>
                <w:color w:val="auto"/>
                <w:kern w:val="0"/>
                <w:sz w:val="24"/>
              </w:rPr>
              <w:t>实际接管水量</w:t>
            </w:r>
            <w:r>
              <w:rPr>
                <w:rFonts w:hint="default" w:ascii="Times New Roman" w:hAnsi="Times New Roman" w:eastAsia="宋体" w:cs="Times New Roman"/>
                <w:color w:val="auto"/>
                <w:kern w:val="0"/>
                <w:sz w:val="24"/>
                <w:lang w:eastAsia="zh-CN"/>
              </w:rPr>
              <w:t>约</w:t>
            </w:r>
            <w:r>
              <w:rPr>
                <w:rFonts w:hint="default" w:ascii="Times New Roman" w:hAnsi="Times New Roman" w:eastAsia="宋体" w:cs="Times New Roman"/>
                <w:color w:val="auto"/>
                <w:kern w:val="0"/>
                <w:sz w:val="24"/>
                <w:lang w:val="en-US" w:eastAsia="zh-CN"/>
              </w:rPr>
              <w:t>1.8</w:t>
            </w:r>
            <w:r>
              <w:rPr>
                <w:rFonts w:hint="default" w:ascii="Times New Roman" w:hAnsi="Times New Roman" w:eastAsia="宋体" w:cs="Times New Roman"/>
                <w:color w:val="auto"/>
                <w:kern w:val="0"/>
                <w:sz w:val="24"/>
              </w:rPr>
              <w:t>万t/d</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能够实现稳定达标排放。</w:t>
            </w:r>
            <w:r>
              <w:rPr>
                <w:rFonts w:hint="default" w:ascii="Times New Roman" w:hAnsi="Times New Roman" w:eastAsia="宋体" w:cs="Times New Roman"/>
                <w:color w:val="auto"/>
                <w:kern w:val="0"/>
                <w:sz w:val="24"/>
                <w:lang w:val="en-US" w:eastAsia="zh-CN"/>
              </w:rPr>
              <w:t>从水量分析，项目废水接管至涟水县经济开发区西区污水处理厂是可行的。</w:t>
            </w:r>
          </w:p>
          <w:p w14:paraId="371EFC02">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因此，从处理规模上讲，本项目废水接管进入涟水县经济开发区西区污水处理厂是可行的。</w:t>
            </w:r>
          </w:p>
          <w:p w14:paraId="2A33472A">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（2）管道敷设及服务范围</w:t>
            </w:r>
          </w:p>
          <w:p w14:paraId="136E5C93">
            <w:pPr>
              <w:widowControl/>
              <w:adjustRightInd w:val="0"/>
              <w:snapToGrid w:val="0"/>
              <w:spacing w:line="360" w:lineRule="auto"/>
              <w:ind w:firstLine="48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4"/>
                <w:lang w:val="en-US" w:eastAsia="zh-CN"/>
              </w:rPr>
              <w:t>涟水经济开发区西区污水处理厂与</w:t>
            </w:r>
            <w:r>
              <w:rPr>
                <w:rFonts w:hint="eastAsia" w:cs="Times New Roman"/>
                <w:color w:val="auto"/>
                <w:kern w:val="0"/>
                <w:sz w:val="24"/>
                <w:lang w:val="en-US" w:eastAsia="zh-CN"/>
              </w:rPr>
              <w:t>污水处理厂</w:t>
            </w:r>
            <w:r>
              <w:rPr>
                <w:rFonts w:hint="default" w:ascii="Times New Roman" w:hAnsi="Times New Roman" w:eastAsia="宋体" w:cs="Times New Roman"/>
                <w:color w:val="auto"/>
                <w:kern w:val="0"/>
                <w:sz w:val="24"/>
                <w:lang w:val="en-US" w:eastAsia="zh-CN"/>
              </w:rPr>
              <w:t>配套工程包括污水输送管线、污水提升泵站及排放口同步建设。主要处理江苏涟水经济开发区西区内的工业废水和生活污水（不包括新港电子产业园内的PCB生产废水）。目前涟水开发区已建污水管网约32km。根据2018年10月8日涟水县人民政府发布的《盐河袁闸断面和南六塘河肖大桥断面达标方案重点工程项目完成情况表》，目前涟水经济开发区污水管网工程中已完成的污水管网有韦六路、炎黄大道、杨洼路（纬三路</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纬五路），纬三路（兴旺大道</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金轮路）。</w:t>
            </w:r>
          </w:p>
          <w:p w14:paraId="5C46D58C">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西区污水处理厂污水现状收集范围为西至连淮扬镇铁路、北至北环路、东至盐河和涟西一干渠、南至清涟大道和生态路，收水范围内的污水经污水处理厂处理后，尾水排入祁六沟后入公兴河。</w:t>
            </w:r>
          </w:p>
          <w:p w14:paraId="158439B3">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项目位于江苏省淮安市涟水县经济开发区创业路西侧、生态路北侧，处于涟水县经济开发区西区污水处理厂纳管范围内，因此本项目污水接入涟水县经济开发区西区污水处理厂是可行的。</w:t>
            </w:r>
          </w:p>
          <w:p w14:paraId="19156812">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（3）水质接管可行性</w:t>
            </w:r>
          </w:p>
          <w:p w14:paraId="4ADB1E8F">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本项目废水经预处理后接管进入涟水县经济开发区西区污水处理厂集中处理，接管水质污染物浓度见表</w:t>
            </w:r>
            <w:r>
              <w:rPr>
                <w:rFonts w:hint="default" w:ascii="Times New Roman" w:hAnsi="Times New Roman" w:cs="Times New Roman"/>
                <w:color w:val="auto"/>
                <w:kern w:val="0"/>
                <w:sz w:val="24"/>
                <w:lang w:val="en-US" w:eastAsia="zh-CN"/>
              </w:rPr>
              <w:t>4-</w:t>
            </w:r>
            <w:r>
              <w:rPr>
                <w:rFonts w:hint="eastAsia" w:cs="Times New Roman"/>
                <w:color w:val="auto"/>
                <w:kern w:val="0"/>
                <w:sz w:val="24"/>
                <w:lang w:val="en-US" w:eastAsia="zh-CN"/>
              </w:rPr>
              <w:t>16</w:t>
            </w:r>
            <w:r>
              <w:rPr>
                <w:rFonts w:hint="default" w:ascii="Times New Roman" w:hAnsi="Times New Roman" w:eastAsia="宋体" w:cs="Times New Roman"/>
                <w:color w:val="auto"/>
                <w:kern w:val="0"/>
                <w:sz w:val="24"/>
                <w:lang w:val="en-US" w:eastAsia="zh-CN"/>
              </w:rPr>
              <w:t>。</w:t>
            </w:r>
          </w:p>
          <w:p w14:paraId="134F5D1F">
            <w:pPr>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16</w:t>
            </w:r>
            <w:r>
              <w:rPr>
                <w:rFonts w:hint="default" w:ascii="Times New Roman" w:hAnsi="Times New Roman" w:eastAsia="宋体" w:cs="Times New Roman"/>
                <w:b/>
                <w:bCs/>
                <w:color w:val="auto"/>
                <w:sz w:val="21"/>
                <w:szCs w:val="21"/>
                <w:lang w:val="en-US" w:eastAsia="zh-CN"/>
              </w:rPr>
              <w:t>项目排放水质状况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391"/>
              <w:gridCol w:w="1277"/>
              <w:gridCol w:w="1519"/>
              <w:gridCol w:w="1763"/>
              <w:gridCol w:w="1422"/>
            </w:tblGrid>
            <w:tr w14:paraId="69338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l2br w:val="nil"/>
                    <w:tr2bl w:val="nil"/>
                  </w:tcBorders>
                  <w:noWrap w:val="0"/>
                  <w:vAlign w:val="center"/>
                </w:tcPr>
                <w:p w14:paraId="4B21F8F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类别</w:t>
                  </w:r>
                </w:p>
              </w:tc>
              <w:tc>
                <w:tcPr>
                  <w:tcW w:w="815" w:type="pct"/>
                  <w:tcBorders>
                    <w:tl2br w:val="nil"/>
                    <w:tr2bl w:val="nil"/>
                  </w:tcBorders>
                  <w:noWrap w:val="0"/>
                  <w:vAlign w:val="center"/>
                </w:tcPr>
                <w:p w14:paraId="46FA5B8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废水量</w:t>
                  </w:r>
                  <w:r>
                    <w:rPr>
                      <w:rFonts w:hint="eastAsia"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t/a</w:t>
                  </w:r>
                  <w:r>
                    <w:rPr>
                      <w:rFonts w:hint="eastAsia" w:cs="Times New Roman"/>
                      <w:b/>
                      <w:bCs/>
                      <w:color w:val="auto"/>
                      <w:kern w:val="0"/>
                      <w:sz w:val="21"/>
                      <w:szCs w:val="21"/>
                      <w:lang w:eastAsia="zh-CN"/>
                    </w:rPr>
                    <w:t>）</w:t>
                  </w:r>
                </w:p>
              </w:tc>
              <w:tc>
                <w:tcPr>
                  <w:tcW w:w="748" w:type="pct"/>
                  <w:tcBorders>
                    <w:tl2br w:val="nil"/>
                    <w:tr2bl w:val="nil"/>
                  </w:tcBorders>
                  <w:noWrap w:val="0"/>
                  <w:vAlign w:val="center"/>
                </w:tcPr>
                <w:p w14:paraId="2DB65E2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890" w:type="pct"/>
                  <w:tcBorders>
                    <w:tl2br w:val="nil"/>
                    <w:tr2bl w:val="nil"/>
                  </w:tcBorders>
                  <w:noWrap w:val="0"/>
                  <w:vAlign w:val="center"/>
                </w:tcPr>
                <w:p w14:paraId="1C8069E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eastAsia="zh-CN"/>
                    </w:rPr>
                    <w:t>接管</w:t>
                  </w:r>
                  <w:r>
                    <w:rPr>
                      <w:rFonts w:hint="default" w:ascii="Times New Roman" w:hAnsi="Times New Roman" w:eastAsia="宋体" w:cs="Times New Roman"/>
                      <w:b/>
                      <w:bCs/>
                      <w:color w:val="auto"/>
                      <w:kern w:val="0"/>
                      <w:sz w:val="21"/>
                      <w:szCs w:val="21"/>
                    </w:rPr>
                    <w:t>浓度</w:t>
                  </w:r>
                  <w:r>
                    <w:rPr>
                      <w:rFonts w:hint="eastAsia"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mg/L</w:t>
                  </w:r>
                  <w:r>
                    <w:rPr>
                      <w:rFonts w:hint="eastAsia" w:cs="Times New Roman"/>
                      <w:b/>
                      <w:bCs/>
                      <w:color w:val="auto"/>
                      <w:kern w:val="0"/>
                      <w:sz w:val="21"/>
                      <w:szCs w:val="21"/>
                      <w:lang w:eastAsia="zh-CN"/>
                    </w:rPr>
                    <w:t>）</w:t>
                  </w:r>
                </w:p>
              </w:tc>
              <w:tc>
                <w:tcPr>
                  <w:tcW w:w="1033" w:type="pct"/>
                  <w:tcBorders>
                    <w:tl2br w:val="nil"/>
                    <w:tr2bl w:val="nil"/>
                  </w:tcBorders>
                  <w:noWrap w:val="0"/>
                  <w:vAlign w:val="center"/>
                </w:tcPr>
                <w:p w14:paraId="101248A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eastAsia="zh-CN"/>
                    </w:rPr>
                    <w:t>标准值</w:t>
                  </w:r>
                </w:p>
                <w:p w14:paraId="4BB7FD8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mg/L</w:t>
                  </w:r>
                  <w:r>
                    <w:rPr>
                      <w:rFonts w:hint="eastAsia" w:cs="Times New Roman"/>
                      <w:b/>
                      <w:bCs/>
                      <w:color w:val="auto"/>
                      <w:kern w:val="0"/>
                      <w:sz w:val="21"/>
                      <w:szCs w:val="21"/>
                      <w:lang w:eastAsia="zh-CN"/>
                    </w:rPr>
                    <w:t>)</w:t>
                  </w:r>
                </w:p>
              </w:tc>
              <w:tc>
                <w:tcPr>
                  <w:tcW w:w="833" w:type="pct"/>
                  <w:tcBorders>
                    <w:tl2br w:val="nil"/>
                    <w:tr2bl w:val="nil"/>
                  </w:tcBorders>
                  <w:noWrap w:val="0"/>
                  <w:vAlign w:val="center"/>
                </w:tcPr>
                <w:p w14:paraId="454A9A1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排放去向</w:t>
                  </w:r>
                </w:p>
              </w:tc>
            </w:tr>
            <w:tr w14:paraId="0DA1E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restart"/>
                  <w:tcBorders>
                    <w:tl2br w:val="nil"/>
                    <w:tr2bl w:val="nil"/>
                  </w:tcBorders>
                  <w:noWrap w:val="0"/>
                  <w:vAlign w:val="center"/>
                </w:tcPr>
                <w:p w14:paraId="26FF1DD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综合废</w:t>
                  </w:r>
                  <w:r>
                    <w:rPr>
                      <w:rFonts w:hint="default" w:ascii="Times New Roman" w:hAnsi="Times New Roman" w:cs="Times New Roman"/>
                      <w:color w:val="auto"/>
                      <w:kern w:val="0"/>
                      <w:sz w:val="21"/>
                      <w:szCs w:val="21"/>
                      <w:lang w:eastAsia="zh-CN"/>
                    </w:rPr>
                    <w:t>水</w:t>
                  </w:r>
                </w:p>
              </w:tc>
              <w:tc>
                <w:tcPr>
                  <w:tcW w:w="815" w:type="pct"/>
                  <w:vMerge w:val="restart"/>
                  <w:tcBorders>
                    <w:tl2br w:val="nil"/>
                    <w:tr2bl w:val="nil"/>
                  </w:tcBorders>
                  <w:noWrap w:val="0"/>
                  <w:vAlign w:val="center"/>
                </w:tcPr>
                <w:p w14:paraId="3215642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46866</w:t>
                  </w:r>
                </w:p>
              </w:tc>
              <w:tc>
                <w:tcPr>
                  <w:tcW w:w="1277" w:type="dxa"/>
                  <w:tcBorders>
                    <w:tl2br w:val="nil"/>
                    <w:tr2bl w:val="nil"/>
                  </w:tcBorders>
                  <w:noWrap w:val="0"/>
                  <w:vAlign w:val="center"/>
                </w:tcPr>
                <w:p w14:paraId="3A9671F6">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color w:val="auto"/>
                      <w:sz w:val="18"/>
                      <w:szCs w:val="18"/>
                    </w:rPr>
                    <w:t>COD</w:t>
                  </w:r>
                </w:p>
              </w:tc>
              <w:tc>
                <w:tcPr>
                  <w:tcW w:w="1519" w:type="dxa"/>
                  <w:tcBorders>
                    <w:tl2br w:val="nil"/>
                    <w:tr2bl w:val="nil"/>
                  </w:tcBorders>
                  <w:shd w:val="clear" w:color="auto" w:fill="auto"/>
                  <w:noWrap w:val="0"/>
                  <w:vAlign w:val="center"/>
                </w:tcPr>
                <w:p w14:paraId="2219CFF7">
                  <w:pPr>
                    <w:pStyle w:val="13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80.4</w:t>
                  </w:r>
                </w:p>
              </w:tc>
              <w:tc>
                <w:tcPr>
                  <w:tcW w:w="1763" w:type="dxa"/>
                  <w:tcBorders>
                    <w:tl2br w:val="nil"/>
                    <w:tr2bl w:val="nil"/>
                  </w:tcBorders>
                  <w:noWrap w:val="0"/>
                  <w:vAlign w:val="center"/>
                </w:tcPr>
                <w:p w14:paraId="79D7AADA">
                  <w:pPr>
                    <w:pStyle w:val="135"/>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500</w:t>
                  </w:r>
                </w:p>
              </w:tc>
              <w:tc>
                <w:tcPr>
                  <w:tcW w:w="833" w:type="pct"/>
                  <w:vMerge w:val="restart"/>
                  <w:tcBorders>
                    <w:tl2br w:val="nil"/>
                    <w:tr2bl w:val="nil"/>
                  </w:tcBorders>
                  <w:noWrap w:val="0"/>
                  <w:vAlign w:val="center"/>
                </w:tcPr>
                <w:p w14:paraId="2C0FC3D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涟水县经济开发区西区污水处理厂</w:t>
                  </w:r>
                </w:p>
              </w:tc>
            </w:tr>
            <w:tr w14:paraId="4EE04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30F29AE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0C7C9E4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noWrap w:val="0"/>
                  <w:vAlign w:val="center"/>
                </w:tcPr>
                <w:p w14:paraId="76EA669F">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18"/>
                      <w:szCs w:val="18"/>
                    </w:rPr>
                    <w:t>B</w:t>
                  </w:r>
                  <w:r>
                    <w:rPr>
                      <w:color w:val="auto"/>
                      <w:sz w:val="18"/>
                      <w:szCs w:val="18"/>
                    </w:rPr>
                    <w:t>OD</w:t>
                  </w:r>
                  <w:r>
                    <w:rPr>
                      <w:color w:val="auto"/>
                      <w:sz w:val="18"/>
                      <w:szCs w:val="18"/>
                      <w:vertAlign w:val="subscript"/>
                    </w:rPr>
                    <w:t>5</w:t>
                  </w:r>
                </w:p>
              </w:tc>
              <w:tc>
                <w:tcPr>
                  <w:tcW w:w="1519" w:type="dxa"/>
                  <w:tcBorders>
                    <w:tl2br w:val="nil"/>
                    <w:tr2bl w:val="nil"/>
                  </w:tcBorders>
                  <w:shd w:val="clear" w:color="auto" w:fill="auto"/>
                  <w:noWrap w:val="0"/>
                  <w:vAlign w:val="center"/>
                </w:tcPr>
                <w:p w14:paraId="573D19D1">
                  <w:pPr>
                    <w:pStyle w:val="13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87.2</w:t>
                  </w:r>
                </w:p>
              </w:tc>
              <w:tc>
                <w:tcPr>
                  <w:tcW w:w="1763" w:type="dxa"/>
                  <w:tcBorders>
                    <w:tl2br w:val="nil"/>
                    <w:tr2bl w:val="nil"/>
                  </w:tcBorders>
                  <w:noWrap w:val="0"/>
                  <w:vAlign w:val="center"/>
                </w:tcPr>
                <w:p w14:paraId="2F154421">
                  <w:pPr>
                    <w:pStyle w:val="135"/>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180</w:t>
                  </w:r>
                </w:p>
              </w:tc>
              <w:tc>
                <w:tcPr>
                  <w:tcW w:w="833" w:type="pct"/>
                  <w:vMerge w:val="continue"/>
                  <w:tcBorders>
                    <w:tl2br w:val="nil"/>
                    <w:tr2bl w:val="nil"/>
                  </w:tcBorders>
                  <w:noWrap w:val="0"/>
                  <w:vAlign w:val="center"/>
                </w:tcPr>
                <w:p w14:paraId="205D4835">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2643C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1223FA2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4E7CC36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noWrap w:val="0"/>
                  <w:vAlign w:val="center"/>
                </w:tcPr>
                <w:p w14:paraId="7E4C7CCB">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color w:val="auto"/>
                      <w:sz w:val="18"/>
                      <w:szCs w:val="18"/>
                    </w:rPr>
                    <w:t>SS</w:t>
                  </w:r>
                </w:p>
              </w:tc>
              <w:tc>
                <w:tcPr>
                  <w:tcW w:w="1519" w:type="dxa"/>
                  <w:tcBorders>
                    <w:tl2br w:val="nil"/>
                    <w:tr2bl w:val="nil"/>
                  </w:tcBorders>
                  <w:shd w:val="clear" w:color="auto" w:fill="auto"/>
                  <w:noWrap w:val="0"/>
                  <w:vAlign w:val="center"/>
                </w:tcPr>
                <w:p w14:paraId="3EADF866">
                  <w:pPr>
                    <w:pStyle w:val="135"/>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43.8</w:t>
                  </w:r>
                </w:p>
              </w:tc>
              <w:tc>
                <w:tcPr>
                  <w:tcW w:w="1763" w:type="dxa"/>
                  <w:tcBorders>
                    <w:tl2br w:val="nil"/>
                    <w:tr2bl w:val="nil"/>
                  </w:tcBorders>
                  <w:noWrap w:val="0"/>
                  <w:vAlign w:val="center"/>
                </w:tcPr>
                <w:p w14:paraId="0D1E435F">
                  <w:pPr>
                    <w:pStyle w:val="135"/>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400</w:t>
                  </w:r>
                </w:p>
              </w:tc>
              <w:tc>
                <w:tcPr>
                  <w:tcW w:w="833" w:type="pct"/>
                  <w:vMerge w:val="continue"/>
                  <w:tcBorders>
                    <w:tl2br w:val="nil"/>
                    <w:tr2bl w:val="nil"/>
                  </w:tcBorders>
                  <w:noWrap w:val="0"/>
                  <w:vAlign w:val="center"/>
                </w:tcPr>
                <w:p w14:paraId="606F1AD4">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3D8C9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40945C7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eastAsia="zh-CN"/>
                    </w:rPr>
                  </w:pPr>
                </w:p>
              </w:tc>
              <w:tc>
                <w:tcPr>
                  <w:tcW w:w="815" w:type="pct"/>
                  <w:vMerge w:val="continue"/>
                  <w:tcBorders>
                    <w:tl2br w:val="nil"/>
                    <w:tr2bl w:val="nil"/>
                  </w:tcBorders>
                  <w:noWrap w:val="0"/>
                  <w:vAlign w:val="center"/>
                </w:tcPr>
                <w:p w14:paraId="2AB1C0C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1277" w:type="dxa"/>
                  <w:tcBorders>
                    <w:tl2br w:val="nil"/>
                    <w:tr2bl w:val="nil"/>
                  </w:tcBorders>
                  <w:shd w:val="clear" w:color="auto" w:fill="auto"/>
                  <w:noWrap w:val="0"/>
                  <w:vAlign w:val="center"/>
                </w:tcPr>
                <w:p w14:paraId="5ECEA0D2">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氨氮</w:t>
                  </w:r>
                </w:p>
              </w:tc>
              <w:tc>
                <w:tcPr>
                  <w:tcW w:w="1519" w:type="dxa"/>
                  <w:tcBorders>
                    <w:tl2br w:val="nil"/>
                    <w:tr2bl w:val="nil"/>
                  </w:tcBorders>
                  <w:shd w:val="clear" w:color="auto" w:fill="auto"/>
                  <w:noWrap w:val="0"/>
                  <w:vAlign w:val="center"/>
                </w:tcPr>
                <w:p w14:paraId="5B68416A">
                  <w:pPr>
                    <w:pStyle w:val="135"/>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1763" w:type="dxa"/>
                  <w:tcBorders>
                    <w:tl2br w:val="nil"/>
                    <w:tr2bl w:val="nil"/>
                  </w:tcBorders>
                  <w:shd w:val="clear" w:color="auto" w:fill="auto"/>
                  <w:noWrap w:val="0"/>
                  <w:vAlign w:val="center"/>
                </w:tcPr>
                <w:p w14:paraId="2AFD03F6">
                  <w:pPr>
                    <w:pStyle w:val="135"/>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30</w:t>
                  </w:r>
                </w:p>
              </w:tc>
              <w:tc>
                <w:tcPr>
                  <w:tcW w:w="833" w:type="pct"/>
                  <w:vMerge w:val="continue"/>
                  <w:tcBorders>
                    <w:tl2br w:val="nil"/>
                    <w:tr2bl w:val="nil"/>
                  </w:tcBorders>
                  <w:noWrap w:val="0"/>
                  <w:vAlign w:val="center"/>
                </w:tcPr>
                <w:p w14:paraId="2B7130BF">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0E2F6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4A6AAF7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2EE3BF3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shd w:val="clear" w:color="auto" w:fill="auto"/>
                  <w:noWrap w:val="0"/>
                  <w:vAlign w:val="center"/>
                </w:tcPr>
                <w:p w14:paraId="31E97804">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总氮</w:t>
                  </w:r>
                </w:p>
              </w:tc>
              <w:tc>
                <w:tcPr>
                  <w:tcW w:w="1519" w:type="dxa"/>
                  <w:tcBorders>
                    <w:tl2br w:val="nil"/>
                    <w:tr2bl w:val="nil"/>
                  </w:tcBorders>
                  <w:shd w:val="clear" w:color="auto" w:fill="auto"/>
                  <w:noWrap w:val="0"/>
                  <w:vAlign w:val="center"/>
                </w:tcPr>
                <w:p w14:paraId="08FA2DDE">
                  <w:pPr>
                    <w:pStyle w:val="135"/>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1763" w:type="dxa"/>
                  <w:tcBorders>
                    <w:tl2br w:val="nil"/>
                    <w:tr2bl w:val="nil"/>
                  </w:tcBorders>
                  <w:shd w:val="clear" w:color="auto" w:fill="auto"/>
                  <w:noWrap w:val="0"/>
                  <w:vAlign w:val="center"/>
                </w:tcPr>
                <w:p w14:paraId="4E54CE2C">
                  <w:pPr>
                    <w:pStyle w:val="135"/>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45</w:t>
                  </w:r>
                </w:p>
              </w:tc>
              <w:tc>
                <w:tcPr>
                  <w:tcW w:w="833" w:type="pct"/>
                  <w:vMerge w:val="continue"/>
                  <w:tcBorders>
                    <w:tl2br w:val="nil"/>
                    <w:tr2bl w:val="nil"/>
                  </w:tcBorders>
                  <w:noWrap w:val="0"/>
                  <w:vAlign w:val="center"/>
                </w:tcPr>
                <w:p w14:paraId="0C4FD233">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483C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10C5C70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3287727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shd w:val="clear" w:color="auto" w:fill="auto"/>
                  <w:noWrap w:val="0"/>
                  <w:vAlign w:val="center"/>
                </w:tcPr>
                <w:p w14:paraId="0EDC01AD">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总磷</w:t>
                  </w:r>
                </w:p>
              </w:tc>
              <w:tc>
                <w:tcPr>
                  <w:tcW w:w="1519" w:type="dxa"/>
                  <w:tcBorders>
                    <w:tl2br w:val="nil"/>
                    <w:tr2bl w:val="nil"/>
                  </w:tcBorders>
                  <w:shd w:val="clear" w:color="auto" w:fill="auto"/>
                  <w:noWrap w:val="0"/>
                  <w:vAlign w:val="center"/>
                </w:tcPr>
                <w:p w14:paraId="1EC65FD7">
                  <w:pPr>
                    <w:pStyle w:val="135"/>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1763" w:type="dxa"/>
                  <w:tcBorders>
                    <w:tl2br w:val="nil"/>
                    <w:tr2bl w:val="nil"/>
                  </w:tcBorders>
                  <w:noWrap w:val="0"/>
                  <w:vAlign w:val="center"/>
                </w:tcPr>
                <w:p w14:paraId="45D7A3D6">
                  <w:pPr>
                    <w:pStyle w:val="135"/>
                    <w:rPr>
                      <w:rFonts w:hint="default" w:cs="Times New Roman"/>
                      <w:i w:val="0"/>
                      <w:iCs w:val="0"/>
                      <w:color w:val="auto"/>
                      <w:kern w:val="0"/>
                      <w:sz w:val="21"/>
                      <w:szCs w:val="21"/>
                      <w:u w:val="none"/>
                      <w:lang w:val="en-US" w:eastAsia="zh-CN" w:bidi="ar"/>
                    </w:rPr>
                  </w:pPr>
                  <w:r>
                    <w:rPr>
                      <w:rFonts w:ascii="Times New Roman" w:hAnsi="Times New Roman" w:eastAsia="宋体"/>
                      <w:color w:val="auto"/>
                      <w:sz w:val="21"/>
                      <w:szCs w:val="21"/>
                    </w:rPr>
                    <w:t>8</w:t>
                  </w:r>
                </w:p>
              </w:tc>
              <w:tc>
                <w:tcPr>
                  <w:tcW w:w="833" w:type="pct"/>
                  <w:vMerge w:val="continue"/>
                  <w:tcBorders>
                    <w:tl2br w:val="nil"/>
                    <w:tr2bl w:val="nil"/>
                  </w:tcBorders>
                  <w:noWrap w:val="0"/>
                  <w:vAlign w:val="center"/>
                </w:tcPr>
                <w:p w14:paraId="3C59DC60">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104EB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632BF86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4F1ECD6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shd w:val="clear" w:color="auto" w:fill="auto"/>
                  <w:noWrap w:val="0"/>
                  <w:vAlign w:val="center"/>
                </w:tcPr>
                <w:p w14:paraId="08DF27E0">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动植物油</w:t>
                  </w:r>
                </w:p>
              </w:tc>
              <w:tc>
                <w:tcPr>
                  <w:tcW w:w="1519" w:type="dxa"/>
                  <w:tcBorders>
                    <w:tl2br w:val="nil"/>
                    <w:tr2bl w:val="nil"/>
                  </w:tcBorders>
                  <w:shd w:val="clear" w:color="auto" w:fill="auto"/>
                  <w:noWrap w:val="0"/>
                  <w:vAlign w:val="center"/>
                </w:tcPr>
                <w:p w14:paraId="185ECD45">
                  <w:pPr>
                    <w:pStyle w:val="135"/>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1763" w:type="dxa"/>
                  <w:tcBorders>
                    <w:tl2br w:val="nil"/>
                    <w:tr2bl w:val="nil"/>
                  </w:tcBorders>
                  <w:noWrap w:val="0"/>
                  <w:vAlign w:val="center"/>
                </w:tcPr>
                <w:p w14:paraId="78798547">
                  <w:pPr>
                    <w:pStyle w:val="135"/>
                    <w:rPr>
                      <w:rFonts w:hint="default" w:cs="Times New Roman"/>
                      <w:i w:val="0"/>
                      <w:iCs w:val="0"/>
                      <w:color w:val="auto"/>
                      <w:kern w:val="0"/>
                      <w:sz w:val="21"/>
                      <w:szCs w:val="21"/>
                      <w:u w:val="none"/>
                      <w:lang w:val="en-US" w:eastAsia="zh-CN" w:bidi="ar"/>
                    </w:rPr>
                  </w:pPr>
                  <w:r>
                    <w:rPr>
                      <w:rFonts w:ascii="Times New Roman" w:hAnsi="Times New Roman" w:eastAsia="宋体"/>
                      <w:color w:val="auto"/>
                      <w:sz w:val="21"/>
                      <w:szCs w:val="21"/>
                    </w:rPr>
                    <w:t>100</w:t>
                  </w:r>
                </w:p>
              </w:tc>
              <w:tc>
                <w:tcPr>
                  <w:tcW w:w="833" w:type="pct"/>
                  <w:vMerge w:val="continue"/>
                  <w:tcBorders>
                    <w:tl2br w:val="nil"/>
                    <w:tr2bl w:val="nil"/>
                  </w:tcBorders>
                  <w:noWrap w:val="0"/>
                  <w:vAlign w:val="center"/>
                </w:tcPr>
                <w:p w14:paraId="3B62DCF3">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4CEA2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19119B8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09B896A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shd w:val="clear" w:color="auto" w:fill="auto"/>
                  <w:noWrap w:val="0"/>
                  <w:vAlign w:val="center"/>
                </w:tcPr>
                <w:p w14:paraId="4BA145E0">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LAS</w:t>
                  </w:r>
                </w:p>
              </w:tc>
              <w:tc>
                <w:tcPr>
                  <w:tcW w:w="1519" w:type="dxa"/>
                  <w:tcBorders>
                    <w:tl2br w:val="nil"/>
                    <w:tr2bl w:val="nil"/>
                  </w:tcBorders>
                  <w:shd w:val="clear" w:color="auto" w:fill="auto"/>
                  <w:noWrap w:val="0"/>
                  <w:vAlign w:val="center"/>
                </w:tcPr>
                <w:p w14:paraId="500F2FBC">
                  <w:pPr>
                    <w:pStyle w:val="135"/>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1033" w:type="pct"/>
                  <w:tcBorders>
                    <w:tl2br w:val="nil"/>
                    <w:tr2bl w:val="nil"/>
                  </w:tcBorders>
                  <w:noWrap w:val="0"/>
                  <w:vAlign w:val="center"/>
                </w:tcPr>
                <w:p w14:paraId="36A5D3A8">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833" w:type="pct"/>
                  <w:vMerge w:val="continue"/>
                  <w:tcBorders>
                    <w:tl2br w:val="nil"/>
                    <w:tr2bl w:val="nil"/>
                  </w:tcBorders>
                  <w:noWrap w:val="0"/>
                  <w:vAlign w:val="center"/>
                </w:tcPr>
                <w:p w14:paraId="5CFC26EB">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bl>
          <w:p w14:paraId="096CAB62">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由表4-</w:t>
            </w:r>
            <w:r>
              <w:rPr>
                <w:rFonts w:hint="eastAsia" w:cs="Times New Roman"/>
                <w:color w:val="auto"/>
                <w:kern w:val="0"/>
                <w:sz w:val="24"/>
                <w:lang w:val="en-US" w:eastAsia="zh-CN"/>
              </w:rPr>
              <w:t>16</w:t>
            </w:r>
            <w:r>
              <w:rPr>
                <w:rFonts w:hint="default" w:ascii="Times New Roman" w:hAnsi="Times New Roman" w:eastAsia="宋体" w:cs="Times New Roman"/>
                <w:color w:val="auto"/>
                <w:kern w:val="0"/>
                <w:sz w:val="24"/>
                <w:lang w:val="en-US" w:eastAsia="zh-CN"/>
              </w:rPr>
              <w:t>可见，本项目废水经预处理后，出水水质可以达到涟水县经济开发区西区污水处理厂进水水质接管标准要求。</w:t>
            </w:r>
          </w:p>
          <w:p w14:paraId="531DA2B2">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综上所述，本项目废水经预处理后接管至涟水县经济开发区西区污水处理厂集中处理，是可行的。</w:t>
            </w:r>
          </w:p>
          <w:p w14:paraId="3FCFE5F7">
            <w:pPr>
              <w:widowControl/>
              <w:adjustRightInd w:val="0"/>
              <w:snapToGrid w:val="0"/>
              <w:spacing w:line="360" w:lineRule="auto"/>
              <w:ind w:firstLine="482" w:firstLineChars="200"/>
              <w:jc w:val="left"/>
              <w:rPr>
                <w:rFonts w:hint="default" w:ascii="Times New Roman" w:hAnsi="Times New Roman" w:eastAsia="宋体" w:cs="Times New Roman"/>
                <w:b/>
                <w:bCs/>
                <w:color w:val="auto"/>
                <w:kern w:val="0"/>
                <w:sz w:val="24"/>
                <w:lang w:val="en-US" w:eastAsia="zh-CN"/>
              </w:rPr>
            </w:pPr>
            <w:r>
              <w:rPr>
                <w:rFonts w:hint="eastAsia" w:cs="Times New Roman"/>
                <w:b/>
                <w:bCs/>
                <w:color w:val="auto"/>
                <w:kern w:val="0"/>
                <w:sz w:val="24"/>
                <w:lang w:val="en-US" w:eastAsia="zh-CN"/>
              </w:rPr>
              <w:t>3</w:t>
            </w:r>
            <w:r>
              <w:rPr>
                <w:rFonts w:hint="default" w:ascii="Times New Roman" w:hAnsi="Times New Roman" w:eastAsia="宋体" w:cs="Times New Roman"/>
                <w:b/>
                <w:bCs/>
                <w:color w:val="auto"/>
                <w:kern w:val="0"/>
                <w:sz w:val="24"/>
                <w:lang w:val="en-US" w:eastAsia="zh-CN"/>
              </w:rPr>
              <w:t>.噪声</w:t>
            </w:r>
          </w:p>
          <w:p w14:paraId="78D9659C">
            <w:pPr>
              <w:widowControl/>
              <w:adjustRightInd w:val="0"/>
              <w:snapToGrid w:val="0"/>
              <w:spacing w:line="360" w:lineRule="auto"/>
              <w:ind w:firstLine="482" w:firstLineChars="200"/>
              <w:jc w:val="left"/>
              <w:rPr>
                <w:rFonts w:hint="default" w:ascii="Times New Roman" w:hAnsi="Times New Roman" w:eastAsia="宋体" w:cs="Times New Roman"/>
                <w:color w:val="auto"/>
                <w:kern w:val="0"/>
                <w:sz w:val="24"/>
                <w:lang w:val="en-US" w:eastAsia="zh-CN"/>
              </w:rPr>
            </w:pPr>
            <w:r>
              <w:rPr>
                <w:rFonts w:hint="eastAsia" w:cs="Times New Roman"/>
                <w:b/>
                <w:bCs/>
                <w:color w:val="auto"/>
                <w:kern w:val="0"/>
                <w:sz w:val="24"/>
                <w:lang w:val="en-US" w:eastAsia="zh-CN"/>
              </w:rPr>
              <w:t>3.1</w:t>
            </w:r>
            <w:r>
              <w:rPr>
                <w:rFonts w:hint="default" w:ascii="Times New Roman" w:hAnsi="Times New Roman" w:eastAsia="宋体" w:cs="Times New Roman"/>
                <w:b/>
                <w:bCs/>
                <w:color w:val="auto"/>
                <w:kern w:val="0"/>
                <w:sz w:val="24"/>
                <w:lang w:val="en-US" w:eastAsia="zh-CN"/>
              </w:rPr>
              <w:t>噪声源强及降噪措施</w:t>
            </w:r>
          </w:p>
          <w:p w14:paraId="2CD1BC99">
            <w:pPr>
              <w:widowControl/>
              <w:adjustRightInd w:val="0"/>
              <w:snapToGrid w:val="0"/>
              <w:spacing w:line="360" w:lineRule="auto"/>
              <w:ind w:firstLine="480" w:firstLineChars="200"/>
              <w:jc w:val="left"/>
              <w:rPr>
                <w:rFonts w:hint="eastAsia" w:hAnsiTheme="minorEastAsia" w:eastAsiaTheme="minorEastAsia"/>
                <w:color w:val="auto"/>
                <w:kern w:val="0"/>
                <w:sz w:val="24"/>
              </w:rPr>
            </w:pPr>
            <w:r>
              <w:rPr>
                <w:rFonts w:hAnsiTheme="minorEastAsia" w:eastAsiaTheme="minorEastAsia"/>
                <w:color w:val="auto"/>
                <w:kern w:val="0"/>
                <w:sz w:val="24"/>
                <w:lang w:bidi="en-US"/>
              </w:rPr>
              <w:t>企业周边</w:t>
            </w:r>
            <w:r>
              <w:rPr>
                <w:rFonts w:eastAsiaTheme="minorEastAsia"/>
                <w:color w:val="auto"/>
                <w:kern w:val="0"/>
                <w:sz w:val="24"/>
                <w:lang w:bidi="en-US"/>
              </w:rPr>
              <w:t>50m</w:t>
            </w:r>
            <w:r>
              <w:rPr>
                <w:rFonts w:hAnsiTheme="minorEastAsia" w:eastAsiaTheme="minorEastAsia"/>
                <w:color w:val="auto"/>
                <w:kern w:val="0"/>
                <w:sz w:val="24"/>
                <w:lang w:bidi="en-US"/>
              </w:rPr>
              <w:t>范围内无声环境保护目标，建设项目</w:t>
            </w:r>
            <w:r>
              <w:rPr>
                <w:rFonts w:hAnsiTheme="minorEastAsia" w:eastAsiaTheme="minorEastAsia"/>
                <w:color w:val="auto"/>
                <w:sz w:val="24"/>
              </w:rPr>
              <w:t>噪声污染源为</w:t>
            </w:r>
            <w:r>
              <w:rPr>
                <w:color w:val="auto"/>
                <w:kern w:val="0"/>
                <w:sz w:val="24"/>
                <w:lang w:bidi="en-US"/>
              </w:rPr>
              <w:t>各生产设备</w:t>
            </w:r>
            <w:r>
              <w:rPr>
                <w:rFonts w:hint="eastAsia"/>
                <w:color w:val="auto"/>
                <w:kern w:val="0"/>
                <w:sz w:val="24"/>
                <w:lang w:bidi="en-US"/>
              </w:rPr>
              <w:t>、空气压缩机</w:t>
            </w:r>
            <w:r>
              <w:rPr>
                <w:color w:val="auto"/>
                <w:kern w:val="0"/>
                <w:sz w:val="24"/>
                <w:lang w:bidi="en-US"/>
              </w:rPr>
              <w:t>运行过程产生的噪声等，</w:t>
            </w:r>
            <w:r>
              <w:rPr>
                <w:rFonts w:hint="eastAsia"/>
                <w:color w:val="auto"/>
                <w:kern w:val="0"/>
                <w:sz w:val="24"/>
                <w:lang w:bidi="en-US"/>
              </w:rPr>
              <w:t>约为65</w:t>
            </w:r>
            <w:r>
              <w:rPr>
                <w:color w:val="auto"/>
                <w:kern w:val="0"/>
                <w:sz w:val="24"/>
                <w:lang w:bidi="en-US"/>
              </w:rPr>
              <w:t>~</w:t>
            </w:r>
            <w:r>
              <w:rPr>
                <w:rFonts w:hint="eastAsia"/>
                <w:color w:val="auto"/>
                <w:kern w:val="0"/>
                <w:sz w:val="24"/>
                <w:lang w:bidi="en-US"/>
              </w:rPr>
              <w:t>90</w:t>
            </w:r>
            <w:r>
              <w:rPr>
                <w:color w:val="auto"/>
                <w:kern w:val="0"/>
                <w:sz w:val="24"/>
                <w:lang w:bidi="en-US"/>
              </w:rPr>
              <w:t>dB</w:t>
            </w:r>
            <w:r>
              <w:rPr>
                <w:rFonts w:hint="eastAsia"/>
                <w:color w:val="auto"/>
                <w:kern w:val="0"/>
                <w:sz w:val="24"/>
                <w:lang w:bidi="en-US"/>
              </w:rPr>
              <w:t>。</w:t>
            </w:r>
            <w:r>
              <w:rPr>
                <w:rFonts w:hAnsiTheme="minorEastAsia" w:eastAsiaTheme="minorEastAsia"/>
                <w:color w:val="auto"/>
                <w:kern w:val="0"/>
                <w:sz w:val="24"/>
              </w:rPr>
              <w:t>建设项目主要设备噪声源强见表</w:t>
            </w:r>
            <w:r>
              <w:rPr>
                <w:rFonts w:eastAsiaTheme="minorEastAsia"/>
                <w:color w:val="auto"/>
                <w:kern w:val="0"/>
                <w:sz w:val="24"/>
              </w:rPr>
              <w:t>4</w:t>
            </w:r>
            <w:r>
              <w:rPr>
                <w:rFonts w:hint="eastAsia" w:eastAsiaTheme="minorEastAsia"/>
                <w:color w:val="auto"/>
                <w:kern w:val="0"/>
                <w:sz w:val="24"/>
                <w:lang w:val="en-US" w:eastAsia="zh-CN"/>
              </w:rPr>
              <w:t>-17</w:t>
            </w:r>
            <w:r>
              <w:rPr>
                <w:rFonts w:hint="eastAsia" w:eastAsiaTheme="minorEastAsia"/>
                <w:color w:val="auto"/>
                <w:kern w:val="0"/>
                <w:sz w:val="24"/>
              </w:rPr>
              <w:t>，表4</w:t>
            </w:r>
            <w:r>
              <w:rPr>
                <w:rFonts w:hint="eastAsia" w:eastAsiaTheme="minorEastAsia"/>
                <w:color w:val="auto"/>
                <w:kern w:val="0"/>
                <w:sz w:val="24"/>
                <w:lang w:val="en-US" w:eastAsia="zh-CN"/>
              </w:rPr>
              <w:t>-18</w:t>
            </w:r>
            <w:r>
              <w:rPr>
                <w:rFonts w:hAnsiTheme="minorEastAsia" w:eastAsiaTheme="minorEastAsia"/>
                <w:color w:val="auto"/>
                <w:kern w:val="0"/>
                <w:sz w:val="24"/>
              </w:rPr>
              <w:t>。</w:t>
            </w:r>
          </w:p>
          <w:p w14:paraId="02A7B592">
            <w:pPr>
              <w:widowControl/>
              <w:adjustRightInd w:val="0"/>
              <w:snapToGrid w:val="0"/>
              <w:ind w:firstLine="482" w:firstLineChars="200"/>
              <w:jc w:val="center"/>
              <w:rPr>
                <w:b/>
                <w:bCs/>
                <w:color w:val="auto"/>
                <w:kern w:val="0"/>
                <w:sz w:val="24"/>
              </w:rPr>
            </w:pPr>
            <w:r>
              <w:rPr>
                <w:b/>
                <w:bCs/>
                <w:color w:val="auto"/>
                <w:kern w:val="0"/>
                <w:sz w:val="24"/>
                <w:lang w:bidi="en-US"/>
              </w:rPr>
              <w:t>表4</w:t>
            </w:r>
            <w:r>
              <w:rPr>
                <w:rFonts w:hint="eastAsia"/>
                <w:b/>
                <w:bCs/>
                <w:color w:val="auto"/>
                <w:kern w:val="0"/>
                <w:sz w:val="24"/>
                <w:lang w:val="en-US" w:eastAsia="zh-CN" w:bidi="en-US"/>
              </w:rPr>
              <w:t>-17</w:t>
            </w:r>
            <w:r>
              <w:rPr>
                <w:b/>
                <w:bCs/>
                <w:color w:val="auto"/>
                <w:kern w:val="0"/>
                <w:sz w:val="24"/>
                <w:lang w:bidi="en-US"/>
              </w:rPr>
              <w:t xml:space="preserve">  建设项目</w:t>
            </w:r>
            <w:r>
              <w:rPr>
                <w:b/>
                <w:bCs/>
                <w:color w:val="auto"/>
                <w:kern w:val="0"/>
                <w:sz w:val="24"/>
              </w:rPr>
              <w:t>噪声源强调查清单（室内声源）</w:t>
            </w:r>
          </w:p>
          <w:tbl>
            <w:tblPr>
              <w:tblStyle w:val="3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14"/>
              <w:gridCol w:w="1204"/>
              <w:gridCol w:w="447"/>
              <w:gridCol w:w="741"/>
              <w:gridCol w:w="500"/>
              <w:gridCol w:w="500"/>
              <w:gridCol w:w="504"/>
              <w:gridCol w:w="529"/>
              <w:gridCol w:w="586"/>
              <w:gridCol w:w="603"/>
              <w:gridCol w:w="739"/>
              <w:gridCol w:w="586"/>
              <w:gridCol w:w="709"/>
              <w:gridCol w:w="564"/>
            </w:tblGrid>
            <w:tr w14:paraId="1BFAA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vMerge w:val="restart"/>
                  <w:vAlign w:val="center"/>
                </w:tcPr>
                <w:p w14:paraId="500D5330">
                  <w:pPr>
                    <w:widowControl/>
                    <w:adjustRightInd w:val="0"/>
                    <w:snapToGrid w:val="0"/>
                    <w:jc w:val="center"/>
                    <w:rPr>
                      <w:b/>
                      <w:bCs/>
                      <w:color w:val="auto"/>
                      <w:kern w:val="0"/>
                      <w:sz w:val="18"/>
                      <w:szCs w:val="18"/>
                      <w:lang w:bidi="en-US"/>
                    </w:rPr>
                  </w:pPr>
                  <w:r>
                    <w:rPr>
                      <w:rFonts w:hint="eastAsia"/>
                      <w:b/>
                      <w:bCs/>
                      <w:color w:val="auto"/>
                      <w:kern w:val="0"/>
                      <w:sz w:val="18"/>
                      <w:szCs w:val="18"/>
                      <w:lang w:bidi="en-US"/>
                    </w:rPr>
                    <w:t>序号</w:t>
                  </w:r>
                </w:p>
              </w:tc>
              <w:tc>
                <w:tcPr>
                  <w:tcW w:w="705" w:type="pct"/>
                  <w:vMerge w:val="restart"/>
                  <w:vAlign w:val="center"/>
                </w:tcPr>
                <w:p w14:paraId="51F17D89">
                  <w:pPr>
                    <w:widowControl/>
                    <w:adjustRightInd w:val="0"/>
                    <w:snapToGrid w:val="0"/>
                    <w:jc w:val="center"/>
                    <w:rPr>
                      <w:b/>
                      <w:bCs/>
                      <w:color w:val="auto"/>
                      <w:kern w:val="0"/>
                      <w:sz w:val="18"/>
                      <w:szCs w:val="18"/>
                      <w:lang w:bidi="en-US"/>
                    </w:rPr>
                  </w:pPr>
                  <w:r>
                    <w:rPr>
                      <w:b/>
                      <w:bCs/>
                      <w:color w:val="auto"/>
                      <w:kern w:val="0"/>
                      <w:sz w:val="18"/>
                      <w:szCs w:val="18"/>
                      <w:lang w:bidi="en-US"/>
                    </w:rPr>
                    <w:t>声源名称</w:t>
                  </w:r>
                </w:p>
              </w:tc>
              <w:tc>
                <w:tcPr>
                  <w:tcW w:w="262" w:type="pct"/>
                  <w:vMerge w:val="restart"/>
                  <w:vAlign w:val="center"/>
                </w:tcPr>
                <w:p w14:paraId="17C70828">
                  <w:pPr>
                    <w:widowControl/>
                    <w:adjustRightInd w:val="0"/>
                    <w:snapToGrid w:val="0"/>
                    <w:jc w:val="center"/>
                    <w:rPr>
                      <w:b/>
                      <w:bCs/>
                      <w:color w:val="auto"/>
                      <w:kern w:val="0"/>
                      <w:sz w:val="18"/>
                      <w:szCs w:val="18"/>
                      <w:lang w:bidi="en-US"/>
                    </w:rPr>
                  </w:pPr>
                  <w:r>
                    <w:rPr>
                      <w:b/>
                      <w:bCs/>
                      <w:color w:val="auto"/>
                      <w:kern w:val="0"/>
                      <w:sz w:val="18"/>
                      <w:szCs w:val="18"/>
                      <w:lang w:bidi="en-US"/>
                    </w:rPr>
                    <w:t>数量（台/套）</w:t>
                  </w:r>
                </w:p>
              </w:tc>
              <w:tc>
                <w:tcPr>
                  <w:tcW w:w="434" w:type="pct"/>
                  <w:vMerge w:val="restart"/>
                  <w:vAlign w:val="center"/>
                </w:tcPr>
                <w:p w14:paraId="61D7C7FD">
                  <w:pPr>
                    <w:widowControl/>
                    <w:adjustRightInd w:val="0"/>
                    <w:snapToGrid w:val="0"/>
                    <w:jc w:val="center"/>
                    <w:rPr>
                      <w:b/>
                      <w:bCs/>
                      <w:color w:val="auto"/>
                      <w:kern w:val="0"/>
                      <w:sz w:val="18"/>
                      <w:szCs w:val="18"/>
                      <w:lang w:bidi="en-US"/>
                    </w:rPr>
                  </w:pPr>
                  <w:r>
                    <w:rPr>
                      <w:b/>
                      <w:bCs/>
                      <w:color w:val="auto"/>
                      <w:kern w:val="0"/>
                      <w:sz w:val="18"/>
                      <w:szCs w:val="18"/>
                      <w:lang w:bidi="en-US"/>
                    </w:rPr>
                    <w:t>（声压级/距声源距离）</w:t>
                  </w:r>
                </w:p>
              </w:tc>
              <w:tc>
                <w:tcPr>
                  <w:tcW w:w="293" w:type="pct"/>
                  <w:vMerge w:val="restart"/>
                  <w:vAlign w:val="center"/>
                </w:tcPr>
                <w:p w14:paraId="06E777E5">
                  <w:pPr>
                    <w:adjustRightInd w:val="0"/>
                    <w:snapToGrid w:val="0"/>
                    <w:jc w:val="center"/>
                    <w:rPr>
                      <w:b/>
                      <w:bCs/>
                      <w:color w:val="auto"/>
                      <w:kern w:val="0"/>
                      <w:sz w:val="18"/>
                      <w:szCs w:val="18"/>
                      <w:lang w:bidi="en-US"/>
                    </w:rPr>
                  </w:pPr>
                  <w:r>
                    <w:rPr>
                      <w:b/>
                      <w:bCs/>
                      <w:color w:val="auto"/>
                      <w:kern w:val="0"/>
                      <w:sz w:val="18"/>
                      <w:szCs w:val="18"/>
                      <w:lang w:bidi="en-US"/>
                    </w:rPr>
                    <w:t>声源控制措施</w:t>
                  </w:r>
                </w:p>
              </w:tc>
              <w:tc>
                <w:tcPr>
                  <w:tcW w:w="898" w:type="pct"/>
                  <w:gridSpan w:val="3"/>
                  <w:vAlign w:val="center"/>
                </w:tcPr>
                <w:p w14:paraId="49958B56">
                  <w:pPr>
                    <w:widowControl/>
                    <w:adjustRightInd w:val="0"/>
                    <w:snapToGrid w:val="0"/>
                    <w:jc w:val="center"/>
                    <w:rPr>
                      <w:b/>
                      <w:bCs/>
                      <w:color w:val="auto"/>
                      <w:kern w:val="0"/>
                      <w:sz w:val="18"/>
                      <w:szCs w:val="18"/>
                      <w:lang w:bidi="en-US"/>
                    </w:rPr>
                  </w:pPr>
                  <w:r>
                    <w:rPr>
                      <w:b/>
                      <w:bCs/>
                      <w:color w:val="auto"/>
                      <w:kern w:val="0"/>
                      <w:sz w:val="18"/>
                      <w:szCs w:val="18"/>
                      <w:lang w:bidi="en-US"/>
                    </w:rPr>
                    <w:t>空间相对位置/m*</w:t>
                  </w:r>
                </w:p>
              </w:tc>
              <w:tc>
                <w:tcPr>
                  <w:tcW w:w="343" w:type="pct"/>
                  <w:vMerge w:val="restart"/>
                  <w:vAlign w:val="center"/>
                </w:tcPr>
                <w:p w14:paraId="2BE18B28">
                  <w:pPr>
                    <w:adjustRightInd w:val="0"/>
                    <w:snapToGrid w:val="0"/>
                    <w:jc w:val="center"/>
                    <w:rPr>
                      <w:b/>
                      <w:bCs/>
                      <w:color w:val="auto"/>
                      <w:kern w:val="0"/>
                      <w:sz w:val="18"/>
                      <w:szCs w:val="18"/>
                      <w:lang w:bidi="en-US"/>
                    </w:rPr>
                  </w:pPr>
                  <w:r>
                    <w:rPr>
                      <w:b/>
                      <w:bCs/>
                      <w:color w:val="auto"/>
                      <w:kern w:val="0"/>
                      <w:sz w:val="18"/>
                      <w:szCs w:val="18"/>
                      <w:lang w:bidi="en-US"/>
                    </w:rPr>
                    <w:t>距室内边界距离/m</w:t>
                  </w:r>
                </w:p>
              </w:tc>
              <w:tc>
                <w:tcPr>
                  <w:tcW w:w="353" w:type="pct"/>
                  <w:vMerge w:val="restart"/>
                  <w:vAlign w:val="center"/>
                </w:tcPr>
                <w:p w14:paraId="6B64533B">
                  <w:pPr>
                    <w:adjustRightInd w:val="0"/>
                    <w:snapToGrid w:val="0"/>
                    <w:jc w:val="center"/>
                    <w:rPr>
                      <w:b/>
                      <w:bCs/>
                      <w:color w:val="auto"/>
                      <w:kern w:val="0"/>
                      <w:sz w:val="18"/>
                      <w:szCs w:val="18"/>
                      <w:lang w:bidi="en-US"/>
                    </w:rPr>
                  </w:pPr>
                  <w:r>
                    <w:rPr>
                      <w:b/>
                      <w:bCs/>
                      <w:color w:val="auto"/>
                      <w:kern w:val="0"/>
                      <w:sz w:val="18"/>
                      <w:szCs w:val="18"/>
                      <w:lang w:bidi="en-US"/>
                    </w:rPr>
                    <w:t>室内边界声级/dB(A)</w:t>
                  </w:r>
                </w:p>
              </w:tc>
              <w:tc>
                <w:tcPr>
                  <w:tcW w:w="433" w:type="pct"/>
                  <w:vMerge w:val="restart"/>
                  <w:vAlign w:val="center"/>
                </w:tcPr>
                <w:p w14:paraId="370EFECC">
                  <w:pPr>
                    <w:widowControl/>
                    <w:adjustRightInd w:val="0"/>
                    <w:snapToGrid w:val="0"/>
                    <w:jc w:val="center"/>
                    <w:rPr>
                      <w:b/>
                      <w:bCs/>
                      <w:color w:val="auto"/>
                      <w:kern w:val="0"/>
                      <w:sz w:val="18"/>
                      <w:szCs w:val="18"/>
                      <w:lang w:bidi="en-US"/>
                    </w:rPr>
                  </w:pPr>
                  <w:r>
                    <w:rPr>
                      <w:b/>
                      <w:bCs/>
                      <w:color w:val="auto"/>
                      <w:kern w:val="0"/>
                      <w:sz w:val="18"/>
                      <w:szCs w:val="18"/>
                      <w:lang w:bidi="en-US"/>
                    </w:rPr>
                    <w:t>运行时段（h）</w:t>
                  </w:r>
                </w:p>
              </w:tc>
              <w:tc>
                <w:tcPr>
                  <w:tcW w:w="343" w:type="pct"/>
                  <w:vMerge w:val="restart"/>
                  <w:vAlign w:val="center"/>
                </w:tcPr>
                <w:p w14:paraId="05D4D9DB">
                  <w:pPr>
                    <w:widowControl/>
                    <w:adjustRightInd w:val="0"/>
                    <w:snapToGrid w:val="0"/>
                    <w:jc w:val="center"/>
                    <w:rPr>
                      <w:b/>
                      <w:bCs/>
                      <w:color w:val="auto"/>
                      <w:kern w:val="0"/>
                      <w:sz w:val="18"/>
                      <w:szCs w:val="18"/>
                      <w:lang w:bidi="en-US"/>
                    </w:rPr>
                  </w:pPr>
                  <w:r>
                    <w:rPr>
                      <w:b/>
                      <w:bCs/>
                      <w:color w:val="auto"/>
                      <w:kern w:val="0"/>
                      <w:sz w:val="18"/>
                      <w:szCs w:val="18"/>
                      <w:lang w:bidi="en-US"/>
                    </w:rPr>
                    <w:t>建筑物插入损失/ dB(A)</w:t>
                  </w:r>
                </w:p>
              </w:tc>
              <w:tc>
                <w:tcPr>
                  <w:tcW w:w="745" w:type="pct"/>
                  <w:gridSpan w:val="2"/>
                  <w:vAlign w:val="center"/>
                </w:tcPr>
                <w:p w14:paraId="26185667">
                  <w:pPr>
                    <w:widowControl/>
                    <w:adjustRightInd w:val="0"/>
                    <w:snapToGrid w:val="0"/>
                    <w:jc w:val="center"/>
                    <w:rPr>
                      <w:b/>
                      <w:bCs/>
                      <w:color w:val="auto"/>
                      <w:kern w:val="0"/>
                      <w:sz w:val="18"/>
                      <w:szCs w:val="18"/>
                      <w:lang w:bidi="en-US"/>
                    </w:rPr>
                  </w:pPr>
                  <w:r>
                    <w:rPr>
                      <w:b/>
                      <w:bCs/>
                      <w:color w:val="auto"/>
                      <w:kern w:val="0"/>
                      <w:sz w:val="18"/>
                      <w:szCs w:val="18"/>
                      <w:lang w:bidi="en-US"/>
                    </w:rPr>
                    <w:t>建筑物外噪声</w:t>
                  </w:r>
                </w:p>
              </w:tc>
            </w:tr>
            <w:tr w14:paraId="3A41E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vMerge w:val="continue"/>
                  <w:vAlign w:val="center"/>
                </w:tcPr>
                <w:p w14:paraId="1408D4D4">
                  <w:pPr>
                    <w:widowControl/>
                    <w:adjustRightInd w:val="0"/>
                    <w:snapToGrid w:val="0"/>
                    <w:jc w:val="center"/>
                    <w:rPr>
                      <w:b/>
                      <w:bCs/>
                      <w:color w:val="auto"/>
                      <w:kern w:val="0"/>
                      <w:sz w:val="18"/>
                      <w:szCs w:val="18"/>
                      <w:lang w:bidi="en-US"/>
                    </w:rPr>
                  </w:pPr>
                </w:p>
              </w:tc>
              <w:tc>
                <w:tcPr>
                  <w:tcW w:w="705" w:type="pct"/>
                  <w:vMerge w:val="continue"/>
                  <w:vAlign w:val="center"/>
                </w:tcPr>
                <w:p w14:paraId="3B8636DC">
                  <w:pPr>
                    <w:widowControl/>
                    <w:adjustRightInd w:val="0"/>
                    <w:snapToGrid w:val="0"/>
                    <w:jc w:val="center"/>
                    <w:rPr>
                      <w:b/>
                      <w:bCs/>
                      <w:color w:val="auto"/>
                      <w:kern w:val="0"/>
                      <w:sz w:val="18"/>
                      <w:szCs w:val="18"/>
                      <w:lang w:bidi="en-US"/>
                    </w:rPr>
                  </w:pPr>
                </w:p>
              </w:tc>
              <w:tc>
                <w:tcPr>
                  <w:tcW w:w="262" w:type="pct"/>
                  <w:vMerge w:val="continue"/>
                  <w:vAlign w:val="center"/>
                </w:tcPr>
                <w:p w14:paraId="1302B6C4">
                  <w:pPr>
                    <w:widowControl/>
                    <w:adjustRightInd w:val="0"/>
                    <w:snapToGrid w:val="0"/>
                    <w:jc w:val="center"/>
                    <w:rPr>
                      <w:b/>
                      <w:bCs/>
                      <w:color w:val="auto"/>
                      <w:kern w:val="0"/>
                      <w:sz w:val="18"/>
                      <w:szCs w:val="18"/>
                      <w:lang w:bidi="en-US"/>
                    </w:rPr>
                  </w:pPr>
                </w:p>
              </w:tc>
              <w:tc>
                <w:tcPr>
                  <w:tcW w:w="434" w:type="pct"/>
                  <w:vMerge w:val="continue"/>
                  <w:vAlign w:val="center"/>
                </w:tcPr>
                <w:p w14:paraId="391FEB41">
                  <w:pPr>
                    <w:widowControl/>
                    <w:adjustRightInd w:val="0"/>
                    <w:snapToGrid w:val="0"/>
                    <w:jc w:val="center"/>
                    <w:rPr>
                      <w:b/>
                      <w:bCs/>
                      <w:color w:val="auto"/>
                      <w:kern w:val="0"/>
                      <w:sz w:val="18"/>
                      <w:szCs w:val="18"/>
                      <w:lang w:bidi="en-US"/>
                    </w:rPr>
                  </w:pPr>
                </w:p>
              </w:tc>
              <w:tc>
                <w:tcPr>
                  <w:tcW w:w="293" w:type="pct"/>
                  <w:vMerge w:val="continue"/>
                  <w:vAlign w:val="center"/>
                </w:tcPr>
                <w:p w14:paraId="5663BE77">
                  <w:pPr>
                    <w:widowControl/>
                    <w:adjustRightInd w:val="0"/>
                    <w:snapToGrid w:val="0"/>
                    <w:jc w:val="center"/>
                    <w:rPr>
                      <w:b/>
                      <w:bCs/>
                      <w:color w:val="auto"/>
                      <w:kern w:val="0"/>
                      <w:sz w:val="18"/>
                      <w:szCs w:val="18"/>
                      <w:lang w:bidi="en-US"/>
                    </w:rPr>
                  </w:pPr>
                </w:p>
              </w:tc>
              <w:tc>
                <w:tcPr>
                  <w:tcW w:w="293" w:type="pct"/>
                  <w:vAlign w:val="center"/>
                </w:tcPr>
                <w:p w14:paraId="2D3B1F43">
                  <w:pPr>
                    <w:widowControl/>
                    <w:adjustRightInd w:val="0"/>
                    <w:snapToGrid w:val="0"/>
                    <w:jc w:val="center"/>
                    <w:rPr>
                      <w:b/>
                      <w:bCs/>
                      <w:color w:val="auto"/>
                      <w:kern w:val="0"/>
                      <w:sz w:val="18"/>
                      <w:szCs w:val="18"/>
                      <w:lang w:bidi="en-US"/>
                    </w:rPr>
                  </w:pPr>
                  <w:r>
                    <w:rPr>
                      <w:b/>
                      <w:bCs/>
                      <w:color w:val="auto"/>
                      <w:kern w:val="0"/>
                      <w:sz w:val="18"/>
                      <w:szCs w:val="18"/>
                      <w:lang w:bidi="en-US"/>
                    </w:rPr>
                    <w:t>X</w:t>
                  </w:r>
                </w:p>
              </w:tc>
              <w:tc>
                <w:tcPr>
                  <w:tcW w:w="295" w:type="pct"/>
                  <w:vAlign w:val="center"/>
                </w:tcPr>
                <w:p w14:paraId="3DD03A11">
                  <w:pPr>
                    <w:widowControl/>
                    <w:adjustRightInd w:val="0"/>
                    <w:snapToGrid w:val="0"/>
                    <w:jc w:val="center"/>
                    <w:rPr>
                      <w:b/>
                      <w:bCs/>
                      <w:color w:val="auto"/>
                      <w:kern w:val="0"/>
                      <w:sz w:val="18"/>
                      <w:szCs w:val="18"/>
                      <w:lang w:bidi="en-US"/>
                    </w:rPr>
                  </w:pPr>
                  <w:r>
                    <w:rPr>
                      <w:b/>
                      <w:bCs/>
                      <w:color w:val="auto"/>
                      <w:kern w:val="0"/>
                      <w:sz w:val="18"/>
                      <w:szCs w:val="18"/>
                      <w:lang w:bidi="en-US"/>
                    </w:rPr>
                    <w:t>Y</w:t>
                  </w:r>
                </w:p>
              </w:tc>
              <w:tc>
                <w:tcPr>
                  <w:tcW w:w="310" w:type="pct"/>
                  <w:vAlign w:val="center"/>
                </w:tcPr>
                <w:p w14:paraId="5B871731">
                  <w:pPr>
                    <w:widowControl/>
                    <w:adjustRightInd w:val="0"/>
                    <w:snapToGrid w:val="0"/>
                    <w:jc w:val="center"/>
                    <w:rPr>
                      <w:b/>
                      <w:bCs/>
                      <w:color w:val="auto"/>
                      <w:kern w:val="0"/>
                      <w:sz w:val="18"/>
                      <w:szCs w:val="18"/>
                      <w:lang w:bidi="en-US"/>
                    </w:rPr>
                  </w:pPr>
                  <w:r>
                    <w:rPr>
                      <w:b/>
                      <w:bCs/>
                      <w:color w:val="auto"/>
                      <w:kern w:val="0"/>
                      <w:sz w:val="18"/>
                      <w:szCs w:val="18"/>
                      <w:lang w:bidi="en-US"/>
                    </w:rPr>
                    <w:t>Z</w:t>
                  </w:r>
                </w:p>
              </w:tc>
              <w:tc>
                <w:tcPr>
                  <w:tcW w:w="343" w:type="pct"/>
                  <w:vMerge w:val="continue"/>
                  <w:vAlign w:val="center"/>
                </w:tcPr>
                <w:p w14:paraId="313899B2">
                  <w:pPr>
                    <w:widowControl/>
                    <w:adjustRightInd w:val="0"/>
                    <w:snapToGrid w:val="0"/>
                    <w:jc w:val="center"/>
                    <w:rPr>
                      <w:b/>
                      <w:bCs/>
                      <w:color w:val="auto"/>
                      <w:kern w:val="0"/>
                      <w:sz w:val="18"/>
                      <w:szCs w:val="18"/>
                      <w:lang w:bidi="en-US"/>
                    </w:rPr>
                  </w:pPr>
                </w:p>
              </w:tc>
              <w:tc>
                <w:tcPr>
                  <w:tcW w:w="353" w:type="pct"/>
                  <w:vMerge w:val="continue"/>
                  <w:vAlign w:val="center"/>
                </w:tcPr>
                <w:p w14:paraId="78B63C2B">
                  <w:pPr>
                    <w:widowControl/>
                    <w:adjustRightInd w:val="0"/>
                    <w:snapToGrid w:val="0"/>
                    <w:jc w:val="center"/>
                    <w:rPr>
                      <w:b/>
                      <w:bCs/>
                      <w:color w:val="auto"/>
                      <w:kern w:val="0"/>
                      <w:sz w:val="18"/>
                      <w:szCs w:val="18"/>
                      <w:lang w:bidi="en-US"/>
                    </w:rPr>
                  </w:pPr>
                </w:p>
              </w:tc>
              <w:tc>
                <w:tcPr>
                  <w:tcW w:w="433" w:type="pct"/>
                  <w:vMerge w:val="continue"/>
                  <w:vAlign w:val="center"/>
                </w:tcPr>
                <w:p w14:paraId="70D09C0F">
                  <w:pPr>
                    <w:widowControl/>
                    <w:adjustRightInd w:val="0"/>
                    <w:snapToGrid w:val="0"/>
                    <w:jc w:val="center"/>
                    <w:rPr>
                      <w:b/>
                      <w:bCs/>
                      <w:color w:val="auto"/>
                      <w:kern w:val="0"/>
                      <w:sz w:val="18"/>
                      <w:szCs w:val="18"/>
                      <w:lang w:bidi="en-US"/>
                    </w:rPr>
                  </w:pPr>
                </w:p>
              </w:tc>
              <w:tc>
                <w:tcPr>
                  <w:tcW w:w="343" w:type="pct"/>
                  <w:vMerge w:val="continue"/>
                  <w:vAlign w:val="center"/>
                </w:tcPr>
                <w:p w14:paraId="24C09977">
                  <w:pPr>
                    <w:widowControl/>
                    <w:adjustRightInd w:val="0"/>
                    <w:snapToGrid w:val="0"/>
                    <w:jc w:val="center"/>
                    <w:rPr>
                      <w:b/>
                      <w:bCs/>
                      <w:color w:val="auto"/>
                      <w:kern w:val="0"/>
                      <w:sz w:val="18"/>
                      <w:szCs w:val="18"/>
                      <w:lang w:bidi="en-US"/>
                    </w:rPr>
                  </w:pPr>
                </w:p>
              </w:tc>
              <w:tc>
                <w:tcPr>
                  <w:tcW w:w="415" w:type="pct"/>
                  <w:vAlign w:val="center"/>
                </w:tcPr>
                <w:p w14:paraId="7CD9C1EA">
                  <w:pPr>
                    <w:widowControl/>
                    <w:adjustRightInd w:val="0"/>
                    <w:snapToGrid w:val="0"/>
                    <w:jc w:val="center"/>
                    <w:rPr>
                      <w:b/>
                      <w:bCs/>
                      <w:color w:val="auto"/>
                      <w:kern w:val="0"/>
                      <w:sz w:val="18"/>
                      <w:szCs w:val="18"/>
                      <w:lang w:bidi="en-US"/>
                    </w:rPr>
                  </w:pPr>
                  <w:r>
                    <w:rPr>
                      <w:b/>
                      <w:bCs/>
                      <w:color w:val="auto"/>
                      <w:kern w:val="0"/>
                      <w:sz w:val="18"/>
                      <w:szCs w:val="18"/>
                      <w:lang w:bidi="en-US"/>
                    </w:rPr>
                    <w:t>声压级/ dB(A</w:t>
                  </w:r>
                </w:p>
              </w:tc>
              <w:tc>
                <w:tcPr>
                  <w:tcW w:w="330" w:type="pct"/>
                  <w:vAlign w:val="center"/>
                </w:tcPr>
                <w:p w14:paraId="2956424C">
                  <w:pPr>
                    <w:widowControl/>
                    <w:adjustRightInd w:val="0"/>
                    <w:snapToGrid w:val="0"/>
                    <w:jc w:val="center"/>
                    <w:rPr>
                      <w:b/>
                      <w:bCs/>
                      <w:color w:val="auto"/>
                      <w:kern w:val="0"/>
                      <w:sz w:val="18"/>
                      <w:szCs w:val="18"/>
                      <w:lang w:bidi="en-US"/>
                    </w:rPr>
                  </w:pPr>
                  <w:r>
                    <w:rPr>
                      <w:b/>
                      <w:bCs/>
                      <w:color w:val="auto"/>
                      <w:kern w:val="0"/>
                      <w:sz w:val="18"/>
                      <w:szCs w:val="18"/>
                      <w:lang w:bidi="en-US"/>
                    </w:rPr>
                    <w:t>建筑物外距离</w:t>
                  </w:r>
                </w:p>
              </w:tc>
            </w:tr>
            <w:tr w14:paraId="5438F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shd w:val="clear" w:color="auto" w:fill="auto"/>
                  <w:vAlign w:val="center"/>
                </w:tcPr>
                <w:p w14:paraId="4A4C19F3">
                  <w:pPr>
                    <w:widowControl/>
                    <w:jc w:val="center"/>
                    <w:textAlignment w:val="center"/>
                    <w:rPr>
                      <w:rFonts w:hint="default" w:cs="Times New Roman"/>
                      <w:color w:val="auto"/>
                      <w:kern w:val="0"/>
                      <w:sz w:val="18"/>
                      <w:szCs w:val="18"/>
                      <w:lang w:val="en-US" w:eastAsia="zh-CN" w:bidi="ar"/>
                    </w:rPr>
                  </w:pPr>
                  <w:r>
                    <w:rPr>
                      <w:rFonts w:hint="default" w:cs="Times New Roman"/>
                      <w:color w:val="auto"/>
                      <w:kern w:val="0"/>
                      <w:sz w:val="18"/>
                      <w:szCs w:val="18"/>
                      <w:lang w:eastAsia="zh-CN" w:bidi="ar"/>
                    </w:rPr>
                    <w:t>1</w:t>
                  </w:r>
                </w:p>
              </w:tc>
              <w:tc>
                <w:tcPr>
                  <w:tcW w:w="705" w:type="pct"/>
                  <w:vAlign w:val="center"/>
                </w:tcPr>
                <w:p w14:paraId="6C0908B3">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双螺旋速冻装置</w:t>
                  </w:r>
                </w:p>
              </w:tc>
              <w:tc>
                <w:tcPr>
                  <w:tcW w:w="262" w:type="pct"/>
                  <w:vAlign w:val="center"/>
                </w:tcPr>
                <w:p w14:paraId="0ECA848F">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1</w:t>
                  </w:r>
                </w:p>
              </w:tc>
              <w:tc>
                <w:tcPr>
                  <w:tcW w:w="434" w:type="pct"/>
                  <w:shd w:val="clear" w:color="auto" w:fill="auto"/>
                  <w:vAlign w:val="center"/>
                </w:tcPr>
                <w:p w14:paraId="115F4BAB">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60~</w:t>
                  </w:r>
                  <w:r>
                    <w:rPr>
                      <w:rFonts w:hint="eastAsia" w:cs="Times New Roman"/>
                      <w:color w:val="auto"/>
                      <w:kern w:val="0"/>
                      <w:sz w:val="18"/>
                      <w:szCs w:val="18"/>
                      <w:lang w:eastAsia="zh-CN" w:bidi="ar"/>
                    </w:rPr>
                    <w:t>70</w:t>
                  </w:r>
                  <w:r>
                    <w:rPr>
                      <w:rFonts w:hint="default" w:cs="Times New Roman"/>
                      <w:color w:val="auto"/>
                      <w:kern w:val="0"/>
                      <w:sz w:val="18"/>
                      <w:szCs w:val="18"/>
                      <w:lang w:eastAsia="zh-CN" w:bidi="ar"/>
                    </w:rPr>
                    <w:t>/1</w:t>
                  </w:r>
                </w:p>
              </w:tc>
              <w:tc>
                <w:tcPr>
                  <w:tcW w:w="293" w:type="pct"/>
                  <w:vMerge w:val="restart"/>
                  <w:shd w:val="clear" w:color="auto" w:fill="auto"/>
                  <w:vAlign w:val="center"/>
                </w:tcPr>
                <w:p w14:paraId="67841D80">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隔声、减振</w:t>
                  </w:r>
                </w:p>
              </w:tc>
              <w:tc>
                <w:tcPr>
                  <w:tcW w:w="293" w:type="pct"/>
                  <w:shd w:val="clear" w:color="auto" w:fill="auto"/>
                  <w:vAlign w:val="center"/>
                </w:tcPr>
                <w:p w14:paraId="774C74F1">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120</w:t>
                  </w:r>
                </w:p>
              </w:tc>
              <w:tc>
                <w:tcPr>
                  <w:tcW w:w="295" w:type="pct"/>
                  <w:shd w:val="clear" w:color="auto" w:fill="auto"/>
                  <w:vAlign w:val="center"/>
                </w:tcPr>
                <w:p w14:paraId="478D26D5">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11</w:t>
                  </w:r>
                  <w:r>
                    <w:rPr>
                      <w:rFonts w:hint="eastAsia" w:cs="Times New Roman"/>
                      <w:color w:val="auto"/>
                      <w:kern w:val="0"/>
                      <w:sz w:val="18"/>
                      <w:szCs w:val="18"/>
                      <w:lang w:eastAsia="zh-CN" w:bidi="ar"/>
                    </w:rPr>
                    <w:t>5</w:t>
                  </w:r>
                </w:p>
              </w:tc>
              <w:tc>
                <w:tcPr>
                  <w:tcW w:w="310" w:type="pct"/>
                  <w:shd w:val="clear" w:color="auto" w:fill="auto"/>
                  <w:vAlign w:val="center"/>
                </w:tcPr>
                <w:p w14:paraId="6F28F049">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w:t>
                  </w:r>
                  <w:r>
                    <w:rPr>
                      <w:rFonts w:hint="eastAsia" w:cs="Times New Roman"/>
                      <w:color w:val="auto"/>
                      <w:kern w:val="0"/>
                      <w:sz w:val="18"/>
                      <w:szCs w:val="18"/>
                      <w:lang w:val="en-US" w:eastAsia="zh-CN" w:bidi="ar"/>
                    </w:rPr>
                    <w:t>0</w:t>
                  </w:r>
                  <w:r>
                    <w:rPr>
                      <w:rFonts w:hint="eastAsia" w:cs="Times New Roman"/>
                      <w:color w:val="auto"/>
                      <w:kern w:val="0"/>
                      <w:sz w:val="18"/>
                      <w:szCs w:val="18"/>
                      <w:lang w:eastAsia="zh-CN" w:bidi="ar"/>
                    </w:rPr>
                    <w:t>.5</w:t>
                  </w:r>
                </w:p>
              </w:tc>
              <w:tc>
                <w:tcPr>
                  <w:tcW w:w="343" w:type="pct"/>
                  <w:shd w:val="clear" w:color="auto" w:fill="auto"/>
                  <w:vAlign w:val="center"/>
                </w:tcPr>
                <w:p w14:paraId="2CA19C4A">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西</w:t>
                  </w:r>
                  <w:r>
                    <w:rPr>
                      <w:rFonts w:hint="eastAsia" w:cs="Times New Roman"/>
                      <w:color w:val="auto"/>
                      <w:kern w:val="0"/>
                      <w:sz w:val="18"/>
                      <w:szCs w:val="18"/>
                      <w:lang w:eastAsia="zh-CN" w:bidi="ar"/>
                    </w:rPr>
                    <w:t>15</w:t>
                  </w:r>
                </w:p>
              </w:tc>
              <w:tc>
                <w:tcPr>
                  <w:tcW w:w="353" w:type="pct"/>
                  <w:shd w:val="clear" w:color="auto" w:fill="auto"/>
                  <w:vAlign w:val="center"/>
                </w:tcPr>
                <w:p w14:paraId="20479CA8">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54.3</w:t>
                  </w:r>
                </w:p>
              </w:tc>
              <w:tc>
                <w:tcPr>
                  <w:tcW w:w="433" w:type="pct"/>
                  <w:vMerge w:val="restart"/>
                  <w:shd w:val="clear" w:color="auto" w:fill="auto"/>
                  <w:vAlign w:val="center"/>
                </w:tcPr>
                <w:p w14:paraId="0754D7A3">
                  <w:pPr>
                    <w:widowControl/>
                    <w:jc w:val="center"/>
                    <w:textAlignment w:val="center"/>
                    <w:rPr>
                      <w:rFonts w:hint="eastAsia" w:cs="Times New Roman"/>
                      <w:color w:val="auto"/>
                      <w:kern w:val="0"/>
                      <w:sz w:val="18"/>
                      <w:szCs w:val="18"/>
                      <w:lang w:eastAsia="zh-CN" w:bidi="ar"/>
                    </w:rPr>
                  </w:pPr>
                  <w:r>
                    <w:rPr>
                      <w:rFonts w:hint="eastAsia" w:cs="Times New Roman"/>
                      <w:color w:val="auto"/>
                      <w:kern w:val="0"/>
                      <w:sz w:val="18"/>
                      <w:szCs w:val="18"/>
                      <w:lang w:eastAsia="zh-CN" w:bidi="ar"/>
                    </w:rPr>
                    <w:t>9:00-17:00</w:t>
                  </w:r>
                </w:p>
                <w:p w14:paraId="7D13D710">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年工作300天</w:t>
                  </w:r>
                </w:p>
              </w:tc>
              <w:tc>
                <w:tcPr>
                  <w:tcW w:w="343" w:type="pct"/>
                  <w:shd w:val="clear" w:color="auto" w:fill="auto"/>
                  <w:vAlign w:val="center"/>
                </w:tcPr>
                <w:p w14:paraId="7FB20622">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25</w:t>
                  </w:r>
                </w:p>
              </w:tc>
              <w:tc>
                <w:tcPr>
                  <w:tcW w:w="415" w:type="pct"/>
                  <w:shd w:val="clear" w:color="auto" w:fill="auto"/>
                  <w:vAlign w:val="center"/>
                </w:tcPr>
                <w:p w14:paraId="654D876C">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2</w:t>
                  </w:r>
                  <w:r>
                    <w:rPr>
                      <w:rFonts w:hint="eastAsia" w:cs="Times New Roman"/>
                      <w:color w:val="auto"/>
                      <w:kern w:val="0"/>
                      <w:sz w:val="18"/>
                      <w:szCs w:val="18"/>
                      <w:lang w:val="en-US" w:eastAsia="zh-CN" w:bidi="ar"/>
                    </w:rPr>
                    <w:t>7</w:t>
                  </w:r>
                  <w:r>
                    <w:rPr>
                      <w:rFonts w:hint="eastAsia" w:cs="Times New Roman"/>
                      <w:color w:val="auto"/>
                      <w:kern w:val="0"/>
                      <w:sz w:val="18"/>
                      <w:szCs w:val="18"/>
                      <w:lang w:eastAsia="zh-CN" w:bidi="ar"/>
                    </w:rPr>
                    <w:t>.</w:t>
                  </w:r>
                  <w:r>
                    <w:rPr>
                      <w:rFonts w:hint="eastAsia" w:cs="Times New Roman"/>
                      <w:color w:val="auto"/>
                      <w:kern w:val="0"/>
                      <w:sz w:val="18"/>
                      <w:szCs w:val="18"/>
                      <w:lang w:val="en-US" w:eastAsia="zh-CN" w:bidi="ar"/>
                    </w:rPr>
                    <w:t>4</w:t>
                  </w:r>
                </w:p>
              </w:tc>
              <w:tc>
                <w:tcPr>
                  <w:tcW w:w="330" w:type="pct"/>
                  <w:vMerge w:val="restart"/>
                  <w:vAlign w:val="center"/>
                </w:tcPr>
                <w:p w14:paraId="27EF5DA8">
                  <w:pPr>
                    <w:widowControl/>
                    <w:jc w:val="center"/>
                    <w:textAlignment w:val="center"/>
                    <w:rPr>
                      <w:rFonts w:hint="eastAsia" w:ascii="宋体" w:hAnsi="宋体" w:eastAsia="宋体" w:cs="宋体"/>
                      <w:color w:val="auto"/>
                      <w:kern w:val="0"/>
                      <w:szCs w:val="21"/>
                      <w:lang w:bidi="ar"/>
                    </w:rPr>
                  </w:pPr>
                  <w:r>
                    <w:rPr>
                      <w:bCs/>
                      <w:color w:val="auto"/>
                      <w:kern w:val="0"/>
                      <w:sz w:val="18"/>
                      <w:szCs w:val="18"/>
                      <w:lang w:bidi="en-US"/>
                    </w:rPr>
                    <w:t>1m</w:t>
                  </w:r>
                </w:p>
              </w:tc>
            </w:tr>
            <w:tr w14:paraId="29F17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shd w:val="clear" w:color="auto" w:fill="auto"/>
                  <w:vAlign w:val="center"/>
                </w:tcPr>
                <w:p w14:paraId="7E44CEFE">
                  <w:pPr>
                    <w:widowControl/>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2</w:t>
                  </w:r>
                </w:p>
              </w:tc>
              <w:tc>
                <w:tcPr>
                  <w:tcW w:w="705" w:type="pct"/>
                  <w:vAlign w:val="center"/>
                </w:tcPr>
                <w:p w14:paraId="27B799AA">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螺旋速冻配套制冷冷源工程</w:t>
                  </w:r>
                </w:p>
              </w:tc>
              <w:tc>
                <w:tcPr>
                  <w:tcW w:w="262" w:type="pct"/>
                  <w:vAlign w:val="center"/>
                </w:tcPr>
                <w:p w14:paraId="0E52297A">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1</w:t>
                  </w:r>
                </w:p>
              </w:tc>
              <w:tc>
                <w:tcPr>
                  <w:tcW w:w="434" w:type="pct"/>
                  <w:shd w:val="clear" w:color="auto" w:fill="auto"/>
                  <w:vAlign w:val="center"/>
                </w:tcPr>
                <w:p w14:paraId="48E78353">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60~70</w:t>
                  </w:r>
                  <w:r>
                    <w:rPr>
                      <w:rFonts w:hint="default" w:cs="Times New Roman"/>
                      <w:color w:val="auto"/>
                      <w:kern w:val="0"/>
                      <w:sz w:val="18"/>
                      <w:szCs w:val="18"/>
                      <w:lang w:eastAsia="zh-CN" w:bidi="ar"/>
                    </w:rPr>
                    <w:t>/1</w:t>
                  </w:r>
                </w:p>
              </w:tc>
              <w:tc>
                <w:tcPr>
                  <w:tcW w:w="293" w:type="pct"/>
                  <w:vMerge w:val="continue"/>
                  <w:shd w:val="clear" w:color="auto" w:fill="auto"/>
                  <w:vAlign w:val="center"/>
                </w:tcPr>
                <w:p w14:paraId="281EC026">
                  <w:pPr>
                    <w:widowControl/>
                    <w:jc w:val="center"/>
                    <w:textAlignment w:val="center"/>
                    <w:rPr>
                      <w:rFonts w:hint="default" w:cs="Times New Roman"/>
                      <w:color w:val="auto"/>
                      <w:kern w:val="0"/>
                      <w:sz w:val="18"/>
                      <w:szCs w:val="18"/>
                      <w:lang w:val="en-US" w:eastAsia="zh-CN" w:bidi="ar"/>
                    </w:rPr>
                  </w:pPr>
                </w:p>
              </w:tc>
              <w:tc>
                <w:tcPr>
                  <w:tcW w:w="293" w:type="pct"/>
                  <w:shd w:val="clear" w:color="auto" w:fill="auto"/>
                  <w:vAlign w:val="center"/>
                </w:tcPr>
                <w:p w14:paraId="4956C852">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 xml:space="preserve">120 </w:t>
                  </w:r>
                </w:p>
              </w:tc>
              <w:tc>
                <w:tcPr>
                  <w:tcW w:w="295" w:type="pct"/>
                  <w:shd w:val="clear" w:color="auto" w:fill="auto"/>
                  <w:vAlign w:val="center"/>
                </w:tcPr>
                <w:p w14:paraId="6BB6E847">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 xml:space="preserve">130 </w:t>
                  </w:r>
                </w:p>
              </w:tc>
              <w:tc>
                <w:tcPr>
                  <w:tcW w:w="310" w:type="pct"/>
                  <w:shd w:val="clear" w:color="auto" w:fill="auto"/>
                  <w:vAlign w:val="center"/>
                </w:tcPr>
                <w:p w14:paraId="45A7D219">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w:t>
                  </w:r>
                  <w:r>
                    <w:rPr>
                      <w:rFonts w:hint="eastAsia" w:cs="Times New Roman"/>
                      <w:color w:val="auto"/>
                      <w:kern w:val="0"/>
                      <w:sz w:val="18"/>
                      <w:szCs w:val="18"/>
                      <w:lang w:val="en-US" w:eastAsia="zh-CN" w:bidi="ar"/>
                    </w:rPr>
                    <w:t>0</w:t>
                  </w:r>
                  <w:r>
                    <w:rPr>
                      <w:rFonts w:hint="eastAsia" w:cs="Times New Roman"/>
                      <w:color w:val="auto"/>
                      <w:kern w:val="0"/>
                      <w:sz w:val="18"/>
                      <w:szCs w:val="18"/>
                      <w:lang w:eastAsia="zh-CN" w:bidi="ar"/>
                    </w:rPr>
                    <w:t>.5</w:t>
                  </w:r>
                </w:p>
              </w:tc>
              <w:tc>
                <w:tcPr>
                  <w:tcW w:w="343" w:type="pct"/>
                  <w:shd w:val="clear" w:color="auto" w:fill="auto"/>
                  <w:vAlign w:val="center"/>
                </w:tcPr>
                <w:p w14:paraId="1CD4D3F1">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西</w:t>
                  </w:r>
                  <w:r>
                    <w:rPr>
                      <w:rFonts w:hint="eastAsia" w:cs="Times New Roman"/>
                      <w:color w:val="auto"/>
                      <w:kern w:val="0"/>
                      <w:sz w:val="18"/>
                      <w:szCs w:val="18"/>
                      <w:lang w:eastAsia="zh-CN" w:bidi="ar"/>
                    </w:rPr>
                    <w:t>1</w:t>
                  </w:r>
                  <w:r>
                    <w:rPr>
                      <w:rFonts w:hint="eastAsia" w:cs="Times New Roman"/>
                      <w:color w:val="auto"/>
                      <w:kern w:val="0"/>
                      <w:sz w:val="18"/>
                      <w:szCs w:val="18"/>
                      <w:lang w:val="en-US" w:eastAsia="zh-CN" w:bidi="ar"/>
                    </w:rPr>
                    <w:t>5</w:t>
                  </w:r>
                </w:p>
              </w:tc>
              <w:tc>
                <w:tcPr>
                  <w:tcW w:w="353" w:type="pct"/>
                  <w:shd w:val="clear" w:color="auto" w:fill="auto"/>
                  <w:vAlign w:val="center"/>
                </w:tcPr>
                <w:p w14:paraId="6C1640D9">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46.5</w:t>
                  </w:r>
                </w:p>
              </w:tc>
              <w:tc>
                <w:tcPr>
                  <w:tcW w:w="433" w:type="pct"/>
                  <w:vMerge w:val="continue"/>
                  <w:shd w:val="clear" w:color="auto" w:fill="auto"/>
                  <w:vAlign w:val="center"/>
                </w:tcPr>
                <w:p w14:paraId="43A8E336">
                  <w:pPr>
                    <w:widowControl/>
                    <w:jc w:val="center"/>
                    <w:textAlignment w:val="center"/>
                    <w:rPr>
                      <w:rFonts w:hint="default" w:cs="Times New Roman"/>
                      <w:color w:val="auto"/>
                      <w:kern w:val="0"/>
                      <w:sz w:val="18"/>
                      <w:szCs w:val="18"/>
                      <w:lang w:val="en-US" w:eastAsia="zh-CN" w:bidi="ar"/>
                    </w:rPr>
                  </w:pPr>
                </w:p>
              </w:tc>
              <w:tc>
                <w:tcPr>
                  <w:tcW w:w="343" w:type="pct"/>
                  <w:shd w:val="clear" w:color="auto" w:fill="auto"/>
                  <w:vAlign w:val="center"/>
                </w:tcPr>
                <w:p w14:paraId="63885264">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25</w:t>
                  </w:r>
                </w:p>
              </w:tc>
              <w:tc>
                <w:tcPr>
                  <w:tcW w:w="415" w:type="pct"/>
                  <w:shd w:val="clear" w:color="auto" w:fill="auto"/>
                  <w:vAlign w:val="center"/>
                </w:tcPr>
                <w:p w14:paraId="65B1E5D6">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21.5</w:t>
                  </w:r>
                </w:p>
              </w:tc>
              <w:tc>
                <w:tcPr>
                  <w:tcW w:w="330" w:type="pct"/>
                  <w:vMerge w:val="continue"/>
                  <w:vAlign w:val="center"/>
                </w:tcPr>
                <w:p w14:paraId="5B193EE8">
                  <w:pPr>
                    <w:widowControl/>
                    <w:jc w:val="center"/>
                    <w:textAlignment w:val="center"/>
                    <w:rPr>
                      <w:rFonts w:hint="eastAsia" w:ascii="宋体" w:hAnsi="宋体" w:eastAsia="宋体" w:cs="宋体"/>
                      <w:color w:val="auto"/>
                      <w:kern w:val="0"/>
                      <w:szCs w:val="21"/>
                      <w:lang w:bidi="ar"/>
                    </w:rPr>
                  </w:pPr>
                </w:p>
              </w:tc>
            </w:tr>
            <w:tr w14:paraId="7831A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shd w:val="clear" w:color="auto" w:fill="auto"/>
                  <w:vAlign w:val="center"/>
                </w:tcPr>
                <w:p w14:paraId="10BD8FE8">
                  <w:pPr>
                    <w:widowControl/>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3</w:t>
                  </w:r>
                </w:p>
              </w:tc>
              <w:tc>
                <w:tcPr>
                  <w:tcW w:w="705" w:type="pct"/>
                  <w:vAlign w:val="center"/>
                </w:tcPr>
                <w:p w14:paraId="2CB37C71">
                  <w:pPr>
                    <w:widowControl/>
                    <w:jc w:val="center"/>
                    <w:textAlignment w:val="center"/>
                    <w:rPr>
                      <w:rFonts w:hint="default" w:cs="Times New Roman"/>
                      <w:color w:val="auto"/>
                      <w:kern w:val="0"/>
                      <w:sz w:val="18"/>
                      <w:szCs w:val="18"/>
                      <w:lang w:eastAsia="zh-CN" w:bidi="ar"/>
                    </w:rPr>
                  </w:pPr>
                  <w:r>
                    <w:rPr>
                      <w:rFonts w:hint="eastAsia" w:cs="Times New Roman"/>
                      <w:color w:val="auto"/>
                      <w:kern w:val="0"/>
                      <w:sz w:val="18"/>
                      <w:szCs w:val="18"/>
                      <w:lang w:val="en-US" w:eastAsia="zh-CN" w:bidi="ar"/>
                    </w:rPr>
                    <w:t>鱼皮切丝机</w:t>
                  </w:r>
                </w:p>
              </w:tc>
              <w:tc>
                <w:tcPr>
                  <w:tcW w:w="262" w:type="pct"/>
                  <w:vAlign w:val="center"/>
                </w:tcPr>
                <w:p w14:paraId="7CDF6802">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1</w:t>
                  </w:r>
                </w:p>
              </w:tc>
              <w:tc>
                <w:tcPr>
                  <w:tcW w:w="434" w:type="pct"/>
                  <w:shd w:val="clear" w:color="auto" w:fill="auto"/>
                  <w:vAlign w:val="center"/>
                </w:tcPr>
                <w:p w14:paraId="0384C237">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70~</w:t>
                  </w:r>
                  <w:r>
                    <w:rPr>
                      <w:rFonts w:hint="eastAsia" w:cs="Times New Roman"/>
                      <w:color w:val="auto"/>
                      <w:kern w:val="0"/>
                      <w:sz w:val="18"/>
                      <w:szCs w:val="18"/>
                      <w:lang w:eastAsia="zh-CN" w:bidi="ar"/>
                    </w:rPr>
                    <w:t>80</w:t>
                  </w:r>
                  <w:r>
                    <w:rPr>
                      <w:rFonts w:hint="default" w:cs="Times New Roman"/>
                      <w:color w:val="auto"/>
                      <w:kern w:val="0"/>
                      <w:sz w:val="18"/>
                      <w:szCs w:val="18"/>
                      <w:lang w:eastAsia="zh-CN" w:bidi="ar"/>
                    </w:rPr>
                    <w:t>/1</w:t>
                  </w:r>
                </w:p>
              </w:tc>
              <w:tc>
                <w:tcPr>
                  <w:tcW w:w="293" w:type="pct"/>
                  <w:vMerge w:val="continue"/>
                  <w:shd w:val="clear" w:color="auto" w:fill="auto"/>
                  <w:vAlign w:val="center"/>
                </w:tcPr>
                <w:p w14:paraId="513347D9">
                  <w:pPr>
                    <w:widowControl/>
                    <w:jc w:val="center"/>
                    <w:textAlignment w:val="center"/>
                    <w:rPr>
                      <w:rFonts w:hint="default" w:cs="Times New Roman"/>
                      <w:color w:val="auto"/>
                      <w:kern w:val="0"/>
                      <w:sz w:val="18"/>
                      <w:szCs w:val="18"/>
                      <w:lang w:val="en-US" w:eastAsia="zh-CN" w:bidi="ar"/>
                    </w:rPr>
                  </w:pPr>
                </w:p>
              </w:tc>
              <w:tc>
                <w:tcPr>
                  <w:tcW w:w="293" w:type="pct"/>
                  <w:shd w:val="clear" w:color="auto" w:fill="auto"/>
                  <w:vAlign w:val="center"/>
                </w:tcPr>
                <w:p w14:paraId="2768089A">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120</w:t>
                  </w:r>
                </w:p>
              </w:tc>
              <w:tc>
                <w:tcPr>
                  <w:tcW w:w="295" w:type="pct"/>
                  <w:shd w:val="clear" w:color="auto" w:fill="auto"/>
                  <w:vAlign w:val="center"/>
                </w:tcPr>
                <w:p w14:paraId="139D1EB3">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13</w:t>
                  </w:r>
                  <w:r>
                    <w:rPr>
                      <w:rFonts w:hint="eastAsia" w:cs="Times New Roman"/>
                      <w:color w:val="auto"/>
                      <w:kern w:val="0"/>
                      <w:sz w:val="18"/>
                      <w:szCs w:val="18"/>
                      <w:lang w:eastAsia="zh-CN" w:bidi="ar"/>
                    </w:rPr>
                    <w:t>9</w:t>
                  </w:r>
                </w:p>
              </w:tc>
              <w:tc>
                <w:tcPr>
                  <w:tcW w:w="310" w:type="pct"/>
                  <w:shd w:val="clear" w:color="auto" w:fill="auto"/>
                  <w:vAlign w:val="center"/>
                </w:tcPr>
                <w:p w14:paraId="3313C6EE">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w:t>
                  </w:r>
                  <w:r>
                    <w:rPr>
                      <w:rFonts w:hint="eastAsia" w:cs="Times New Roman"/>
                      <w:color w:val="auto"/>
                      <w:kern w:val="0"/>
                      <w:sz w:val="18"/>
                      <w:szCs w:val="18"/>
                      <w:lang w:val="en-US" w:eastAsia="zh-CN" w:bidi="ar"/>
                    </w:rPr>
                    <w:t>0</w:t>
                  </w:r>
                  <w:r>
                    <w:rPr>
                      <w:rFonts w:hint="eastAsia" w:cs="Times New Roman"/>
                      <w:color w:val="auto"/>
                      <w:kern w:val="0"/>
                      <w:sz w:val="18"/>
                      <w:szCs w:val="18"/>
                      <w:lang w:eastAsia="zh-CN" w:bidi="ar"/>
                    </w:rPr>
                    <w:t>.5</w:t>
                  </w:r>
                </w:p>
              </w:tc>
              <w:tc>
                <w:tcPr>
                  <w:tcW w:w="343" w:type="pct"/>
                  <w:shd w:val="clear" w:color="auto" w:fill="auto"/>
                  <w:vAlign w:val="center"/>
                </w:tcPr>
                <w:p w14:paraId="39E3F2D8">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西</w:t>
                  </w:r>
                  <w:r>
                    <w:rPr>
                      <w:rFonts w:hint="eastAsia" w:cs="Times New Roman"/>
                      <w:color w:val="auto"/>
                      <w:kern w:val="0"/>
                      <w:sz w:val="18"/>
                      <w:szCs w:val="18"/>
                      <w:lang w:eastAsia="zh-CN" w:bidi="ar"/>
                    </w:rPr>
                    <w:t>20</w:t>
                  </w:r>
                </w:p>
              </w:tc>
              <w:tc>
                <w:tcPr>
                  <w:tcW w:w="353" w:type="pct"/>
                  <w:shd w:val="clear" w:color="auto" w:fill="auto"/>
                  <w:vAlign w:val="center"/>
                </w:tcPr>
                <w:p w14:paraId="384C63D8">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60.0</w:t>
                  </w:r>
                </w:p>
              </w:tc>
              <w:tc>
                <w:tcPr>
                  <w:tcW w:w="433" w:type="pct"/>
                  <w:vMerge w:val="continue"/>
                  <w:shd w:val="clear" w:color="auto" w:fill="auto"/>
                  <w:vAlign w:val="center"/>
                </w:tcPr>
                <w:p w14:paraId="13F606D7">
                  <w:pPr>
                    <w:widowControl/>
                    <w:jc w:val="center"/>
                    <w:textAlignment w:val="center"/>
                    <w:rPr>
                      <w:rFonts w:hint="default" w:cs="Times New Roman"/>
                      <w:color w:val="auto"/>
                      <w:kern w:val="0"/>
                      <w:sz w:val="18"/>
                      <w:szCs w:val="18"/>
                      <w:lang w:val="en-US" w:eastAsia="zh-CN" w:bidi="ar"/>
                    </w:rPr>
                  </w:pPr>
                </w:p>
              </w:tc>
              <w:tc>
                <w:tcPr>
                  <w:tcW w:w="343" w:type="pct"/>
                  <w:shd w:val="clear" w:color="auto" w:fill="auto"/>
                  <w:vAlign w:val="center"/>
                </w:tcPr>
                <w:p w14:paraId="209531D2">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25</w:t>
                  </w:r>
                </w:p>
              </w:tc>
              <w:tc>
                <w:tcPr>
                  <w:tcW w:w="415" w:type="pct"/>
                  <w:shd w:val="clear" w:color="auto" w:fill="auto"/>
                  <w:vAlign w:val="center"/>
                </w:tcPr>
                <w:p w14:paraId="4FD86DA1">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3</w:t>
                  </w:r>
                  <w:r>
                    <w:rPr>
                      <w:rFonts w:hint="eastAsia" w:cs="Times New Roman"/>
                      <w:color w:val="auto"/>
                      <w:kern w:val="0"/>
                      <w:sz w:val="18"/>
                      <w:szCs w:val="18"/>
                      <w:lang w:val="en-US" w:eastAsia="zh-CN" w:bidi="ar"/>
                    </w:rPr>
                    <w:t>6</w:t>
                  </w:r>
                  <w:r>
                    <w:rPr>
                      <w:rFonts w:hint="eastAsia" w:cs="Times New Roman"/>
                      <w:color w:val="auto"/>
                      <w:kern w:val="0"/>
                      <w:sz w:val="18"/>
                      <w:szCs w:val="18"/>
                      <w:lang w:eastAsia="zh-CN" w:bidi="ar"/>
                    </w:rPr>
                    <w:t>.0</w:t>
                  </w:r>
                </w:p>
              </w:tc>
              <w:tc>
                <w:tcPr>
                  <w:tcW w:w="330" w:type="pct"/>
                  <w:vMerge w:val="continue"/>
                  <w:vAlign w:val="center"/>
                </w:tcPr>
                <w:p w14:paraId="504E9DEF">
                  <w:pPr>
                    <w:widowControl/>
                    <w:jc w:val="center"/>
                    <w:textAlignment w:val="center"/>
                    <w:rPr>
                      <w:rFonts w:hint="eastAsia" w:ascii="宋体" w:hAnsi="宋体" w:eastAsia="宋体" w:cs="宋体"/>
                      <w:color w:val="auto"/>
                      <w:kern w:val="0"/>
                      <w:szCs w:val="21"/>
                      <w:lang w:bidi="ar"/>
                    </w:rPr>
                  </w:pPr>
                </w:p>
              </w:tc>
            </w:tr>
            <w:tr w14:paraId="758EB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shd w:val="clear" w:color="auto" w:fill="auto"/>
                  <w:vAlign w:val="center"/>
                </w:tcPr>
                <w:p w14:paraId="2C74A826">
                  <w:pPr>
                    <w:widowControl/>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4</w:t>
                  </w:r>
                </w:p>
              </w:tc>
              <w:tc>
                <w:tcPr>
                  <w:tcW w:w="705" w:type="pct"/>
                  <w:vAlign w:val="center"/>
                </w:tcPr>
                <w:p w14:paraId="33BD1486">
                  <w:pPr>
                    <w:widowControl/>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脱水机</w:t>
                  </w:r>
                </w:p>
              </w:tc>
              <w:tc>
                <w:tcPr>
                  <w:tcW w:w="262" w:type="pct"/>
                  <w:vAlign w:val="center"/>
                </w:tcPr>
                <w:p w14:paraId="62F5E070">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6</w:t>
                  </w:r>
                </w:p>
              </w:tc>
              <w:tc>
                <w:tcPr>
                  <w:tcW w:w="434" w:type="pct"/>
                  <w:shd w:val="clear" w:color="auto" w:fill="auto"/>
                  <w:vAlign w:val="center"/>
                </w:tcPr>
                <w:p w14:paraId="2E4C36D8">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75~</w:t>
                  </w:r>
                  <w:r>
                    <w:rPr>
                      <w:rFonts w:hint="eastAsia" w:cs="Times New Roman"/>
                      <w:color w:val="auto"/>
                      <w:kern w:val="0"/>
                      <w:sz w:val="18"/>
                      <w:szCs w:val="18"/>
                      <w:lang w:eastAsia="zh-CN" w:bidi="ar"/>
                    </w:rPr>
                    <w:t>85</w:t>
                  </w:r>
                  <w:r>
                    <w:rPr>
                      <w:rFonts w:hint="default" w:cs="Times New Roman"/>
                      <w:color w:val="auto"/>
                      <w:kern w:val="0"/>
                      <w:sz w:val="18"/>
                      <w:szCs w:val="18"/>
                      <w:lang w:eastAsia="zh-CN" w:bidi="ar"/>
                    </w:rPr>
                    <w:t>/1</w:t>
                  </w:r>
                </w:p>
              </w:tc>
              <w:tc>
                <w:tcPr>
                  <w:tcW w:w="293" w:type="pct"/>
                  <w:vMerge w:val="continue"/>
                  <w:shd w:val="clear" w:color="auto" w:fill="auto"/>
                  <w:vAlign w:val="center"/>
                </w:tcPr>
                <w:p w14:paraId="60D86C33">
                  <w:pPr>
                    <w:widowControl/>
                    <w:jc w:val="center"/>
                    <w:textAlignment w:val="center"/>
                    <w:rPr>
                      <w:rFonts w:hint="default" w:cs="Times New Roman"/>
                      <w:color w:val="auto"/>
                      <w:kern w:val="0"/>
                      <w:sz w:val="18"/>
                      <w:szCs w:val="18"/>
                      <w:lang w:val="en-US" w:eastAsia="zh-CN" w:bidi="ar"/>
                    </w:rPr>
                  </w:pPr>
                </w:p>
              </w:tc>
              <w:tc>
                <w:tcPr>
                  <w:tcW w:w="293" w:type="pct"/>
                  <w:shd w:val="clear" w:color="auto" w:fill="auto"/>
                  <w:vAlign w:val="center"/>
                </w:tcPr>
                <w:p w14:paraId="1E1EC972">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149</w:t>
                  </w:r>
                </w:p>
              </w:tc>
              <w:tc>
                <w:tcPr>
                  <w:tcW w:w="295" w:type="pct"/>
                  <w:shd w:val="clear" w:color="auto" w:fill="auto"/>
                  <w:vAlign w:val="center"/>
                </w:tcPr>
                <w:p w14:paraId="10330FB6">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13</w:t>
                  </w:r>
                  <w:r>
                    <w:rPr>
                      <w:rFonts w:hint="eastAsia" w:cs="Times New Roman"/>
                      <w:color w:val="auto"/>
                      <w:kern w:val="0"/>
                      <w:sz w:val="18"/>
                      <w:szCs w:val="18"/>
                      <w:lang w:eastAsia="zh-CN" w:bidi="ar"/>
                    </w:rPr>
                    <w:t>1</w:t>
                  </w:r>
                </w:p>
              </w:tc>
              <w:tc>
                <w:tcPr>
                  <w:tcW w:w="310" w:type="pct"/>
                  <w:shd w:val="clear" w:color="auto" w:fill="auto"/>
                  <w:vAlign w:val="center"/>
                </w:tcPr>
                <w:p w14:paraId="2FF88173">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w:t>
                  </w:r>
                  <w:r>
                    <w:rPr>
                      <w:rFonts w:hint="eastAsia" w:cs="Times New Roman"/>
                      <w:color w:val="auto"/>
                      <w:kern w:val="0"/>
                      <w:sz w:val="18"/>
                      <w:szCs w:val="18"/>
                      <w:lang w:val="en-US" w:eastAsia="zh-CN" w:bidi="ar"/>
                    </w:rPr>
                    <w:t>0</w:t>
                  </w:r>
                  <w:r>
                    <w:rPr>
                      <w:rFonts w:hint="eastAsia" w:cs="Times New Roman"/>
                      <w:color w:val="auto"/>
                      <w:kern w:val="0"/>
                      <w:sz w:val="18"/>
                      <w:szCs w:val="18"/>
                      <w:lang w:eastAsia="zh-CN" w:bidi="ar"/>
                    </w:rPr>
                    <w:t>.5</w:t>
                  </w:r>
                </w:p>
              </w:tc>
              <w:tc>
                <w:tcPr>
                  <w:tcW w:w="343" w:type="pct"/>
                  <w:shd w:val="clear" w:color="auto" w:fill="auto"/>
                  <w:vAlign w:val="center"/>
                </w:tcPr>
                <w:p w14:paraId="65C14899">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东</w:t>
                  </w:r>
                  <w:r>
                    <w:rPr>
                      <w:rFonts w:hint="eastAsia" w:cs="Times New Roman"/>
                      <w:color w:val="auto"/>
                      <w:kern w:val="0"/>
                      <w:sz w:val="18"/>
                      <w:szCs w:val="18"/>
                      <w:lang w:eastAsia="zh-CN" w:bidi="ar"/>
                    </w:rPr>
                    <w:t>10</w:t>
                  </w:r>
                </w:p>
              </w:tc>
              <w:tc>
                <w:tcPr>
                  <w:tcW w:w="353" w:type="pct"/>
                  <w:shd w:val="clear" w:color="auto" w:fill="auto"/>
                  <w:vAlign w:val="center"/>
                </w:tcPr>
                <w:p w14:paraId="5D518A5D">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68.0</w:t>
                  </w:r>
                </w:p>
              </w:tc>
              <w:tc>
                <w:tcPr>
                  <w:tcW w:w="433" w:type="pct"/>
                  <w:vMerge w:val="continue"/>
                  <w:shd w:val="clear" w:color="auto" w:fill="auto"/>
                  <w:vAlign w:val="center"/>
                </w:tcPr>
                <w:p w14:paraId="0701B5E8">
                  <w:pPr>
                    <w:widowControl/>
                    <w:jc w:val="center"/>
                    <w:textAlignment w:val="center"/>
                    <w:rPr>
                      <w:rFonts w:hint="default" w:cs="Times New Roman"/>
                      <w:color w:val="auto"/>
                      <w:kern w:val="0"/>
                      <w:sz w:val="18"/>
                      <w:szCs w:val="18"/>
                      <w:lang w:val="en-US" w:eastAsia="zh-CN" w:bidi="ar"/>
                    </w:rPr>
                  </w:pPr>
                </w:p>
              </w:tc>
              <w:tc>
                <w:tcPr>
                  <w:tcW w:w="343" w:type="pct"/>
                  <w:shd w:val="clear" w:color="auto" w:fill="auto"/>
                  <w:vAlign w:val="center"/>
                </w:tcPr>
                <w:p w14:paraId="5FC87AD1">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25</w:t>
                  </w:r>
                </w:p>
              </w:tc>
              <w:tc>
                <w:tcPr>
                  <w:tcW w:w="415" w:type="pct"/>
                  <w:shd w:val="clear" w:color="auto" w:fill="auto"/>
                  <w:vAlign w:val="center"/>
                </w:tcPr>
                <w:p w14:paraId="4D88DE51">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43.0</w:t>
                  </w:r>
                </w:p>
              </w:tc>
              <w:tc>
                <w:tcPr>
                  <w:tcW w:w="330" w:type="pct"/>
                  <w:vMerge w:val="continue"/>
                  <w:vAlign w:val="center"/>
                </w:tcPr>
                <w:p w14:paraId="723C8217">
                  <w:pPr>
                    <w:widowControl/>
                    <w:jc w:val="center"/>
                    <w:textAlignment w:val="center"/>
                    <w:rPr>
                      <w:rFonts w:hint="eastAsia" w:ascii="宋体" w:hAnsi="宋体" w:eastAsia="宋体" w:cs="宋体"/>
                      <w:color w:val="auto"/>
                      <w:kern w:val="0"/>
                      <w:szCs w:val="21"/>
                      <w:lang w:bidi="ar"/>
                    </w:rPr>
                  </w:pPr>
                </w:p>
              </w:tc>
            </w:tr>
            <w:tr w14:paraId="4FF0E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shd w:val="clear" w:color="auto" w:fill="auto"/>
                  <w:vAlign w:val="center"/>
                </w:tcPr>
                <w:p w14:paraId="0D62FB2E">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5</w:t>
                  </w:r>
                </w:p>
              </w:tc>
              <w:tc>
                <w:tcPr>
                  <w:tcW w:w="705" w:type="pct"/>
                  <w:vAlign w:val="center"/>
                </w:tcPr>
                <w:p w14:paraId="375FFD81">
                  <w:pPr>
                    <w:widowControl/>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振动沥水机</w:t>
                  </w:r>
                </w:p>
              </w:tc>
              <w:tc>
                <w:tcPr>
                  <w:tcW w:w="262" w:type="pct"/>
                  <w:vAlign w:val="center"/>
                </w:tcPr>
                <w:p w14:paraId="3D0FF5CD">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2</w:t>
                  </w:r>
                </w:p>
              </w:tc>
              <w:tc>
                <w:tcPr>
                  <w:tcW w:w="434" w:type="pct"/>
                  <w:shd w:val="clear" w:color="auto" w:fill="auto"/>
                  <w:vAlign w:val="center"/>
                </w:tcPr>
                <w:p w14:paraId="79474AFF">
                  <w:pPr>
                    <w:widowControl/>
                    <w:jc w:val="center"/>
                    <w:textAlignment w:val="center"/>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75~</w:t>
                  </w:r>
                  <w:r>
                    <w:rPr>
                      <w:rFonts w:hint="eastAsia" w:cs="Times New Roman"/>
                      <w:color w:val="auto"/>
                      <w:kern w:val="0"/>
                      <w:sz w:val="18"/>
                      <w:szCs w:val="18"/>
                      <w:lang w:eastAsia="zh-CN" w:bidi="ar"/>
                    </w:rPr>
                    <w:t>85</w:t>
                  </w:r>
                  <w:r>
                    <w:rPr>
                      <w:rFonts w:hint="default" w:cs="Times New Roman"/>
                      <w:color w:val="auto"/>
                      <w:kern w:val="0"/>
                      <w:sz w:val="18"/>
                      <w:szCs w:val="18"/>
                      <w:lang w:eastAsia="zh-CN" w:bidi="ar"/>
                    </w:rPr>
                    <w:t>/1</w:t>
                  </w:r>
                </w:p>
              </w:tc>
              <w:tc>
                <w:tcPr>
                  <w:tcW w:w="293" w:type="pct"/>
                  <w:vMerge w:val="continue"/>
                  <w:shd w:val="clear" w:color="auto" w:fill="auto"/>
                  <w:vAlign w:val="center"/>
                </w:tcPr>
                <w:p w14:paraId="4C014F63">
                  <w:pPr>
                    <w:widowControl/>
                    <w:jc w:val="center"/>
                    <w:textAlignment w:val="center"/>
                    <w:rPr>
                      <w:rFonts w:hint="default" w:cs="Times New Roman"/>
                      <w:color w:val="auto"/>
                      <w:kern w:val="0"/>
                      <w:sz w:val="18"/>
                      <w:szCs w:val="18"/>
                      <w:lang w:val="en-US" w:eastAsia="zh-CN" w:bidi="ar"/>
                    </w:rPr>
                  </w:pPr>
                </w:p>
              </w:tc>
              <w:tc>
                <w:tcPr>
                  <w:tcW w:w="293" w:type="pct"/>
                  <w:shd w:val="clear" w:color="auto" w:fill="auto"/>
                  <w:vAlign w:val="center"/>
                </w:tcPr>
                <w:p w14:paraId="7BE800F7">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eastAsia="zh-CN" w:bidi="ar"/>
                    </w:rPr>
                    <w:t>14</w:t>
                  </w:r>
                  <w:r>
                    <w:rPr>
                      <w:rFonts w:hint="eastAsia" w:cs="Times New Roman"/>
                      <w:color w:val="auto"/>
                      <w:kern w:val="0"/>
                      <w:sz w:val="18"/>
                      <w:szCs w:val="18"/>
                      <w:lang w:val="en-US" w:eastAsia="zh-CN" w:bidi="ar"/>
                    </w:rPr>
                    <w:t>8</w:t>
                  </w:r>
                </w:p>
              </w:tc>
              <w:tc>
                <w:tcPr>
                  <w:tcW w:w="295" w:type="pct"/>
                  <w:shd w:val="clear" w:color="auto" w:fill="auto"/>
                  <w:vAlign w:val="center"/>
                </w:tcPr>
                <w:p w14:paraId="01C36DB2">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13</w:t>
                  </w:r>
                  <w:r>
                    <w:rPr>
                      <w:rFonts w:hint="eastAsia" w:cs="Times New Roman"/>
                      <w:color w:val="auto"/>
                      <w:kern w:val="0"/>
                      <w:sz w:val="18"/>
                      <w:szCs w:val="18"/>
                      <w:lang w:eastAsia="zh-CN" w:bidi="ar"/>
                    </w:rPr>
                    <w:t>1</w:t>
                  </w:r>
                </w:p>
              </w:tc>
              <w:tc>
                <w:tcPr>
                  <w:tcW w:w="310" w:type="pct"/>
                  <w:shd w:val="clear" w:color="auto" w:fill="auto"/>
                  <w:vAlign w:val="center"/>
                </w:tcPr>
                <w:p w14:paraId="232DAB0C">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eastAsia="zh-CN" w:bidi="ar"/>
                    </w:rPr>
                    <w:t>1</w:t>
                  </w:r>
                  <w:r>
                    <w:rPr>
                      <w:rFonts w:hint="eastAsia" w:cs="Times New Roman"/>
                      <w:color w:val="auto"/>
                      <w:kern w:val="0"/>
                      <w:sz w:val="18"/>
                      <w:szCs w:val="18"/>
                      <w:lang w:val="en-US" w:eastAsia="zh-CN" w:bidi="ar"/>
                    </w:rPr>
                    <w:t>0</w:t>
                  </w:r>
                  <w:r>
                    <w:rPr>
                      <w:rFonts w:hint="eastAsia" w:cs="Times New Roman"/>
                      <w:color w:val="auto"/>
                      <w:kern w:val="0"/>
                      <w:sz w:val="18"/>
                      <w:szCs w:val="18"/>
                      <w:lang w:eastAsia="zh-CN" w:bidi="ar"/>
                    </w:rPr>
                    <w:t>.5</w:t>
                  </w:r>
                </w:p>
              </w:tc>
              <w:tc>
                <w:tcPr>
                  <w:tcW w:w="343" w:type="pct"/>
                  <w:shd w:val="clear" w:color="auto" w:fill="auto"/>
                  <w:vAlign w:val="center"/>
                </w:tcPr>
                <w:p w14:paraId="3BEAF5FC">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东</w:t>
                  </w:r>
                  <w:r>
                    <w:rPr>
                      <w:rFonts w:hint="eastAsia" w:cs="Times New Roman"/>
                      <w:color w:val="auto"/>
                      <w:kern w:val="0"/>
                      <w:sz w:val="18"/>
                      <w:szCs w:val="18"/>
                      <w:lang w:eastAsia="zh-CN" w:bidi="ar"/>
                    </w:rPr>
                    <w:t>10</w:t>
                  </w:r>
                </w:p>
              </w:tc>
              <w:tc>
                <w:tcPr>
                  <w:tcW w:w="353" w:type="pct"/>
                  <w:shd w:val="clear" w:color="auto" w:fill="auto"/>
                  <w:vAlign w:val="center"/>
                </w:tcPr>
                <w:p w14:paraId="5F441E68">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eastAsia="zh-CN" w:bidi="ar"/>
                    </w:rPr>
                    <w:t>6</w:t>
                  </w:r>
                  <w:r>
                    <w:rPr>
                      <w:rFonts w:hint="eastAsia" w:cs="Times New Roman"/>
                      <w:color w:val="auto"/>
                      <w:kern w:val="0"/>
                      <w:sz w:val="18"/>
                      <w:szCs w:val="18"/>
                      <w:lang w:val="en-US" w:eastAsia="zh-CN" w:bidi="ar"/>
                    </w:rPr>
                    <w:t>2</w:t>
                  </w:r>
                  <w:r>
                    <w:rPr>
                      <w:rFonts w:hint="eastAsia" w:cs="Times New Roman"/>
                      <w:color w:val="auto"/>
                      <w:kern w:val="0"/>
                      <w:sz w:val="18"/>
                      <w:szCs w:val="18"/>
                      <w:lang w:eastAsia="zh-CN" w:bidi="ar"/>
                    </w:rPr>
                    <w:t>.0</w:t>
                  </w:r>
                </w:p>
              </w:tc>
              <w:tc>
                <w:tcPr>
                  <w:tcW w:w="433" w:type="pct"/>
                  <w:vMerge w:val="continue"/>
                  <w:shd w:val="clear" w:color="auto" w:fill="auto"/>
                  <w:vAlign w:val="center"/>
                </w:tcPr>
                <w:p w14:paraId="79FB08DB">
                  <w:pPr>
                    <w:widowControl/>
                    <w:jc w:val="center"/>
                    <w:textAlignment w:val="center"/>
                    <w:rPr>
                      <w:rFonts w:hint="default" w:cs="Times New Roman"/>
                      <w:color w:val="auto"/>
                      <w:kern w:val="0"/>
                      <w:sz w:val="18"/>
                      <w:szCs w:val="18"/>
                      <w:lang w:val="en-US" w:eastAsia="zh-CN" w:bidi="ar"/>
                    </w:rPr>
                  </w:pPr>
                </w:p>
              </w:tc>
              <w:tc>
                <w:tcPr>
                  <w:tcW w:w="343" w:type="pct"/>
                  <w:shd w:val="clear" w:color="auto" w:fill="auto"/>
                  <w:vAlign w:val="center"/>
                </w:tcPr>
                <w:p w14:paraId="62EDE48F">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eastAsia="zh-CN" w:bidi="ar"/>
                    </w:rPr>
                    <w:t>25</w:t>
                  </w:r>
                </w:p>
              </w:tc>
              <w:tc>
                <w:tcPr>
                  <w:tcW w:w="415" w:type="pct"/>
                  <w:shd w:val="clear" w:color="auto" w:fill="auto"/>
                  <w:vAlign w:val="center"/>
                </w:tcPr>
                <w:p w14:paraId="727E8A18">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eastAsia="zh-CN" w:bidi="ar"/>
                    </w:rPr>
                    <w:t>4</w:t>
                  </w:r>
                  <w:r>
                    <w:rPr>
                      <w:rFonts w:hint="eastAsia" w:cs="Times New Roman"/>
                      <w:color w:val="auto"/>
                      <w:kern w:val="0"/>
                      <w:sz w:val="18"/>
                      <w:szCs w:val="18"/>
                      <w:lang w:val="en-US" w:eastAsia="zh-CN" w:bidi="ar"/>
                    </w:rPr>
                    <w:t>2</w:t>
                  </w:r>
                  <w:r>
                    <w:rPr>
                      <w:rFonts w:hint="eastAsia" w:cs="Times New Roman"/>
                      <w:color w:val="auto"/>
                      <w:kern w:val="0"/>
                      <w:sz w:val="18"/>
                      <w:szCs w:val="18"/>
                      <w:lang w:eastAsia="zh-CN" w:bidi="ar"/>
                    </w:rPr>
                    <w:t>.0</w:t>
                  </w:r>
                </w:p>
              </w:tc>
              <w:tc>
                <w:tcPr>
                  <w:tcW w:w="330" w:type="pct"/>
                  <w:vMerge w:val="continue"/>
                  <w:vAlign w:val="center"/>
                </w:tcPr>
                <w:p w14:paraId="2A6BA43C">
                  <w:pPr>
                    <w:widowControl/>
                    <w:jc w:val="center"/>
                    <w:textAlignment w:val="center"/>
                    <w:rPr>
                      <w:rFonts w:hint="eastAsia" w:ascii="宋体" w:hAnsi="宋体" w:eastAsia="宋体" w:cs="宋体"/>
                      <w:color w:val="auto"/>
                      <w:kern w:val="0"/>
                      <w:szCs w:val="21"/>
                      <w:lang w:bidi="ar"/>
                    </w:rPr>
                  </w:pPr>
                </w:p>
              </w:tc>
            </w:tr>
            <w:tr w14:paraId="390AA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shd w:val="clear" w:color="auto" w:fill="auto"/>
                  <w:vAlign w:val="center"/>
                </w:tcPr>
                <w:p w14:paraId="18953077">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6</w:t>
                  </w:r>
                </w:p>
              </w:tc>
              <w:tc>
                <w:tcPr>
                  <w:tcW w:w="705" w:type="pct"/>
                  <w:vAlign w:val="center"/>
                </w:tcPr>
                <w:p w14:paraId="2690A8A6">
                  <w:pPr>
                    <w:widowControl/>
                    <w:jc w:val="center"/>
                    <w:textAlignment w:val="center"/>
                    <w:rPr>
                      <w:rFonts w:hint="default" w:cs="Times New Roman"/>
                      <w:color w:val="auto"/>
                      <w:kern w:val="0"/>
                      <w:sz w:val="18"/>
                      <w:szCs w:val="18"/>
                      <w:lang w:eastAsia="zh-CN" w:bidi="ar"/>
                    </w:rPr>
                  </w:pPr>
                  <w:r>
                    <w:rPr>
                      <w:rFonts w:hint="eastAsia" w:cs="Times New Roman"/>
                      <w:color w:val="auto"/>
                      <w:kern w:val="0"/>
                      <w:sz w:val="18"/>
                      <w:szCs w:val="18"/>
                      <w:lang w:eastAsia="zh-CN" w:bidi="ar"/>
                    </w:rPr>
                    <w:t>鱼皮车间排风装置</w:t>
                  </w:r>
                </w:p>
              </w:tc>
              <w:tc>
                <w:tcPr>
                  <w:tcW w:w="262" w:type="pct"/>
                  <w:vAlign w:val="center"/>
                </w:tcPr>
                <w:p w14:paraId="59FF319C">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1</w:t>
                  </w:r>
                </w:p>
              </w:tc>
              <w:tc>
                <w:tcPr>
                  <w:tcW w:w="434" w:type="pct"/>
                  <w:shd w:val="clear" w:color="auto" w:fill="auto"/>
                  <w:vAlign w:val="center"/>
                </w:tcPr>
                <w:p w14:paraId="5F02C2A7">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75~</w:t>
                  </w:r>
                  <w:r>
                    <w:rPr>
                      <w:rFonts w:hint="eastAsia" w:cs="Times New Roman"/>
                      <w:color w:val="auto"/>
                      <w:kern w:val="0"/>
                      <w:sz w:val="18"/>
                      <w:szCs w:val="18"/>
                      <w:lang w:eastAsia="zh-CN" w:bidi="ar"/>
                    </w:rPr>
                    <w:t>85</w:t>
                  </w:r>
                  <w:r>
                    <w:rPr>
                      <w:rFonts w:hint="default" w:cs="Times New Roman"/>
                      <w:color w:val="auto"/>
                      <w:kern w:val="0"/>
                      <w:sz w:val="18"/>
                      <w:szCs w:val="18"/>
                      <w:lang w:eastAsia="zh-CN" w:bidi="ar"/>
                    </w:rPr>
                    <w:t>/1</w:t>
                  </w:r>
                </w:p>
              </w:tc>
              <w:tc>
                <w:tcPr>
                  <w:tcW w:w="293" w:type="pct"/>
                  <w:vMerge w:val="continue"/>
                  <w:shd w:val="clear" w:color="auto" w:fill="auto"/>
                  <w:vAlign w:val="center"/>
                </w:tcPr>
                <w:p w14:paraId="491D6693">
                  <w:pPr>
                    <w:widowControl/>
                    <w:jc w:val="center"/>
                    <w:textAlignment w:val="center"/>
                    <w:rPr>
                      <w:rFonts w:hint="default" w:cs="Times New Roman"/>
                      <w:color w:val="auto"/>
                      <w:kern w:val="0"/>
                      <w:sz w:val="18"/>
                      <w:szCs w:val="18"/>
                      <w:lang w:val="en-US" w:eastAsia="zh-CN" w:bidi="ar"/>
                    </w:rPr>
                  </w:pPr>
                </w:p>
              </w:tc>
              <w:tc>
                <w:tcPr>
                  <w:tcW w:w="293" w:type="pct"/>
                  <w:shd w:val="clear" w:color="auto" w:fill="auto"/>
                  <w:vAlign w:val="center"/>
                </w:tcPr>
                <w:p w14:paraId="45662FA6">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158</w:t>
                  </w:r>
                </w:p>
              </w:tc>
              <w:tc>
                <w:tcPr>
                  <w:tcW w:w="295" w:type="pct"/>
                  <w:shd w:val="clear" w:color="auto" w:fill="auto"/>
                  <w:vAlign w:val="center"/>
                </w:tcPr>
                <w:p w14:paraId="7D26A109">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12</w:t>
                  </w:r>
                  <w:r>
                    <w:rPr>
                      <w:rFonts w:hint="eastAsia" w:cs="Times New Roman"/>
                      <w:color w:val="auto"/>
                      <w:kern w:val="0"/>
                      <w:sz w:val="18"/>
                      <w:szCs w:val="18"/>
                      <w:lang w:eastAsia="zh-CN" w:bidi="ar"/>
                    </w:rPr>
                    <w:t>9</w:t>
                  </w:r>
                </w:p>
              </w:tc>
              <w:tc>
                <w:tcPr>
                  <w:tcW w:w="310" w:type="pct"/>
                  <w:shd w:val="clear" w:color="auto" w:fill="auto"/>
                  <w:vAlign w:val="center"/>
                </w:tcPr>
                <w:p w14:paraId="48C8531F">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w:t>
                  </w:r>
                  <w:r>
                    <w:rPr>
                      <w:rFonts w:hint="eastAsia" w:cs="Times New Roman"/>
                      <w:color w:val="auto"/>
                      <w:kern w:val="0"/>
                      <w:sz w:val="18"/>
                      <w:szCs w:val="18"/>
                      <w:lang w:val="en-US" w:eastAsia="zh-CN" w:bidi="ar"/>
                    </w:rPr>
                    <w:t>0</w:t>
                  </w:r>
                  <w:r>
                    <w:rPr>
                      <w:rFonts w:hint="eastAsia" w:cs="Times New Roman"/>
                      <w:color w:val="auto"/>
                      <w:kern w:val="0"/>
                      <w:sz w:val="18"/>
                      <w:szCs w:val="18"/>
                      <w:lang w:eastAsia="zh-CN" w:bidi="ar"/>
                    </w:rPr>
                    <w:t>.5</w:t>
                  </w:r>
                </w:p>
              </w:tc>
              <w:tc>
                <w:tcPr>
                  <w:tcW w:w="343" w:type="pct"/>
                  <w:shd w:val="clear" w:color="auto" w:fill="auto"/>
                  <w:vAlign w:val="center"/>
                </w:tcPr>
                <w:p w14:paraId="71513832">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东</w:t>
                  </w:r>
                  <w:r>
                    <w:rPr>
                      <w:rFonts w:hint="eastAsia" w:cs="Times New Roman"/>
                      <w:color w:val="auto"/>
                      <w:kern w:val="0"/>
                      <w:sz w:val="18"/>
                      <w:szCs w:val="18"/>
                      <w:lang w:eastAsia="zh-CN" w:bidi="ar"/>
                    </w:rPr>
                    <w:t>5</w:t>
                  </w:r>
                </w:p>
              </w:tc>
              <w:tc>
                <w:tcPr>
                  <w:tcW w:w="353" w:type="pct"/>
                  <w:shd w:val="clear" w:color="auto" w:fill="auto"/>
                  <w:vAlign w:val="center"/>
                </w:tcPr>
                <w:p w14:paraId="1A77055A">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7</w:t>
                  </w:r>
                  <w:r>
                    <w:rPr>
                      <w:rFonts w:hint="eastAsia" w:cs="Times New Roman"/>
                      <w:color w:val="auto"/>
                      <w:kern w:val="0"/>
                      <w:sz w:val="18"/>
                      <w:szCs w:val="18"/>
                      <w:lang w:val="en-US" w:eastAsia="zh-CN" w:bidi="ar"/>
                    </w:rPr>
                    <w:t>2</w:t>
                  </w:r>
                  <w:r>
                    <w:rPr>
                      <w:rFonts w:hint="eastAsia" w:cs="Times New Roman"/>
                      <w:color w:val="auto"/>
                      <w:kern w:val="0"/>
                      <w:sz w:val="18"/>
                      <w:szCs w:val="18"/>
                      <w:lang w:eastAsia="zh-CN" w:bidi="ar"/>
                    </w:rPr>
                    <w:t>0</w:t>
                  </w:r>
                </w:p>
              </w:tc>
              <w:tc>
                <w:tcPr>
                  <w:tcW w:w="433" w:type="pct"/>
                  <w:vMerge w:val="continue"/>
                  <w:shd w:val="clear" w:color="auto" w:fill="auto"/>
                  <w:vAlign w:val="center"/>
                </w:tcPr>
                <w:p w14:paraId="3DB5CFD2">
                  <w:pPr>
                    <w:widowControl/>
                    <w:jc w:val="center"/>
                    <w:textAlignment w:val="center"/>
                    <w:rPr>
                      <w:rFonts w:hint="default" w:cs="Times New Roman"/>
                      <w:color w:val="auto"/>
                      <w:kern w:val="0"/>
                      <w:sz w:val="18"/>
                      <w:szCs w:val="18"/>
                      <w:lang w:val="en-US" w:eastAsia="zh-CN" w:bidi="ar"/>
                    </w:rPr>
                  </w:pPr>
                </w:p>
              </w:tc>
              <w:tc>
                <w:tcPr>
                  <w:tcW w:w="343" w:type="pct"/>
                  <w:shd w:val="clear" w:color="auto" w:fill="auto"/>
                  <w:vAlign w:val="center"/>
                </w:tcPr>
                <w:p w14:paraId="771A948F">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25</w:t>
                  </w:r>
                </w:p>
              </w:tc>
              <w:tc>
                <w:tcPr>
                  <w:tcW w:w="415" w:type="pct"/>
                  <w:shd w:val="clear" w:color="auto" w:fill="auto"/>
                  <w:vAlign w:val="center"/>
                </w:tcPr>
                <w:p w14:paraId="3F1F4EEA">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46.0</w:t>
                  </w:r>
                </w:p>
              </w:tc>
              <w:tc>
                <w:tcPr>
                  <w:tcW w:w="330" w:type="pct"/>
                  <w:vMerge w:val="continue"/>
                  <w:vAlign w:val="center"/>
                </w:tcPr>
                <w:p w14:paraId="47717FF5">
                  <w:pPr>
                    <w:widowControl/>
                    <w:jc w:val="center"/>
                    <w:textAlignment w:val="center"/>
                    <w:rPr>
                      <w:rFonts w:hint="eastAsia" w:ascii="宋体" w:hAnsi="宋体" w:eastAsia="宋体" w:cs="宋体"/>
                      <w:color w:val="auto"/>
                      <w:kern w:val="0"/>
                      <w:szCs w:val="21"/>
                      <w:lang w:bidi="ar"/>
                    </w:rPr>
                  </w:pPr>
                </w:p>
              </w:tc>
            </w:tr>
            <w:tr w14:paraId="49EBE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shd w:val="clear" w:color="auto" w:fill="auto"/>
                  <w:vAlign w:val="center"/>
                </w:tcPr>
                <w:p w14:paraId="7FCE4556">
                  <w:pPr>
                    <w:widowControl/>
                    <w:adjustRightInd w:val="0"/>
                    <w:snapToGrid w:val="0"/>
                    <w:jc w:val="center"/>
                    <w:rPr>
                      <w:rFonts w:hint="eastAsia" w:ascii="Times New Roman" w:hAnsi="Times New Roman" w:eastAsia="等线" w:cs="Times New Roman"/>
                      <w:color w:val="auto"/>
                      <w:kern w:val="2"/>
                      <w:sz w:val="18"/>
                      <w:szCs w:val="18"/>
                      <w:lang w:val="en-US" w:eastAsia="zh-CN" w:bidi="ar-SA"/>
                    </w:rPr>
                  </w:pPr>
                  <w:r>
                    <w:rPr>
                      <w:rFonts w:hint="eastAsia" w:eastAsia="等线" w:cs="Times New Roman"/>
                      <w:color w:val="auto"/>
                      <w:sz w:val="18"/>
                      <w:szCs w:val="18"/>
                      <w:lang w:val="en-US" w:eastAsia="zh-CN"/>
                    </w:rPr>
                    <w:t>7</w:t>
                  </w:r>
                </w:p>
              </w:tc>
              <w:tc>
                <w:tcPr>
                  <w:tcW w:w="705" w:type="pct"/>
                  <w:vAlign w:val="center"/>
                </w:tcPr>
                <w:p w14:paraId="24317311">
                  <w:pPr>
                    <w:widowControl/>
                    <w:jc w:val="center"/>
                    <w:textAlignment w:val="center"/>
                    <w:rPr>
                      <w:rFonts w:hint="default" w:cs="Times New Roman"/>
                      <w:color w:val="auto"/>
                      <w:kern w:val="0"/>
                      <w:sz w:val="18"/>
                      <w:szCs w:val="18"/>
                      <w:lang w:eastAsia="zh-CN" w:bidi="ar"/>
                    </w:rPr>
                  </w:pPr>
                  <w:r>
                    <w:rPr>
                      <w:rFonts w:hint="eastAsia" w:cs="Times New Roman"/>
                      <w:color w:val="auto"/>
                      <w:kern w:val="0"/>
                      <w:sz w:val="18"/>
                      <w:szCs w:val="18"/>
                      <w:lang w:val="en-US" w:eastAsia="zh-CN" w:bidi="ar"/>
                    </w:rPr>
                    <w:t>自动卧式搅拌机</w:t>
                  </w:r>
                </w:p>
              </w:tc>
              <w:tc>
                <w:tcPr>
                  <w:tcW w:w="262" w:type="pct"/>
                  <w:vAlign w:val="center"/>
                </w:tcPr>
                <w:p w14:paraId="2479AAED">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4</w:t>
                  </w:r>
                </w:p>
              </w:tc>
              <w:tc>
                <w:tcPr>
                  <w:tcW w:w="434" w:type="pct"/>
                  <w:shd w:val="clear" w:color="auto" w:fill="auto"/>
                  <w:vAlign w:val="center"/>
                </w:tcPr>
                <w:p w14:paraId="6088FB08">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70~</w:t>
                  </w:r>
                  <w:r>
                    <w:rPr>
                      <w:rFonts w:hint="eastAsia" w:cs="Times New Roman"/>
                      <w:color w:val="auto"/>
                      <w:kern w:val="0"/>
                      <w:sz w:val="18"/>
                      <w:szCs w:val="18"/>
                      <w:lang w:eastAsia="zh-CN" w:bidi="ar"/>
                    </w:rPr>
                    <w:t>80</w:t>
                  </w:r>
                  <w:r>
                    <w:rPr>
                      <w:rFonts w:hint="default" w:cs="Times New Roman"/>
                      <w:color w:val="auto"/>
                      <w:kern w:val="0"/>
                      <w:sz w:val="18"/>
                      <w:szCs w:val="18"/>
                      <w:lang w:eastAsia="zh-CN" w:bidi="ar"/>
                    </w:rPr>
                    <w:t>/1</w:t>
                  </w:r>
                </w:p>
              </w:tc>
              <w:tc>
                <w:tcPr>
                  <w:tcW w:w="293" w:type="pct"/>
                  <w:vMerge w:val="continue"/>
                  <w:shd w:val="clear" w:color="auto" w:fill="auto"/>
                  <w:vAlign w:val="center"/>
                </w:tcPr>
                <w:p w14:paraId="21ED4BDD">
                  <w:pPr>
                    <w:widowControl/>
                    <w:jc w:val="center"/>
                    <w:textAlignment w:val="center"/>
                    <w:rPr>
                      <w:rFonts w:hint="default" w:cs="Times New Roman"/>
                      <w:color w:val="auto"/>
                      <w:kern w:val="0"/>
                      <w:sz w:val="18"/>
                      <w:szCs w:val="18"/>
                      <w:lang w:val="en-US" w:eastAsia="zh-CN" w:bidi="ar"/>
                    </w:rPr>
                  </w:pPr>
                </w:p>
              </w:tc>
              <w:tc>
                <w:tcPr>
                  <w:tcW w:w="293" w:type="pct"/>
                  <w:shd w:val="clear" w:color="auto" w:fill="auto"/>
                  <w:vAlign w:val="center"/>
                </w:tcPr>
                <w:p w14:paraId="779E8EE8">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126</w:t>
                  </w:r>
                </w:p>
              </w:tc>
              <w:tc>
                <w:tcPr>
                  <w:tcW w:w="295" w:type="pct"/>
                  <w:shd w:val="clear" w:color="auto" w:fill="auto"/>
                  <w:vAlign w:val="center"/>
                </w:tcPr>
                <w:p w14:paraId="114F5A64">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124</w:t>
                  </w:r>
                </w:p>
              </w:tc>
              <w:tc>
                <w:tcPr>
                  <w:tcW w:w="310" w:type="pct"/>
                  <w:shd w:val="clear" w:color="auto" w:fill="auto"/>
                  <w:vAlign w:val="center"/>
                </w:tcPr>
                <w:p w14:paraId="4DBB939F">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1</w:t>
                  </w:r>
                  <w:r>
                    <w:rPr>
                      <w:rFonts w:hint="eastAsia" w:cs="Times New Roman"/>
                      <w:color w:val="auto"/>
                      <w:kern w:val="0"/>
                      <w:sz w:val="18"/>
                      <w:szCs w:val="18"/>
                      <w:lang w:val="en-US" w:eastAsia="zh-CN" w:bidi="ar"/>
                    </w:rPr>
                    <w:t>0</w:t>
                  </w:r>
                  <w:r>
                    <w:rPr>
                      <w:rFonts w:hint="eastAsia" w:cs="Times New Roman"/>
                      <w:color w:val="auto"/>
                      <w:kern w:val="0"/>
                      <w:sz w:val="18"/>
                      <w:szCs w:val="18"/>
                      <w:lang w:eastAsia="zh-CN" w:bidi="ar"/>
                    </w:rPr>
                    <w:t>.5</w:t>
                  </w:r>
                </w:p>
              </w:tc>
              <w:tc>
                <w:tcPr>
                  <w:tcW w:w="343" w:type="pct"/>
                  <w:shd w:val="clear" w:color="auto" w:fill="auto"/>
                  <w:vAlign w:val="center"/>
                </w:tcPr>
                <w:p w14:paraId="0DB8E5A6">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西</w:t>
                  </w:r>
                  <w:r>
                    <w:rPr>
                      <w:rFonts w:hint="eastAsia" w:cs="Times New Roman"/>
                      <w:color w:val="auto"/>
                      <w:kern w:val="0"/>
                      <w:sz w:val="18"/>
                      <w:szCs w:val="18"/>
                      <w:lang w:eastAsia="zh-CN" w:bidi="ar"/>
                    </w:rPr>
                    <w:t>25</w:t>
                  </w:r>
                </w:p>
              </w:tc>
              <w:tc>
                <w:tcPr>
                  <w:tcW w:w="353" w:type="pct"/>
                  <w:shd w:val="clear" w:color="auto" w:fill="auto"/>
                  <w:vAlign w:val="center"/>
                </w:tcPr>
                <w:p w14:paraId="4C5DAFF7">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5</w:t>
                  </w:r>
                  <w:r>
                    <w:rPr>
                      <w:rFonts w:hint="eastAsia" w:cs="Times New Roman"/>
                      <w:color w:val="auto"/>
                      <w:kern w:val="0"/>
                      <w:sz w:val="18"/>
                      <w:szCs w:val="18"/>
                      <w:lang w:val="en-US" w:eastAsia="zh-CN" w:bidi="ar"/>
                    </w:rPr>
                    <w:t>4</w:t>
                  </w:r>
                  <w:r>
                    <w:rPr>
                      <w:rFonts w:hint="eastAsia" w:cs="Times New Roman"/>
                      <w:color w:val="auto"/>
                      <w:kern w:val="0"/>
                      <w:sz w:val="18"/>
                      <w:szCs w:val="18"/>
                      <w:lang w:eastAsia="zh-CN" w:bidi="ar"/>
                    </w:rPr>
                    <w:t>.0</w:t>
                  </w:r>
                </w:p>
              </w:tc>
              <w:tc>
                <w:tcPr>
                  <w:tcW w:w="433" w:type="pct"/>
                  <w:vMerge w:val="continue"/>
                  <w:shd w:val="clear" w:color="auto" w:fill="auto"/>
                  <w:vAlign w:val="center"/>
                </w:tcPr>
                <w:p w14:paraId="720A0440">
                  <w:pPr>
                    <w:widowControl/>
                    <w:jc w:val="center"/>
                    <w:textAlignment w:val="center"/>
                    <w:rPr>
                      <w:rFonts w:hint="default" w:cs="Times New Roman"/>
                      <w:color w:val="auto"/>
                      <w:kern w:val="0"/>
                      <w:sz w:val="18"/>
                      <w:szCs w:val="18"/>
                      <w:lang w:val="en-US" w:eastAsia="zh-CN" w:bidi="ar"/>
                    </w:rPr>
                  </w:pPr>
                </w:p>
              </w:tc>
              <w:tc>
                <w:tcPr>
                  <w:tcW w:w="343" w:type="pct"/>
                  <w:shd w:val="clear" w:color="auto" w:fill="auto"/>
                  <w:vAlign w:val="center"/>
                </w:tcPr>
                <w:p w14:paraId="14AF03E8">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25</w:t>
                  </w:r>
                </w:p>
              </w:tc>
              <w:tc>
                <w:tcPr>
                  <w:tcW w:w="415" w:type="pct"/>
                  <w:shd w:val="clear" w:color="auto" w:fill="auto"/>
                  <w:vAlign w:val="center"/>
                </w:tcPr>
                <w:p w14:paraId="46DC189A">
                  <w:pPr>
                    <w:widowControl/>
                    <w:jc w:val="center"/>
                    <w:textAlignment w:val="center"/>
                    <w:rPr>
                      <w:rFonts w:hint="default" w:cs="Times New Roman"/>
                      <w:color w:val="auto"/>
                      <w:kern w:val="0"/>
                      <w:sz w:val="18"/>
                      <w:szCs w:val="18"/>
                      <w:lang w:val="en-US" w:eastAsia="zh-CN" w:bidi="ar"/>
                    </w:rPr>
                  </w:pPr>
                  <w:r>
                    <w:rPr>
                      <w:rFonts w:hint="eastAsia" w:cs="Times New Roman"/>
                      <w:color w:val="auto"/>
                      <w:kern w:val="0"/>
                      <w:sz w:val="18"/>
                      <w:szCs w:val="18"/>
                      <w:lang w:eastAsia="zh-CN" w:bidi="ar"/>
                    </w:rPr>
                    <w:t>2</w:t>
                  </w:r>
                  <w:r>
                    <w:rPr>
                      <w:rFonts w:hint="eastAsia" w:cs="Times New Roman"/>
                      <w:color w:val="auto"/>
                      <w:kern w:val="0"/>
                      <w:sz w:val="18"/>
                      <w:szCs w:val="18"/>
                      <w:lang w:val="en-US" w:eastAsia="zh-CN" w:bidi="ar"/>
                    </w:rPr>
                    <w:t>8</w:t>
                  </w:r>
                  <w:r>
                    <w:rPr>
                      <w:rFonts w:hint="eastAsia" w:cs="Times New Roman"/>
                      <w:color w:val="auto"/>
                      <w:kern w:val="0"/>
                      <w:sz w:val="18"/>
                      <w:szCs w:val="18"/>
                      <w:lang w:eastAsia="zh-CN" w:bidi="ar"/>
                    </w:rPr>
                    <w:t>.0</w:t>
                  </w:r>
                </w:p>
              </w:tc>
              <w:tc>
                <w:tcPr>
                  <w:tcW w:w="330" w:type="pct"/>
                  <w:vMerge w:val="continue"/>
                  <w:vAlign w:val="center"/>
                </w:tcPr>
                <w:p w14:paraId="336E2BBA">
                  <w:pPr>
                    <w:widowControl/>
                    <w:jc w:val="center"/>
                    <w:textAlignment w:val="center"/>
                    <w:rPr>
                      <w:rFonts w:hint="eastAsia" w:ascii="宋体" w:hAnsi="宋体" w:eastAsia="宋体" w:cs="宋体"/>
                      <w:color w:val="auto"/>
                      <w:kern w:val="0"/>
                      <w:szCs w:val="21"/>
                      <w:lang w:bidi="ar"/>
                    </w:rPr>
                  </w:pPr>
                </w:p>
              </w:tc>
            </w:tr>
            <w:tr w14:paraId="28031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4" w:type="pct"/>
                  <w:shd w:val="clear" w:color="auto" w:fill="auto"/>
                  <w:vAlign w:val="center"/>
                </w:tcPr>
                <w:p w14:paraId="0045FC22">
                  <w:pPr>
                    <w:widowControl/>
                    <w:adjustRightInd w:val="0"/>
                    <w:snapToGrid w:val="0"/>
                    <w:jc w:val="center"/>
                    <w:rPr>
                      <w:rFonts w:hint="default" w:ascii="Times New Roman" w:hAnsi="Times New Roman" w:eastAsia="等线" w:cs="Times New Roman"/>
                      <w:color w:val="auto"/>
                      <w:kern w:val="2"/>
                      <w:sz w:val="18"/>
                      <w:szCs w:val="18"/>
                      <w:lang w:val="en-US" w:eastAsia="zh-CN" w:bidi="ar-SA"/>
                    </w:rPr>
                  </w:pPr>
                  <w:r>
                    <w:rPr>
                      <w:rFonts w:hint="eastAsia" w:eastAsia="等线" w:cs="Times New Roman"/>
                      <w:color w:val="auto"/>
                      <w:kern w:val="2"/>
                      <w:sz w:val="18"/>
                      <w:szCs w:val="18"/>
                      <w:lang w:val="en-US" w:eastAsia="zh-CN" w:bidi="ar-SA"/>
                    </w:rPr>
                    <w:t>8</w:t>
                  </w:r>
                </w:p>
              </w:tc>
              <w:tc>
                <w:tcPr>
                  <w:tcW w:w="705" w:type="pct"/>
                  <w:vAlign w:val="center"/>
                </w:tcPr>
                <w:p w14:paraId="75DCC73C">
                  <w:pPr>
                    <w:widowControl/>
                    <w:jc w:val="center"/>
                    <w:textAlignment w:val="center"/>
                    <w:rPr>
                      <w:rFonts w:hint="default" w:ascii="Times New Roman" w:hAnsi="Times New Roman" w:eastAsia="宋体" w:cs="Times New Roman"/>
                      <w:color w:val="auto"/>
                      <w:kern w:val="0"/>
                      <w:sz w:val="18"/>
                      <w:szCs w:val="18"/>
                      <w:lang w:eastAsia="zh-CN" w:bidi="ar"/>
                    </w:rPr>
                  </w:pPr>
                  <w:r>
                    <w:rPr>
                      <w:rFonts w:hint="eastAsia" w:cs="Times New Roman"/>
                      <w:color w:val="auto"/>
                      <w:kern w:val="0"/>
                      <w:sz w:val="18"/>
                      <w:szCs w:val="18"/>
                      <w:lang w:eastAsia="zh-CN" w:bidi="ar"/>
                    </w:rPr>
                    <w:t>鱼皮切断机</w:t>
                  </w:r>
                </w:p>
              </w:tc>
              <w:tc>
                <w:tcPr>
                  <w:tcW w:w="262" w:type="pct"/>
                  <w:vAlign w:val="center"/>
                </w:tcPr>
                <w:p w14:paraId="11759083">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w:t>
                  </w:r>
                </w:p>
              </w:tc>
              <w:tc>
                <w:tcPr>
                  <w:tcW w:w="434" w:type="pct"/>
                  <w:shd w:val="clear" w:color="auto" w:fill="auto"/>
                  <w:vAlign w:val="center"/>
                </w:tcPr>
                <w:p w14:paraId="7CF1CEB0">
                  <w:pPr>
                    <w:widowControl/>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color w:val="auto"/>
                      <w:kern w:val="0"/>
                      <w:sz w:val="18"/>
                      <w:szCs w:val="18"/>
                      <w:lang w:val="en-US" w:eastAsia="zh-CN" w:bidi="ar"/>
                    </w:rPr>
                    <w:t>60~</w:t>
                  </w:r>
                  <w:r>
                    <w:rPr>
                      <w:color w:val="auto"/>
                      <w:kern w:val="0"/>
                      <w:sz w:val="18"/>
                      <w:szCs w:val="18"/>
                      <w:lang w:bidi="ar"/>
                    </w:rPr>
                    <w:t>70</w:t>
                  </w:r>
                  <w:r>
                    <w:rPr>
                      <w:rFonts w:hint="default"/>
                      <w:bCs/>
                      <w:color w:val="auto"/>
                      <w:kern w:val="0"/>
                      <w:sz w:val="18"/>
                      <w:szCs w:val="18"/>
                      <w:lang w:bidi="en-US"/>
                    </w:rPr>
                    <w:t>/1</w:t>
                  </w:r>
                </w:p>
              </w:tc>
              <w:tc>
                <w:tcPr>
                  <w:tcW w:w="293" w:type="pct"/>
                  <w:vMerge w:val="continue"/>
                  <w:shd w:val="clear" w:color="auto" w:fill="auto"/>
                  <w:vAlign w:val="center"/>
                </w:tcPr>
                <w:p w14:paraId="3AD5914B">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05F264CA">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106</w:t>
                  </w:r>
                </w:p>
              </w:tc>
              <w:tc>
                <w:tcPr>
                  <w:tcW w:w="295" w:type="pct"/>
                  <w:shd w:val="clear" w:color="auto" w:fill="auto"/>
                  <w:vAlign w:val="center"/>
                </w:tcPr>
                <w:p w14:paraId="19861505">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hint="eastAsia"/>
                      <w:color w:val="auto"/>
                      <w:kern w:val="0"/>
                      <w:sz w:val="18"/>
                      <w:szCs w:val="18"/>
                      <w:lang w:val="en-US" w:eastAsia="zh-CN" w:bidi="ar"/>
                    </w:rPr>
                    <w:t>127</w:t>
                  </w:r>
                </w:p>
              </w:tc>
              <w:tc>
                <w:tcPr>
                  <w:tcW w:w="310" w:type="pct"/>
                  <w:shd w:val="clear" w:color="auto" w:fill="auto"/>
                  <w:vAlign w:val="center"/>
                </w:tcPr>
                <w:p w14:paraId="07692D87">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w:t>
                  </w:r>
                  <w:r>
                    <w:rPr>
                      <w:rFonts w:hint="eastAsia"/>
                      <w:bCs/>
                      <w:color w:val="auto"/>
                      <w:kern w:val="0"/>
                      <w:sz w:val="18"/>
                      <w:szCs w:val="18"/>
                      <w:lang w:val="en-US" w:eastAsia="zh-CN" w:bidi="en-US"/>
                    </w:rPr>
                    <w:t>0</w:t>
                  </w:r>
                  <w:r>
                    <w:rPr>
                      <w:rFonts w:hint="eastAsia"/>
                      <w:bCs/>
                      <w:color w:val="auto"/>
                      <w:kern w:val="0"/>
                      <w:sz w:val="18"/>
                      <w:szCs w:val="18"/>
                      <w:lang w:bidi="en-US"/>
                    </w:rPr>
                    <w:t>.5</w:t>
                  </w:r>
                </w:p>
              </w:tc>
              <w:tc>
                <w:tcPr>
                  <w:tcW w:w="343" w:type="pct"/>
                  <w:shd w:val="clear" w:color="auto" w:fill="auto"/>
                  <w:vAlign w:val="center"/>
                </w:tcPr>
                <w:p w14:paraId="6B927DE7">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西</w:t>
                  </w:r>
                  <w:r>
                    <w:rPr>
                      <w:rFonts w:hint="eastAsia"/>
                      <w:bCs/>
                      <w:color w:val="auto"/>
                      <w:kern w:val="0"/>
                      <w:sz w:val="18"/>
                      <w:szCs w:val="18"/>
                      <w:lang w:bidi="en-US"/>
                    </w:rPr>
                    <w:t>10</w:t>
                  </w:r>
                </w:p>
              </w:tc>
              <w:tc>
                <w:tcPr>
                  <w:tcW w:w="353" w:type="pct"/>
                  <w:shd w:val="clear" w:color="auto" w:fill="auto"/>
                  <w:vAlign w:val="center"/>
                </w:tcPr>
                <w:p w14:paraId="3070A66D">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50.0</w:t>
                  </w:r>
                </w:p>
              </w:tc>
              <w:tc>
                <w:tcPr>
                  <w:tcW w:w="433" w:type="pct"/>
                  <w:vMerge w:val="continue"/>
                  <w:shd w:val="clear" w:color="auto" w:fill="auto"/>
                  <w:vAlign w:val="center"/>
                </w:tcPr>
                <w:p w14:paraId="4C722199">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04F5F6BC">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5" w:type="pct"/>
                  <w:shd w:val="clear" w:color="auto" w:fill="auto"/>
                  <w:vAlign w:val="center"/>
                </w:tcPr>
                <w:p w14:paraId="4D7DA9A7">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25.0</w:t>
                  </w:r>
                </w:p>
              </w:tc>
              <w:tc>
                <w:tcPr>
                  <w:tcW w:w="330" w:type="pct"/>
                  <w:vMerge w:val="continue"/>
                  <w:vAlign w:val="center"/>
                </w:tcPr>
                <w:p w14:paraId="7BAB2733">
                  <w:pPr>
                    <w:widowControl/>
                    <w:jc w:val="center"/>
                    <w:textAlignment w:val="center"/>
                    <w:rPr>
                      <w:rFonts w:hint="eastAsia" w:ascii="宋体" w:hAnsi="宋体" w:eastAsia="宋体" w:cs="宋体"/>
                      <w:color w:val="auto"/>
                      <w:kern w:val="0"/>
                      <w:szCs w:val="21"/>
                      <w:lang w:bidi="ar"/>
                    </w:rPr>
                  </w:pPr>
                </w:p>
              </w:tc>
            </w:tr>
          </w:tbl>
          <w:p w14:paraId="250C2118">
            <w:pPr>
              <w:widowControl/>
              <w:adjustRightInd w:val="0"/>
              <w:snapToGrid w:val="0"/>
              <w:rPr>
                <w:bCs/>
                <w:color w:val="auto"/>
                <w:kern w:val="0"/>
                <w:sz w:val="18"/>
                <w:szCs w:val="18"/>
                <w:lang w:bidi="en-US"/>
              </w:rPr>
            </w:pPr>
            <w:r>
              <w:rPr>
                <w:bCs/>
                <w:color w:val="auto"/>
                <w:kern w:val="0"/>
                <w:sz w:val="18"/>
                <w:szCs w:val="18"/>
                <w:lang w:bidi="en-US"/>
              </w:rPr>
              <w:t>*注：</w:t>
            </w:r>
            <w:r>
              <w:rPr>
                <w:color w:val="auto"/>
                <w:kern w:val="0"/>
                <w:sz w:val="18"/>
                <w:szCs w:val="18"/>
              </w:rPr>
              <w:t>空间坐标以厂界西</w:t>
            </w:r>
            <w:r>
              <w:rPr>
                <w:rFonts w:hint="eastAsia"/>
                <w:color w:val="auto"/>
                <w:kern w:val="0"/>
                <w:sz w:val="18"/>
                <w:szCs w:val="18"/>
                <w:lang w:val="en-US" w:eastAsia="zh-CN"/>
              </w:rPr>
              <w:t>南</w:t>
            </w:r>
            <w:r>
              <w:rPr>
                <w:color w:val="auto"/>
                <w:kern w:val="0"/>
                <w:sz w:val="18"/>
                <w:szCs w:val="18"/>
              </w:rPr>
              <w:t>角为原点</w:t>
            </w:r>
            <w:r>
              <w:rPr>
                <w:bCs/>
                <w:color w:val="auto"/>
                <w:kern w:val="0"/>
                <w:sz w:val="18"/>
                <w:szCs w:val="18"/>
                <w:lang w:bidi="en-US"/>
              </w:rPr>
              <w:t>（0,0,0）点。</w:t>
            </w:r>
          </w:p>
          <w:p w14:paraId="71FB472E">
            <w:pPr>
              <w:widowControl/>
              <w:adjustRightInd w:val="0"/>
              <w:snapToGrid w:val="0"/>
              <w:spacing w:before="120" w:beforeLines="50" w:line="360" w:lineRule="auto"/>
              <w:ind w:firstLine="482" w:firstLineChars="200"/>
              <w:jc w:val="left"/>
              <w:rPr>
                <w:b/>
                <w:color w:val="auto"/>
                <w:kern w:val="0"/>
                <w:sz w:val="24"/>
                <w:lang w:bidi="en-US"/>
              </w:rPr>
            </w:pPr>
            <w:r>
              <w:rPr>
                <w:b/>
                <w:color w:val="auto"/>
                <w:kern w:val="0"/>
                <w:sz w:val="24"/>
                <w:lang w:bidi="en-US"/>
              </w:rPr>
              <w:t>3.2噪声预测</w:t>
            </w:r>
          </w:p>
          <w:p w14:paraId="45497FC2">
            <w:pPr>
              <w:widowControl/>
              <w:adjustRightInd w:val="0"/>
              <w:snapToGrid w:val="0"/>
              <w:spacing w:line="360" w:lineRule="auto"/>
              <w:ind w:left="17" w:firstLine="472" w:firstLineChars="197"/>
              <w:jc w:val="left"/>
              <w:rPr>
                <w:rFonts w:hint="eastAsia" w:hAnsiTheme="minorEastAsia" w:eastAsiaTheme="minorEastAsia"/>
                <w:color w:val="auto"/>
                <w:kern w:val="0"/>
                <w:sz w:val="24"/>
              </w:rPr>
            </w:pPr>
            <w:r>
              <w:rPr>
                <w:rFonts w:hAnsiTheme="minorEastAsia" w:eastAsiaTheme="minorEastAsia"/>
                <w:color w:val="auto"/>
                <w:sz w:val="24"/>
              </w:rPr>
              <w:t>根据</w:t>
            </w:r>
            <w:r>
              <w:rPr>
                <w:rFonts w:hint="eastAsia" w:hAnsiTheme="minorEastAsia" w:eastAsiaTheme="minorEastAsia"/>
                <w:color w:val="auto"/>
                <w:sz w:val="24"/>
              </w:rPr>
              <w:t>其</w:t>
            </w:r>
            <w:r>
              <w:rPr>
                <w:rFonts w:hAnsiTheme="minorEastAsia" w:eastAsiaTheme="minorEastAsia"/>
                <w:color w:val="auto"/>
                <w:sz w:val="24"/>
              </w:rPr>
              <w:t>建设内容及《环境影响评价技术导则声环境》（</w:t>
            </w:r>
            <w:r>
              <w:rPr>
                <w:rFonts w:eastAsiaTheme="minorEastAsia"/>
                <w:color w:val="auto"/>
                <w:sz w:val="24"/>
              </w:rPr>
              <w:t>HJ2.4-2021</w:t>
            </w:r>
            <w:r>
              <w:rPr>
                <w:rFonts w:hAnsiTheme="minorEastAsia" w:eastAsiaTheme="minorEastAsia"/>
                <w:color w:val="auto"/>
                <w:sz w:val="24"/>
              </w:rPr>
              <w:t>）</w:t>
            </w:r>
            <w:r>
              <w:rPr>
                <w:rFonts w:hint="eastAsia" w:hAnsiTheme="minorEastAsia" w:eastAsiaTheme="minorEastAsia"/>
                <w:color w:val="auto"/>
                <w:sz w:val="24"/>
              </w:rPr>
              <w:t>的要求</w:t>
            </w:r>
            <w:r>
              <w:rPr>
                <w:rFonts w:hAnsiTheme="minorEastAsia" w:eastAsiaTheme="minorEastAsia"/>
                <w:color w:val="auto"/>
                <w:sz w:val="24"/>
              </w:rPr>
              <w:t>，</w:t>
            </w:r>
            <w:r>
              <w:rPr>
                <w:rFonts w:hint="eastAsia" w:hAnsiTheme="minorEastAsia" w:eastAsiaTheme="minorEastAsia"/>
                <w:color w:val="auto"/>
                <w:sz w:val="24"/>
              </w:rPr>
              <w:t>项目</w:t>
            </w:r>
            <w:r>
              <w:rPr>
                <w:rFonts w:hAnsiTheme="minorEastAsia" w:eastAsiaTheme="minorEastAsia"/>
                <w:color w:val="auto"/>
                <w:sz w:val="24"/>
              </w:rPr>
              <w:t>采用</w:t>
            </w:r>
            <w:r>
              <w:rPr>
                <w:rFonts w:hint="eastAsia" w:hAnsiTheme="minorEastAsia" w:eastAsiaTheme="minorEastAsia"/>
                <w:color w:val="auto"/>
                <w:sz w:val="24"/>
              </w:rPr>
              <w:t>的</w:t>
            </w:r>
            <w:r>
              <w:rPr>
                <w:rFonts w:hAnsiTheme="minorEastAsia" w:eastAsiaTheme="minorEastAsia"/>
                <w:color w:val="auto"/>
                <w:sz w:val="24"/>
              </w:rPr>
              <w:t>模型为《环境影响评价技术导则声环境》</w:t>
            </w:r>
            <w:r>
              <w:rPr>
                <w:rFonts w:hint="eastAsia" w:eastAsiaTheme="minorEastAsia"/>
                <w:color w:val="auto"/>
                <w:sz w:val="24"/>
              </w:rPr>
              <w:t>（</w:t>
            </w:r>
            <w:r>
              <w:rPr>
                <w:rFonts w:eastAsiaTheme="minorEastAsia"/>
                <w:color w:val="auto"/>
                <w:sz w:val="24"/>
              </w:rPr>
              <w:t>HJ2.4-2021</w:t>
            </w:r>
            <w:r>
              <w:rPr>
                <w:rFonts w:hint="eastAsia" w:eastAsiaTheme="minorEastAsia"/>
                <w:color w:val="auto"/>
                <w:sz w:val="24"/>
              </w:rPr>
              <w:t>）</w:t>
            </w:r>
            <w:r>
              <w:rPr>
                <w:rFonts w:hAnsiTheme="minorEastAsia" w:eastAsiaTheme="minorEastAsia"/>
                <w:color w:val="auto"/>
                <w:sz w:val="24"/>
              </w:rPr>
              <w:t>附录</w:t>
            </w:r>
            <w:r>
              <w:rPr>
                <w:rFonts w:eastAsiaTheme="minorEastAsia"/>
                <w:color w:val="auto"/>
                <w:sz w:val="24"/>
              </w:rPr>
              <w:t>A</w:t>
            </w:r>
            <w:r>
              <w:rPr>
                <w:rFonts w:hAnsiTheme="minorEastAsia" w:eastAsiaTheme="minorEastAsia"/>
                <w:color w:val="auto"/>
                <w:sz w:val="24"/>
              </w:rPr>
              <w:t>（规范性附录）户外声传播的衰减和附录</w:t>
            </w:r>
            <w:r>
              <w:rPr>
                <w:rFonts w:eastAsiaTheme="minorEastAsia"/>
                <w:color w:val="auto"/>
                <w:sz w:val="24"/>
              </w:rPr>
              <w:t>B</w:t>
            </w:r>
            <w:r>
              <w:rPr>
                <w:rFonts w:hAnsiTheme="minorEastAsia" w:eastAsiaTheme="minorEastAsia"/>
                <w:color w:val="auto"/>
                <w:sz w:val="24"/>
              </w:rPr>
              <w:t>（规范性附录）中</w:t>
            </w:r>
            <w:r>
              <w:rPr>
                <w:rFonts w:eastAsiaTheme="minorEastAsia"/>
                <w:color w:val="auto"/>
                <w:sz w:val="24"/>
              </w:rPr>
              <w:t>“B.1</w:t>
            </w:r>
            <w:r>
              <w:rPr>
                <w:rFonts w:hAnsiTheme="minorEastAsia" w:eastAsiaTheme="minorEastAsia"/>
                <w:color w:val="auto"/>
                <w:sz w:val="24"/>
              </w:rPr>
              <w:t>工业噪声预测计算模型</w:t>
            </w:r>
            <w:r>
              <w:rPr>
                <w:rFonts w:eastAsiaTheme="minorEastAsia"/>
                <w:color w:val="auto"/>
                <w:sz w:val="24"/>
              </w:rPr>
              <w:t>”</w:t>
            </w:r>
            <w:r>
              <w:rPr>
                <w:rFonts w:hAnsiTheme="minorEastAsia" w:eastAsiaTheme="minorEastAsia"/>
                <w:color w:val="auto"/>
                <w:sz w:val="24"/>
              </w:rPr>
              <w:t>。</w:t>
            </w:r>
            <w:r>
              <w:rPr>
                <w:rFonts w:hint="eastAsia" w:hAnsiTheme="minorEastAsia" w:eastAsiaTheme="minorEastAsia"/>
                <w:color w:val="auto"/>
                <w:sz w:val="24"/>
              </w:rPr>
              <w:t>建设项目厂界</w:t>
            </w:r>
            <w:r>
              <w:rPr>
                <w:rFonts w:hint="eastAsia" w:hAnsiTheme="minorEastAsia" w:eastAsiaTheme="minorEastAsia"/>
                <w:color w:val="auto"/>
                <w:sz w:val="24"/>
                <w:lang w:val="en-US" w:eastAsia="zh-CN"/>
              </w:rPr>
              <w:t>四周</w:t>
            </w:r>
            <w:r>
              <w:rPr>
                <w:rFonts w:hint="eastAsia" w:hAnsiTheme="minorEastAsia" w:eastAsiaTheme="minorEastAsia"/>
                <w:color w:val="auto"/>
                <w:sz w:val="24"/>
              </w:rPr>
              <w:t>进行噪声预测。建设项目厂房边界</w:t>
            </w:r>
            <w:r>
              <w:rPr>
                <w:rFonts w:hAnsiTheme="minorEastAsia" w:eastAsiaTheme="minorEastAsia"/>
                <w:color w:val="auto"/>
                <w:kern w:val="0"/>
                <w:sz w:val="24"/>
              </w:rPr>
              <w:t>噪声预测结果见下表。</w:t>
            </w:r>
          </w:p>
          <w:p w14:paraId="719D562E">
            <w:pPr>
              <w:autoSpaceDE w:val="0"/>
              <w:autoSpaceDN w:val="0"/>
              <w:snapToGrid w:val="0"/>
              <w:jc w:val="center"/>
              <w:rPr>
                <w:b/>
                <w:color w:val="auto"/>
                <w:kern w:val="0"/>
                <w:sz w:val="24"/>
              </w:rPr>
            </w:pPr>
            <w:r>
              <w:rPr>
                <w:b/>
                <w:color w:val="auto"/>
                <w:kern w:val="0"/>
                <w:sz w:val="24"/>
              </w:rPr>
              <w:t>表4</w:t>
            </w:r>
            <w:r>
              <w:rPr>
                <w:rFonts w:hint="eastAsia"/>
                <w:b/>
                <w:color w:val="auto"/>
                <w:kern w:val="0"/>
                <w:sz w:val="24"/>
                <w:lang w:val="en-US" w:eastAsia="zh-CN"/>
              </w:rPr>
              <w:t>-18</w:t>
            </w:r>
            <w:r>
              <w:rPr>
                <w:b/>
                <w:color w:val="auto"/>
                <w:kern w:val="0"/>
                <w:sz w:val="24"/>
              </w:rPr>
              <w:t xml:space="preserve">  </w:t>
            </w:r>
            <w:r>
              <w:rPr>
                <w:rFonts w:hint="eastAsia"/>
                <w:b/>
                <w:color w:val="auto"/>
                <w:kern w:val="0"/>
                <w:sz w:val="24"/>
              </w:rPr>
              <w:t>厂房边界</w:t>
            </w:r>
            <w:r>
              <w:rPr>
                <w:b/>
                <w:color w:val="auto"/>
                <w:spacing w:val="-3"/>
                <w:kern w:val="0"/>
                <w:sz w:val="24"/>
              </w:rPr>
              <w:t>噪</w:t>
            </w:r>
            <w:r>
              <w:rPr>
                <w:b/>
                <w:color w:val="auto"/>
                <w:kern w:val="0"/>
                <w:sz w:val="24"/>
              </w:rPr>
              <w:t>声</w:t>
            </w:r>
            <w:r>
              <w:rPr>
                <w:b/>
                <w:color w:val="auto"/>
                <w:spacing w:val="-3"/>
                <w:kern w:val="0"/>
                <w:sz w:val="24"/>
              </w:rPr>
              <w:t>贡献值结</w:t>
            </w:r>
            <w:r>
              <w:rPr>
                <w:b/>
                <w:color w:val="auto"/>
                <w:kern w:val="0"/>
                <w:sz w:val="24"/>
              </w:rPr>
              <w:t>果</w:t>
            </w:r>
            <w:r>
              <w:rPr>
                <w:b/>
                <w:color w:val="auto"/>
                <w:spacing w:val="-3"/>
                <w:kern w:val="0"/>
                <w:sz w:val="24"/>
              </w:rPr>
              <w:t>与</w:t>
            </w:r>
            <w:r>
              <w:rPr>
                <w:b/>
                <w:color w:val="auto"/>
                <w:kern w:val="0"/>
                <w:sz w:val="24"/>
              </w:rPr>
              <w:t>达标</w:t>
            </w:r>
            <w:r>
              <w:rPr>
                <w:b/>
                <w:color w:val="auto"/>
                <w:spacing w:val="-3"/>
                <w:kern w:val="0"/>
                <w:sz w:val="24"/>
              </w:rPr>
              <w:t>分</w:t>
            </w:r>
            <w:r>
              <w:rPr>
                <w:b/>
                <w:color w:val="auto"/>
                <w:kern w:val="0"/>
                <w:sz w:val="24"/>
              </w:rPr>
              <w:t>析表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1065"/>
              <w:gridCol w:w="1068"/>
              <w:gridCol w:w="1065"/>
              <w:gridCol w:w="1071"/>
              <w:gridCol w:w="1071"/>
              <w:gridCol w:w="1062"/>
            </w:tblGrid>
            <w:tr w14:paraId="434B9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23" w:type="pct"/>
                  <w:vMerge w:val="restart"/>
                  <w:vAlign w:val="center"/>
                </w:tcPr>
                <w:p w14:paraId="7E9962B4">
                  <w:pPr>
                    <w:widowControl/>
                    <w:adjustRightInd w:val="0"/>
                    <w:snapToGrid w:val="0"/>
                    <w:jc w:val="center"/>
                    <w:rPr>
                      <w:b/>
                      <w:color w:val="auto"/>
                      <w:sz w:val="18"/>
                      <w:szCs w:val="18"/>
                    </w:rPr>
                  </w:pPr>
                  <w:r>
                    <w:rPr>
                      <w:b/>
                      <w:color w:val="auto"/>
                      <w:sz w:val="18"/>
                      <w:szCs w:val="18"/>
                    </w:rPr>
                    <w:t>预测方位</w:t>
                  </w:r>
                </w:p>
              </w:tc>
              <w:tc>
                <w:tcPr>
                  <w:tcW w:w="1873" w:type="pct"/>
                  <w:gridSpan w:val="3"/>
                  <w:vAlign w:val="center"/>
                </w:tcPr>
                <w:p w14:paraId="3C3A4D7A">
                  <w:pPr>
                    <w:widowControl/>
                    <w:adjustRightInd w:val="0"/>
                    <w:snapToGrid w:val="0"/>
                    <w:jc w:val="center"/>
                    <w:rPr>
                      <w:b/>
                      <w:color w:val="auto"/>
                      <w:sz w:val="18"/>
                      <w:szCs w:val="18"/>
                    </w:rPr>
                  </w:pPr>
                  <w:r>
                    <w:rPr>
                      <w:b/>
                      <w:color w:val="auto"/>
                      <w:sz w:val="18"/>
                      <w:szCs w:val="18"/>
                    </w:rPr>
                    <w:t>空间相对位置*/m</w:t>
                  </w:r>
                </w:p>
              </w:tc>
              <w:tc>
                <w:tcPr>
                  <w:tcW w:w="624" w:type="pct"/>
                  <w:vMerge w:val="restart"/>
                  <w:vAlign w:val="center"/>
                </w:tcPr>
                <w:p w14:paraId="135A7AE1">
                  <w:pPr>
                    <w:widowControl/>
                    <w:adjustRightInd w:val="0"/>
                    <w:snapToGrid w:val="0"/>
                    <w:jc w:val="center"/>
                    <w:rPr>
                      <w:b/>
                      <w:color w:val="auto"/>
                      <w:sz w:val="18"/>
                      <w:szCs w:val="18"/>
                    </w:rPr>
                  </w:pPr>
                  <w:r>
                    <w:rPr>
                      <w:b/>
                      <w:color w:val="auto"/>
                      <w:sz w:val="18"/>
                      <w:szCs w:val="18"/>
                    </w:rPr>
                    <w:t>时段</w:t>
                  </w:r>
                </w:p>
              </w:tc>
              <w:tc>
                <w:tcPr>
                  <w:tcW w:w="628" w:type="pct"/>
                  <w:vMerge w:val="restart"/>
                  <w:vAlign w:val="center"/>
                </w:tcPr>
                <w:p w14:paraId="4C153E31">
                  <w:pPr>
                    <w:widowControl/>
                    <w:adjustRightInd w:val="0"/>
                    <w:snapToGrid w:val="0"/>
                    <w:jc w:val="center"/>
                    <w:rPr>
                      <w:b/>
                      <w:color w:val="auto"/>
                      <w:sz w:val="18"/>
                      <w:szCs w:val="18"/>
                    </w:rPr>
                  </w:pPr>
                  <w:r>
                    <w:rPr>
                      <w:b/>
                      <w:color w:val="auto"/>
                      <w:sz w:val="18"/>
                      <w:szCs w:val="18"/>
                    </w:rPr>
                    <w:t>贡献值（dB（A））</w:t>
                  </w:r>
                </w:p>
              </w:tc>
              <w:tc>
                <w:tcPr>
                  <w:tcW w:w="628" w:type="pct"/>
                  <w:vMerge w:val="restart"/>
                  <w:vAlign w:val="center"/>
                </w:tcPr>
                <w:p w14:paraId="51EB3983">
                  <w:pPr>
                    <w:widowControl/>
                    <w:adjustRightInd w:val="0"/>
                    <w:snapToGrid w:val="0"/>
                    <w:jc w:val="center"/>
                    <w:rPr>
                      <w:b/>
                      <w:color w:val="auto"/>
                      <w:sz w:val="18"/>
                      <w:szCs w:val="18"/>
                    </w:rPr>
                  </w:pPr>
                  <w:r>
                    <w:rPr>
                      <w:b/>
                      <w:color w:val="auto"/>
                      <w:sz w:val="18"/>
                      <w:szCs w:val="18"/>
                    </w:rPr>
                    <w:t>标准限值（dB（A））</w:t>
                  </w:r>
                </w:p>
              </w:tc>
              <w:tc>
                <w:tcPr>
                  <w:tcW w:w="622" w:type="pct"/>
                  <w:vMerge w:val="restart"/>
                  <w:vAlign w:val="center"/>
                </w:tcPr>
                <w:p w14:paraId="7DAA041B">
                  <w:pPr>
                    <w:widowControl/>
                    <w:adjustRightInd w:val="0"/>
                    <w:snapToGrid w:val="0"/>
                    <w:jc w:val="center"/>
                    <w:rPr>
                      <w:b/>
                      <w:color w:val="auto"/>
                      <w:sz w:val="18"/>
                      <w:szCs w:val="18"/>
                    </w:rPr>
                  </w:pPr>
                  <w:r>
                    <w:rPr>
                      <w:b/>
                      <w:color w:val="auto"/>
                      <w:sz w:val="18"/>
                      <w:szCs w:val="18"/>
                    </w:rPr>
                    <w:t>达标情况</w:t>
                  </w:r>
                </w:p>
              </w:tc>
            </w:tr>
            <w:tr w14:paraId="578B2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23" w:type="pct"/>
                  <w:vMerge w:val="continue"/>
                  <w:vAlign w:val="center"/>
                </w:tcPr>
                <w:p w14:paraId="01AC5851">
                  <w:pPr>
                    <w:widowControl/>
                    <w:adjustRightInd w:val="0"/>
                    <w:snapToGrid w:val="0"/>
                    <w:jc w:val="center"/>
                    <w:rPr>
                      <w:color w:val="auto"/>
                    </w:rPr>
                  </w:pPr>
                </w:p>
              </w:tc>
              <w:tc>
                <w:tcPr>
                  <w:tcW w:w="623" w:type="pct"/>
                  <w:vAlign w:val="center"/>
                </w:tcPr>
                <w:p w14:paraId="0B9961FB">
                  <w:pPr>
                    <w:jc w:val="center"/>
                    <w:rPr>
                      <w:b/>
                      <w:bCs/>
                      <w:color w:val="auto"/>
                      <w:sz w:val="18"/>
                      <w:szCs w:val="18"/>
                    </w:rPr>
                  </w:pPr>
                  <w:r>
                    <w:rPr>
                      <w:b/>
                      <w:bCs/>
                      <w:color w:val="auto"/>
                      <w:sz w:val="18"/>
                      <w:szCs w:val="18"/>
                    </w:rPr>
                    <w:t>X</w:t>
                  </w:r>
                </w:p>
              </w:tc>
              <w:tc>
                <w:tcPr>
                  <w:tcW w:w="624" w:type="pct"/>
                  <w:vAlign w:val="center"/>
                </w:tcPr>
                <w:p w14:paraId="1C17371B">
                  <w:pPr>
                    <w:jc w:val="center"/>
                    <w:rPr>
                      <w:b/>
                      <w:bCs/>
                      <w:color w:val="auto"/>
                      <w:sz w:val="18"/>
                      <w:szCs w:val="18"/>
                    </w:rPr>
                  </w:pPr>
                  <w:r>
                    <w:rPr>
                      <w:b/>
                      <w:bCs/>
                      <w:color w:val="auto"/>
                      <w:sz w:val="18"/>
                      <w:szCs w:val="18"/>
                    </w:rPr>
                    <w:t>Y</w:t>
                  </w:r>
                </w:p>
              </w:tc>
              <w:tc>
                <w:tcPr>
                  <w:tcW w:w="625" w:type="pct"/>
                  <w:vAlign w:val="center"/>
                </w:tcPr>
                <w:p w14:paraId="2D88FD4A">
                  <w:pPr>
                    <w:jc w:val="center"/>
                    <w:rPr>
                      <w:b/>
                      <w:bCs/>
                      <w:color w:val="auto"/>
                      <w:sz w:val="18"/>
                      <w:szCs w:val="18"/>
                    </w:rPr>
                  </w:pPr>
                  <w:r>
                    <w:rPr>
                      <w:b/>
                      <w:bCs/>
                      <w:color w:val="auto"/>
                      <w:sz w:val="18"/>
                      <w:szCs w:val="18"/>
                    </w:rPr>
                    <w:t>Z</w:t>
                  </w:r>
                </w:p>
              </w:tc>
              <w:tc>
                <w:tcPr>
                  <w:tcW w:w="624" w:type="pct"/>
                  <w:vMerge w:val="continue"/>
                  <w:vAlign w:val="center"/>
                </w:tcPr>
                <w:p w14:paraId="6090E02A">
                  <w:pPr>
                    <w:widowControl/>
                    <w:adjustRightInd w:val="0"/>
                    <w:snapToGrid w:val="0"/>
                    <w:jc w:val="center"/>
                    <w:rPr>
                      <w:b/>
                      <w:color w:val="auto"/>
                      <w:sz w:val="18"/>
                      <w:szCs w:val="18"/>
                    </w:rPr>
                  </w:pPr>
                </w:p>
              </w:tc>
              <w:tc>
                <w:tcPr>
                  <w:tcW w:w="628" w:type="pct"/>
                  <w:vMerge w:val="continue"/>
                  <w:vAlign w:val="center"/>
                </w:tcPr>
                <w:p w14:paraId="53F3FF1B">
                  <w:pPr>
                    <w:widowControl/>
                    <w:adjustRightInd w:val="0"/>
                    <w:snapToGrid w:val="0"/>
                    <w:jc w:val="center"/>
                    <w:rPr>
                      <w:b/>
                      <w:color w:val="auto"/>
                      <w:sz w:val="18"/>
                      <w:szCs w:val="18"/>
                    </w:rPr>
                  </w:pPr>
                </w:p>
              </w:tc>
              <w:tc>
                <w:tcPr>
                  <w:tcW w:w="628" w:type="pct"/>
                  <w:vMerge w:val="continue"/>
                  <w:vAlign w:val="center"/>
                </w:tcPr>
                <w:p w14:paraId="3DCCB60E">
                  <w:pPr>
                    <w:widowControl/>
                    <w:adjustRightInd w:val="0"/>
                    <w:snapToGrid w:val="0"/>
                    <w:jc w:val="center"/>
                    <w:rPr>
                      <w:b/>
                      <w:color w:val="auto"/>
                      <w:sz w:val="18"/>
                      <w:szCs w:val="18"/>
                    </w:rPr>
                  </w:pPr>
                </w:p>
              </w:tc>
              <w:tc>
                <w:tcPr>
                  <w:tcW w:w="622" w:type="pct"/>
                  <w:vMerge w:val="continue"/>
                  <w:vAlign w:val="center"/>
                </w:tcPr>
                <w:p w14:paraId="011197C1">
                  <w:pPr>
                    <w:widowControl/>
                    <w:adjustRightInd w:val="0"/>
                    <w:snapToGrid w:val="0"/>
                    <w:jc w:val="center"/>
                    <w:rPr>
                      <w:b/>
                      <w:color w:val="auto"/>
                      <w:sz w:val="18"/>
                      <w:szCs w:val="18"/>
                    </w:rPr>
                  </w:pPr>
                </w:p>
              </w:tc>
            </w:tr>
            <w:tr w14:paraId="5A6AA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7167C3E7">
                  <w:pPr>
                    <w:widowControl/>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东侧</w:t>
                  </w:r>
                </w:p>
              </w:tc>
              <w:tc>
                <w:tcPr>
                  <w:tcW w:w="623" w:type="pct"/>
                  <w:vAlign w:val="center"/>
                </w:tcPr>
                <w:p w14:paraId="298C8AB6">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196.5</w:t>
                  </w:r>
                </w:p>
              </w:tc>
              <w:tc>
                <w:tcPr>
                  <w:tcW w:w="624" w:type="pct"/>
                  <w:vAlign w:val="center"/>
                </w:tcPr>
                <w:p w14:paraId="181E7350">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85</w:t>
                  </w:r>
                </w:p>
              </w:tc>
              <w:tc>
                <w:tcPr>
                  <w:tcW w:w="625" w:type="pct"/>
                  <w:vAlign w:val="center"/>
                </w:tcPr>
                <w:p w14:paraId="426B6F52">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624" w:type="pct"/>
                  <w:vAlign w:val="center"/>
                </w:tcPr>
                <w:p w14:paraId="25281116">
                  <w:pPr>
                    <w:widowControl/>
                    <w:adjustRightInd w:val="0"/>
                    <w:snapToGrid w:val="0"/>
                    <w:jc w:val="center"/>
                    <w:rPr>
                      <w:color w:val="auto"/>
                      <w:sz w:val="18"/>
                      <w:szCs w:val="18"/>
                    </w:rPr>
                  </w:pPr>
                  <w:r>
                    <w:rPr>
                      <w:color w:val="auto"/>
                      <w:sz w:val="18"/>
                      <w:szCs w:val="18"/>
                    </w:rPr>
                    <w:t>昼间</w:t>
                  </w:r>
                </w:p>
              </w:tc>
              <w:tc>
                <w:tcPr>
                  <w:tcW w:w="628" w:type="pct"/>
                  <w:vAlign w:val="center"/>
                </w:tcPr>
                <w:p w14:paraId="7410D680">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41.3</w:t>
                  </w:r>
                </w:p>
              </w:tc>
              <w:tc>
                <w:tcPr>
                  <w:tcW w:w="628" w:type="pct"/>
                  <w:shd w:val="clear" w:color="auto" w:fill="auto"/>
                  <w:vAlign w:val="center"/>
                </w:tcPr>
                <w:p w14:paraId="0FE79F51">
                  <w:pPr>
                    <w:widowControl/>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6</w:t>
                  </w:r>
                  <w:r>
                    <w:rPr>
                      <w:color w:val="auto"/>
                      <w:sz w:val="18"/>
                      <w:szCs w:val="18"/>
                    </w:rPr>
                    <w:t>5</w:t>
                  </w:r>
                </w:p>
              </w:tc>
              <w:tc>
                <w:tcPr>
                  <w:tcW w:w="622" w:type="pct"/>
                  <w:shd w:val="clear" w:color="auto" w:fill="auto"/>
                  <w:vAlign w:val="center"/>
                </w:tcPr>
                <w:p w14:paraId="4B450C1F">
                  <w:pPr>
                    <w:widowControl/>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达标</w:t>
                  </w:r>
                </w:p>
              </w:tc>
            </w:tr>
            <w:tr w14:paraId="21590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35870E75">
                  <w:pPr>
                    <w:widowControl/>
                    <w:adjustRightInd w:val="0"/>
                    <w:snapToGrid w:val="0"/>
                    <w:jc w:val="center"/>
                    <w:rPr>
                      <w:color w:val="auto"/>
                      <w:sz w:val="18"/>
                      <w:szCs w:val="18"/>
                    </w:rPr>
                  </w:pPr>
                  <w:r>
                    <w:rPr>
                      <w:rFonts w:hint="eastAsia"/>
                      <w:color w:val="auto"/>
                      <w:sz w:val="18"/>
                      <w:szCs w:val="18"/>
                    </w:rPr>
                    <w:t>南侧</w:t>
                  </w:r>
                </w:p>
              </w:tc>
              <w:tc>
                <w:tcPr>
                  <w:tcW w:w="623" w:type="pct"/>
                  <w:vAlign w:val="center"/>
                </w:tcPr>
                <w:p w14:paraId="67F78364">
                  <w:pPr>
                    <w:widowControl/>
                    <w:adjustRightInd w:val="0"/>
                    <w:snapToGrid w:val="0"/>
                    <w:jc w:val="center"/>
                    <w:rPr>
                      <w:color w:val="auto"/>
                      <w:sz w:val="18"/>
                      <w:szCs w:val="18"/>
                    </w:rPr>
                  </w:pPr>
                  <w:r>
                    <w:rPr>
                      <w:rFonts w:hint="eastAsia"/>
                      <w:color w:val="auto"/>
                      <w:sz w:val="18"/>
                      <w:szCs w:val="18"/>
                      <w:lang w:val="en-US" w:eastAsia="zh-CN"/>
                    </w:rPr>
                    <w:t>1</w:t>
                  </w:r>
                  <w:r>
                    <w:rPr>
                      <w:rFonts w:hint="eastAsia"/>
                      <w:color w:val="auto"/>
                      <w:sz w:val="18"/>
                      <w:szCs w:val="18"/>
                    </w:rPr>
                    <w:t>97.5</w:t>
                  </w:r>
                </w:p>
              </w:tc>
              <w:tc>
                <w:tcPr>
                  <w:tcW w:w="624" w:type="pct"/>
                  <w:vAlign w:val="center"/>
                </w:tcPr>
                <w:p w14:paraId="4654B7D0">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65</w:t>
                  </w:r>
                </w:p>
              </w:tc>
              <w:tc>
                <w:tcPr>
                  <w:tcW w:w="625" w:type="pct"/>
                  <w:vAlign w:val="center"/>
                </w:tcPr>
                <w:p w14:paraId="1FC49F4F">
                  <w:pPr>
                    <w:widowControl/>
                    <w:adjustRightInd w:val="0"/>
                    <w:snapToGrid w:val="0"/>
                    <w:jc w:val="center"/>
                    <w:rPr>
                      <w:color w:val="auto"/>
                      <w:sz w:val="18"/>
                      <w:szCs w:val="18"/>
                    </w:rPr>
                  </w:pPr>
                  <w:r>
                    <w:rPr>
                      <w:color w:val="auto"/>
                      <w:sz w:val="18"/>
                      <w:szCs w:val="18"/>
                    </w:rPr>
                    <w:t>5.5</w:t>
                  </w:r>
                </w:p>
              </w:tc>
              <w:tc>
                <w:tcPr>
                  <w:tcW w:w="624" w:type="pct"/>
                  <w:vAlign w:val="center"/>
                </w:tcPr>
                <w:p w14:paraId="2687E897">
                  <w:pPr>
                    <w:widowControl/>
                    <w:adjustRightInd w:val="0"/>
                    <w:snapToGrid w:val="0"/>
                    <w:jc w:val="center"/>
                    <w:rPr>
                      <w:color w:val="auto"/>
                      <w:sz w:val="18"/>
                      <w:szCs w:val="18"/>
                    </w:rPr>
                  </w:pPr>
                  <w:r>
                    <w:rPr>
                      <w:color w:val="auto"/>
                      <w:sz w:val="18"/>
                      <w:szCs w:val="18"/>
                    </w:rPr>
                    <w:t>昼间</w:t>
                  </w:r>
                </w:p>
              </w:tc>
              <w:tc>
                <w:tcPr>
                  <w:tcW w:w="628" w:type="pct"/>
                  <w:vAlign w:val="center"/>
                </w:tcPr>
                <w:p w14:paraId="75B3628B">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43.4</w:t>
                  </w:r>
                </w:p>
              </w:tc>
              <w:tc>
                <w:tcPr>
                  <w:tcW w:w="628" w:type="pct"/>
                  <w:vAlign w:val="center"/>
                </w:tcPr>
                <w:p w14:paraId="360B5434">
                  <w:pPr>
                    <w:widowControl/>
                    <w:adjustRightInd w:val="0"/>
                    <w:snapToGrid w:val="0"/>
                    <w:jc w:val="center"/>
                    <w:rPr>
                      <w:color w:val="auto"/>
                      <w:sz w:val="18"/>
                      <w:szCs w:val="18"/>
                    </w:rPr>
                  </w:pPr>
                  <w:r>
                    <w:rPr>
                      <w:rFonts w:hint="eastAsia"/>
                      <w:color w:val="auto"/>
                      <w:sz w:val="18"/>
                      <w:szCs w:val="18"/>
                    </w:rPr>
                    <w:t>6</w:t>
                  </w:r>
                  <w:r>
                    <w:rPr>
                      <w:color w:val="auto"/>
                      <w:sz w:val="18"/>
                      <w:szCs w:val="18"/>
                    </w:rPr>
                    <w:t>5</w:t>
                  </w:r>
                </w:p>
              </w:tc>
              <w:tc>
                <w:tcPr>
                  <w:tcW w:w="622" w:type="pct"/>
                  <w:vAlign w:val="center"/>
                </w:tcPr>
                <w:p w14:paraId="5C204897">
                  <w:pPr>
                    <w:widowControl/>
                    <w:adjustRightInd w:val="0"/>
                    <w:snapToGrid w:val="0"/>
                    <w:jc w:val="center"/>
                    <w:rPr>
                      <w:color w:val="auto"/>
                      <w:sz w:val="18"/>
                      <w:szCs w:val="18"/>
                    </w:rPr>
                  </w:pPr>
                  <w:r>
                    <w:rPr>
                      <w:color w:val="auto"/>
                      <w:sz w:val="18"/>
                      <w:szCs w:val="18"/>
                    </w:rPr>
                    <w:t>达标</w:t>
                  </w:r>
                </w:p>
              </w:tc>
            </w:tr>
            <w:tr w14:paraId="313F8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1838096E">
                  <w:pPr>
                    <w:widowControl/>
                    <w:adjustRightInd w:val="0"/>
                    <w:snapToGrid w:val="0"/>
                    <w:jc w:val="center"/>
                    <w:rPr>
                      <w:color w:val="auto"/>
                      <w:sz w:val="18"/>
                      <w:szCs w:val="18"/>
                    </w:rPr>
                  </w:pPr>
                  <w:r>
                    <w:rPr>
                      <w:rFonts w:hint="eastAsia"/>
                      <w:color w:val="auto"/>
                      <w:sz w:val="18"/>
                      <w:szCs w:val="18"/>
                    </w:rPr>
                    <w:t>西侧</w:t>
                  </w:r>
                </w:p>
              </w:tc>
              <w:tc>
                <w:tcPr>
                  <w:tcW w:w="623" w:type="pct"/>
                  <w:vAlign w:val="center"/>
                </w:tcPr>
                <w:p w14:paraId="67922190">
                  <w:pPr>
                    <w:widowControl/>
                    <w:adjustRightInd w:val="0"/>
                    <w:snapToGrid w:val="0"/>
                    <w:jc w:val="center"/>
                    <w:rPr>
                      <w:color w:val="auto"/>
                      <w:sz w:val="18"/>
                      <w:szCs w:val="18"/>
                    </w:rPr>
                  </w:pPr>
                  <w:r>
                    <w:rPr>
                      <w:rFonts w:hint="eastAsia"/>
                      <w:color w:val="auto"/>
                      <w:sz w:val="18"/>
                      <w:szCs w:val="18"/>
                      <w:lang w:val="en-US" w:eastAsia="zh-CN"/>
                    </w:rPr>
                    <w:t>12</w:t>
                  </w:r>
                  <w:r>
                    <w:rPr>
                      <w:rFonts w:hint="eastAsia"/>
                      <w:color w:val="auto"/>
                      <w:sz w:val="18"/>
                      <w:szCs w:val="18"/>
                    </w:rPr>
                    <w:t>1.5</w:t>
                  </w:r>
                </w:p>
              </w:tc>
              <w:tc>
                <w:tcPr>
                  <w:tcW w:w="624" w:type="pct"/>
                  <w:vAlign w:val="center"/>
                </w:tcPr>
                <w:p w14:paraId="691D406B">
                  <w:pPr>
                    <w:widowControl/>
                    <w:adjustRightInd w:val="0"/>
                    <w:snapToGrid w:val="0"/>
                    <w:jc w:val="center"/>
                    <w:rPr>
                      <w:color w:val="auto"/>
                      <w:sz w:val="18"/>
                      <w:szCs w:val="18"/>
                    </w:rPr>
                  </w:pPr>
                  <w:r>
                    <w:rPr>
                      <w:rFonts w:hint="eastAsia"/>
                      <w:color w:val="auto"/>
                      <w:sz w:val="18"/>
                      <w:szCs w:val="18"/>
                    </w:rPr>
                    <w:t>85</w:t>
                  </w:r>
                </w:p>
              </w:tc>
              <w:tc>
                <w:tcPr>
                  <w:tcW w:w="625" w:type="pct"/>
                  <w:vAlign w:val="center"/>
                </w:tcPr>
                <w:p w14:paraId="01C240D6">
                  <w:pPr>
                    <w:widowControl/>
                    <w:adjustRightInd w:val="0"/>
                    <w:snapToGrid w:val="0"/>
                    <w:jc w:val="center"/>
                    <w:rPr>
                      <w:color w:val="auto"/>
                      <w:sz w:val="18"/>
                      <w:szCs w:val="18"/>
                    </w:rPr>
                  </w:pPr>
                  <w:r>
                    <w:rPr>
                      <w:color w:val="auto"/>
                      <w:sz w:val="18"/>
                      <w:szCs w:val="18"/>
                    </w:rPr>
                    <w:t>5.5</w:t>
                  </w:r>
                </w:p>
              </w:tc>
              <w:tc>
                <w:tcPr>
                  <w:tcW w:w="624" w:type="pct"/>
                  <w:vAlign w:val="center"/>
                </w:tcPr>
                <w:p w14:paraId="23D7DAAE">
                  <w:pPr>
                    <w:widowControl/>
                    <w:adjustRightInd w:val="0"/>
                    <w:snapToGrid w:val="0"/>
                    <w:jc w:val="center"/>
                    <w:rPr>
                      <w:color w:val="auto"/>
                      <w:sz w:val="18"/>
                      <w:szCs w:val="18"/>
                    </w:rPr>
                  </w:pPr>
                  <w:r>
                    <w:rPr>
                      <w:color w:val="auto"/>
                      <w:sz w:val="18"/>
                      <w:szCs w:val="18"/>
                    </w:rPr>
                    <w:t>昼间</w:t>
                  </w:r>
                </w:p>
              </w:tc>
              <w:tc>
                <w:tcPr>
                  <w:tcW w:w="628" w:type="pct"/>
                  <w:vAlign w:val="center"/>
                </w:tcPr>
                <w:p w14:paraId="5F6EA49C">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35.8</w:t>
                  </w:r>
                </w:p>
              </w:tc>
              <w:tc>
                <w:tcPr>
                  <w:tcW w:w="628" w:type="pct"/>
                  <w:vAlign w:val="center"/>
                </w:tcPr>
                <w:p w14:paraId="1CB2E92C">
                  <w:pPr>
                    <w:widowControl/>
                    <w:adjustRightInd w:val="0"/>
                    <w:snapToGrid w:val="0"/>
                    <w:jc w:val="center"/>
                    <w:rPr>
                      <w:color w:val="auto"/>
                      <w:sz w:val="18"/>
                      <w:szCs w:val="18"/>
                    </w:rPr>
                  </w:pPr>
                  <w:r>
                    <w:rPr>
                      <w:rFonts w:hint="eastAsia"/>
                      <w:color w:val="auto"/>
                      <w:sz w:val="18"/>
                      <w:szCs w:val="18"/>
                    </w:rPr>
                    <w:t>6</w:t>
                  </w:r>
                  <w:r>
                    <w:rPr>
                      <w:color w:val="auto"/>
                      <w:sz w:val="18"/>
                      <w:szCs w:val="18"/>
                    </w:rPr>
                    <w:t>5</w:t>
                  </w:r>
                </w:p>
              </w:tc>
              <w:tc>
                <w:tcPr>
                  <w:tcW w:w="622" w:type="pct"/>
                  <w:vAlign w:val="center"/>
                </w:tcPr>
                <w:p w14:paraId="1D720349">
                  <w:pPr>
                    <w:widowControl/>
                    <w:adjustRightInd w:val="0"/>
                    <w:snapToGrid w:val="0"/>
                    <w:jc w:val="center"/>
                    <w:rPr>
                      <w:color w:val="auto"/>
                      <w:sz w:val="18"/>
                      <w:szCs w:val="18"/>
                    </w:rPr>
                  </w:pPr>
                  <w:r>
                    <w:rPr>
                      <w:color w:val="auto"/>
                      <w:sz w:val="18"/>
                      <w:szCs w:val="18"/>
                    </w:rPr>
                    <w:t>达标</w:t>
                  </w:r>
                </w:p>
              </w:tc>
            </w:tr>
            <w:tr w14:paraId="2E414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78CB7EBB">
                  <w:pPr>
                    <w:widowControl/>
                    <w:adjustRightInd w:val="0"/>
                    <w:snapToGrid w:val="0"/>
                    <w:jc w:val="center"/>
                    <w:rPr>
                      <w:color w:val="auto"/>
                      <w:sz w:val="18"/>
                      <w:szCs w:val="18"/>
                    </w:rPr>
                  </w:pPr>
                  <w:r>
                    <w:rPr>
                      <w:rFonts w:hint="eastAsia"/>
                      <w:color w:val="auto"/>
                      <w:sz w:val="18"/>
                      <w:szCs w:val="18"/>
                    </w:rPr>
                    <w:t>北侧</w:t>
                  </w:r>
                </w:p>
              </w:tc>
              <w:tc>
                <w:tcPr>
                  <w:tcW w:w="623" w:type="pct"/>
                  <w:vAlign w:val="center"/>
                </w:tcPr>
                <w:p w14:paraId="691748AC">
                  <w:pPr>
                    <w:widowControl/>
                    <w:adjustRightInd w:val="0"/>
                    <w:snapToGrid w:val="0"/>
                    <w:jc w:val="center"/>
                    <w:rPr>
                      <w:color w:val="auto"/>
                      <w:sz w:val="18"/>
                      <w:szCs w:val="18"/>
                    </w:rPr>
                  </w:pPr>
                  <w:r>
                    <w:rPr>
                      <w:rFonts w:hint="eastAsia"/>
                      <w:color w:val="auto"/>
                      <w:sz w:val="18"/>
                      <w:szCs w:val="18"/>
                      <w:lang w:val="en-US" w:eastAsia="zh-CN"/>
                    </w:rPr>
                    <w:t>1</w:t>
                  </w:r>
                  <w:r>
                    <w:rPr>
                      <w:rFonts w:hint="eastAsia"/>
                      <w:color w:val="auto"/>
                      <w:sz w:val="18"/>
                      <w:szCs w:val="18"/>
                    </w:rPr>
                    <w:t>97.5</w:t>
                  </w:r>
                </w:p>
              </w:tc>
              <w:tc>
                <w:tcPr>
                  <w:tcW w:w="624" w:type="pct"/>
                  <w:vAlign w:val="center"/>
                </w:tcPr>
                <w:p w14:paraId="0F0E4462">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91</w:t>
                  </w:r>
                </w:p>
              </w:tc>
              <w:tc>
                <w:tcPr>
                  <w:tcW w:w="625" w:type="pct"/>
                  <w:vAlign w:val="center"/>
                </w:tcPr>
                <w:p w14:paraId="5609F780">
                  <w:pPr>
                    <w:widowControl/>
                    <w:adjustRightInd w:val="0"/>
                    <w:snapToGrid w:val="0"/>
                    <w:jc w:val="center"/>
                    <w:rPr>
                      <w:color w:val="auto"/>
                      <w:sz w:val="18"/>
                      <w:szCs w:val="18"/>
                    </w:rPr>
                  </w:pPr>
                  <w:r>
                    <w:rPr>
                      <w:color w:val="auto"/>
                      <w:sz w:val="18"/>
                      <w:szCs w:val="18"/>
                    </w:rPr>
                    <w:t>5.5</w:t>
                  </w:r>
                </w:p>
              </w:tc>
              <w:tc>
                <w:tcPr>
                  <w:tcW w:w="624" w:type="pct"/>
                  <w:vAlign w:val="center"/>
                </w:tcPr>
                <w:p w14:paraId="49C49855">
                  <w:pPr>
                    <w:widowControl/>
                    <w:adjustRightInd w:val="0"/>
                    <w:snapToGrid w:val="0"/>
                    <w:jc w:val="center"/>
                    <w:rPr>
                      <w:color w:val="auto"/>
                      <w:sz w:val="18"/>
                      <w:szCs w:val="18"/>
                    </w:rPr>
                  </w:pPr>
                  <w:r>
                    <w:rPr>
                      <w:color w:val="auto"/>
                      <w:sz w:val="18"/>
                      <w:szCs w:val="18"/>
                    </w:rPr>
                    <w:t>昼间</w:t>
                  </w:r>
                </w:p>
              </w:tc>
              <w:tc>
                <w:tcPr>
                  <w:tcW w:w="628" w:type="pct"/>
                  <w:vAlign w:val="center"/>
                </w:tcPr>
                <w:p w14:paraId="03B0F98D">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33.7</w:t>
                  </w:r>
                </w:p>
              </w:tc>
              <w:tc>
                <w:tcPr>
                  <w:tcW w:w="628" w:type="pct"/>
                  <w:vAlign w:val="center"/>
                </w:tcPr>
                <w:p w14:paraId="6A180B3E">
                  <w:pPr>
                    <w:widowControl/>
                    <w:adjustRightInd w:val="0"/>
                    <w:snapToGrid w:val="0"/>
                    <w:jc w:val="center"/>
                    <w:rPr>
                      <w:color w:val="auto"/>
                      <w:sz w:val="18"/>
                      <w:szCs w:val="18"/>
                    </w:rPr>
                  </w:pPr>
                  <w:r>
                    <w:rPr>
                      <w:rFonts w:hint="eastAsia"/>
                      <w:color w:val="auto"/>
                      <w:sz w:val="18"/>
                      <w:szCs w:val="18"/>
                    </w:rPr>
                    <w:t>6</w:t>
                  </w:r>
                  <w:r>
                    <w:rPr>
                      <w:color w:val="auto"/>
                      <w:sz w:val="18"/>
                      <w:szCs w:val="18"/>
                    </w:rPr>
                    <w:t>5</w:t>
                  </w:r>
                </w:p>
              </w:tc>
              <w:tc>
                <w:tcPr>
                  <w:tcW w:w="622" w:type="pct"/>
                  <w:vAlign w:val="center"/>
                </w:tcPr>
                <w:p w14:paraId="4AA4A466">
                  <w:pPr>
                    <w:widowControl/>
                    <w:adjustRightInd w:val="0"/>
                    <w:snapToGrid w:val="0"/>
                    <w:jc w:val="center"/>
                    <w:rPr>
                      <w:color w:val="auto"/>
                      <w:sz w:val="18"/>
                      <w:szCs w:val="18"/>
                    </w:rPr>
                  </w:pPr>
                  <w:r>
                    <w:rPr>
                      <w:color w:val="auto"/>
                      <w:sz w:val="18"/>
                      <w:szCs w:val="18"/>
                    </w:rPr>
                    <w:t>达标</w:t>
                  </w:r>
                </w:p>
              </w:tc>
            </w:tr>
            <w:tr w14:paraId="26AAC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14:paraId="55FAE039">
                  <w:pPr>
                    <w:widowControl/>
                    <w:adjustRightInd w:val="0"/>
                    <w:snapToGrid w:val="0"/>
                    <w:jc w:val="center"/>
                    <w:rPr>
                      <w:rFonts w:hint="eastAsia"/>
                      <w:color w:val="auto"/>
                      <w:sz w:val="18"/>
                      <w:szCs w:val="18"/>
                    </w:rPr>
                  </w:pPr>
                  <w:r>
                    <w:rPr>
                      <w:rFonts w:hint="eastAsia"/>
                      <w:color w:val="auto"/>
                      <w:sz w:val="18"/>
                      <w:szCs w:val="18"/>
                      <w:lang w:val="en-US" w:eastAsia="zh-CN"/>
                    </w:rPr>
                    <w:t>东侧</w:t>
                  </w:r>
                </w:p>
              </w:tc>
              <w:tc>
                <w:tcPr>
                  <w:tcW w:w="1571" w:type="dxa"/>
                  <w:vAlign w:val="center"/>
                </w:tcPr>
                <w:p w14:paraId="580A3C06">
                  <w:pPr>
                    <w:widowControl/>
                    <w:adjustRightInd w:val="0"/>
                    <w:snapToGrid w:val="0"/>
                    <w:jc w:val="center"/>
                    <w:rPr>
                      <w:rFonts w:hint="eastAsia"/>
                      <w:color w:val="auto"/>
                      <w:sz w:val="18"/>
                      <w:szCs w:val="18"/>
                    </w:rPr>
                  </w:pPr>
                  <w:r>
                    <w:rPr>
                      <w:rFonts w:hint="eastAsia"/>
                      <w:color w:val="auto"/>
                      <w:sz w:val="18"/>
                      <w:szCs w:val="18"/>
                      <w:lang w:val="en-US" w:eastAsia="zh-CN"/>
                    </w:rPr>
                    <w:t>196.5</w:t>
                  </w:r>
                </w:p>
              </w:tc>
              <w:tc>
                <w:tcPr>
                  <w:tcW w:w="1574" w:type="dxa"/>
                  <w:vAlign w:val="center"/>
                </w:tcPr>
                <w:p w14:paraId="38CBE7C4">
                  <w:pPr>
                    <w:widowControl/>
                    <w:adjustRightInd w:val="0"/>
                    <w:snapToGrid w:val="0"/>
                    <w:jc w:val="center"/>
                    <w:rPr>
                      <w:rFonts w:hint="eastAsia"/>
                      <w:color w:val="auto"/>
                      <w:sz w:val="18"/>
                      <w:szCs w:val="18"/>
                    </w:rPr>
                  </w:pPr>
                  <w:r>
                    <w:rPr>
                      <w:rFonts w:hint="eastAsia"/>
                      <w:color w:val="auto"/>
                      <w:sz w:val="18"/>
                      <w:szCs w:val="18"/>
                      <w:lang w:val="en-US" w:eastAsia="zh-CN"/>
                    </w:rPr>
                    <w:t>85</w:t>
                  </w:r>
                </w:p>
              </w:tc>
              <w:tc>
                <w:tcPr>
                  <w:tcW w:w="1579" w:type="dxa"/>
                  <w:vAlign w:val="center"/>
                </w:tcPr>
                <w:p w14:paraId="1775C4EC">
                  <w:pPr>
                    <w:widowControl/>
                    <w:adjustRightInd w:val="0"/>
                    <w:snapToGrid w:val="0"/>
                    <w:jc w:val="center"/>
                    <w:rPr>
                      <w:color w:val="auto"/>
                      <w:sz w:val="18"/>
                      <w:szCs w:val="18"/>
                    </w:rPr>
                  </w:pPr>
                  <w:r>
                    <w:rPr>
                      <w:rFonts w:hint="eastAsia"/>
                      <w:color w:val="auto"/>
                      <w:sz w:val="18"/>
                      <w:szCs w:val="18"/>
                      <w:lang w:val="en-US" w:eastAsia="zh-CN"/>
                    </w:rPr>
                    <w:t>5.5</w:t>
                  </w:r>
                </w:p>
              </w:tc>
              <w:tc>
                <w:tcPr>
                  <w:tcW w:w="624" w:type="pct"/>
                  <w:vAlign w:val="center"/>
                </w:tcPr>
                <w:p w14:paraId="282F52C6">
                  <w:pPr>
                    <w:widowControl/>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夜间</w:t>
                  </w:r>
                </w:p>
              </w:tc>
              <w:tc>
                <w:tcPr>
                  <w:tcW w:w="628" w:type="pct"/>
                  <w:vAlign w:val="center"/>
                </w:tcPr>
                <w:p w14:paraId="7868FD79">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21.4</w:t>
                  </w:r>
                </w:p>
              </w:tc>
              <w:tc>
                <w:tcPr>
                  <w:tcW w:w="628" w:type="pct"/>
                  <w:vAlign w:val="center"/>
                </w:tcPr>
                <w:p w14:paraId="4CB52F6C">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1569" w:type="dxa"/>
                  <w:vAlign w:val="center"/>
                </w:tcPr>
                <w:p w14:paraId="1EE30056">
                  <w:pPr>
                    <w:widowControl/>
                    <w:adjustRightInd w:val="0"/>
                    <w:snapToGrid w:val="0"/>
                    <w:jc w:val="center"/>
                    <w:rPr>
                      <w:color w:val="auto"/>
                      <w:sz w:val="18"/>
                      <w:szCs w:val="18"/>
                    </w:rPr>
                  </w:pPr>
                  <w:r>
                    <w:rPr>
                      <w:color w:val="auto"/>
                      <w:sz w:val="18"/>
                      <w:szCs w:val="18"/>
                    </w:rPr>
                    <w:t>达标</w:t>
                  </w:r>
                </w:p>
              </w:tc>
            </w:tr>
            <w:tr w14:paraId="64A71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14:paraId="2D356B3D">
                  <w:pPr>
                    <w:widowControl/>
                    <w:adjustRightInd w:val="0"/>
                    <w:snapToGrid w:val="0"/>
                    <w:jc w:val="center"/>
                    <w:rPr>
                      <w:rFonts w:hint="eastAsia"/>
                      <w:color w:val="auto"/>
                      <w:sz w:val="18"/>
                      <w:szCs w:val="18"/>
                    </w:rPr>
                  </w:pPr>
                  <w:r>
                    <w:rPr>
                      <w:rFonts w:hint="eastAsia"/>
                      <w:color w:val="auto"/>
                      <w:sz w:val="18"/>
                      <w:szCs w:val="18"/>
                    </w:rPr>
                    <w:t>南侧</w:t>
                  </w:r>
                </w:p>
              </w:tc>
              <w:tc>
                <w:tcPr>
                  <w:tcW w:w="1571" w:type="dxa"/>
                  <w:vAlign w:val="center"/>
                </w:tcPr>
                <w:p w14:paraId="4994D937">
                  <w:pPr>
                    <w:widowControl/>
                    <w:adjustRightInd w:val="0"/>
                    <w:snapToGrid w:val="0"/>
                    <w:jc w:val="center"/>
                    <w:rPr>
                      <w:rFonts w:hint="eastAsia"/>
                      <w:color w:val="auto"/>
                      <w:sz w:val="18"/>
                      <w:szCs w:val="18"/>
                    </w:rPr>
                  </w:pPr>
                  <w:r>
                    <w:rPr>
                      <w:rFonts w:hint="eastAsia"/>
                      <w:color w:val="auto"/>
                      <w:sz w:val="18"/>
                      <w:szCs w:val="18"/>
                      <w:lang w:val="en-US" w:eastAsia="zh-CN"/>
                    </w:rPr>
                    <w:t>1</w:t>
                  </w:r>
                  <w:r>
                    <w:rPr>
                      <w:rFonts w:hint="eastAsia"/>
                      <w:color w:val="auto"/>
                      <w:sz w:val="18"/>
                      <w:szCs w:val="18"/>
                    </w:rPr>
                    <w:t>97.5</w:t>
                  </w:r>
                </w:p>
              </w:tc>
              <w:tc>
                <w:tcPr>
                  <w:tcW w:w="1574" w:type="dxa"/>
                  <w:vAlign w:val="center"/>
                </w:tcPr>
                <w:p w14:paraId="246A2B5C">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62</w:t>
                  </w:r>
                </w:p>
              </w:tc>
              <w:tc>
                <w:tcPr>
                  <w:tcW w:w="1579" w:type="dxa"/>
                  <w:vAlign w:val="center"/>
                </w:tcPr>
                <w:p w14:paraId="6EFB564A">
                  <w:pPr>
                    <w:widowControl/>
                    <w:adjustRightInd w:val="0"/>
                    <w:snapToGrid w:val="0"/>
                    <w:jc w:val="center"/>
                    <w:rPr>
                      <w:color w:val="auto"/>
                      <w:sz w:val="18"/>
                      <w:szCs w:val="18"/>
                    </w:rPr>
                  </w:pPr>
                  <w:r>
                    <w:rPr>
                      <w:color w:val="auto"/>
                      <w:sz w:val="18"/>
                      <w:szCs w:val="18"/>
                    </w:rPr>
                    <w:t>5.5</w:t>
                  </w:r>
                </w:p>
              </w:tc>
              <w:tc>
                <w:tcPr>
                  <w:tcW w:w="624" w:type="pct"/>
                  <w:vAlign w:val="center"/>
                </w:tcPr>
                <w:p w14:paraId="589B81C7">
                  <w:pPr>
                    <w:widowControl/>
                    <w:adjustRightInd w:val="0"/>
                    <w:snapToGrid w:val="0"/>
                    <w:jc w:val="center"/>
                    <w:rPr>
                      <w:color w:val="auto"/>
                      <w:sz w:val="18"/>
                      <w:szCs w:val="18"/>
                    </w:rPr>
                  </w:pPr>
                  <w:r>
                    <w:rPr>
                      <w:rFonts w:hint="eastAsia"/>
                      <w:color w:val="auto"/>
                      <w:sz w:val="18"/>
                      <w:szCs w:val="18"/>
                      <w:lang w:val="en-US" w:eastAsia="zh-CN"/>
                    </w:rPr>
                    <w:t>夜间</w:t>
                  </w:r>
                </w:p>
              </w:tc>
              <w:tc>
                <w:tcPr>
                  <w:tcW w:w="628" w:type="pct"/>
                  <w:vAlign w:val="center"/>
                </w:tcPr>
                <w:p w14:paraId="4439B48C">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21.5</w:t>
                  </w:r>
                </w:p>
              </w:tc>
              <w:tc>
                <w:tcPr>
                  <w:tcW w:w="628" w:type="pct"/>
                  <w:vAlign w:val="center"/>
                </w:tcPr>
                <w:p w14:paraId="6A8DA2BF">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1569" w:type="dxa"/>
                  <w:vAlign w:val="center"/>
                </w:tcPr>
                <w:p w14:paraId="688F668D">
                  <w:pPr>
                    <w:widowControl/>
                    <w:adjustRightInd w:val="0"/>
                    <w:snapToGrid w:val="0"/>
                    <w:jc w:val="center"/>
                    <w:rPr>
                      <w:color w:val="auto"/>
                      <w:sz w:val="18"/>
                      <w:szCs w:val="18"/>
                    </w:rPr>
                  </w:pPr>
                  <w:r>
                    <w:rPr>
                      <w:color w:val="auto"/>
                      <w:sz w:val="18"/>
                      <w:szCs w:val="18"/>
                    </w:rPr>
                    <w:t>达标</w:t>
                  </w:r>
                </w:p>
              </w:tc>
            </w:tr>
            <w:tr w14:paraId="65FF4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14:paraId="05133DBC">
                  <w:pPr>
                    <w:widowControl/>
                    <w:adjustRightInd w:val="0"/>
                    <w:snapToGrid w:val="0"/>
                    <w:jc w:val="center"/>
                    <w:rPr>
                      <w:rFonts w:hint="eastAsia"/>
                      <w:color w:val="auto"/>
                      <w:sz w:val="18"/>
                      <w:szCs w:val="18"/>
                    </w:rPr>
                  </w:pPr>
                  <w:r>
                    <w:rPr>
                      <w:rFonts w:hint="eastAsia"/>
                      <w:color w:val="auto"/>
                      <w:sz w:val="18"/>
                      <w:szCs w:val="18"/>
                    </w:rPr>
                    <w:t>西侧</w:t>
                  </w:r>
                </w:p>
              </w:tc>
              <w:tc>
                <w:tcPr>
                  <w:tcW w:w="1571" w:type="dxa"/>
                  <w:vAlign w:val="center"/>
                </w:tcPr>
                <w:p w14:paraId="484BBEC2">
                  <w:pPr>
                    <w:widowControl/>
                    <w:adjustRightInd w:val="0"/>
                    <w:snapToGrid w:val="0"/>
                    <w:jc w:val="center"/>
                    <w:rPr>
                      <w:rFonts w:hint="eastAsia"/>
                      <w:color w:val="auto"/>
                      <w:sz w:val="18"/>
                      <w:szCs w:val="18"/>
                    </w:rPr>
                  </w:pPr>
                  <w:r>
                    <w:rPr>
                      <w:rFonts w:hint="eastAsia"/>
                      <w:color w:val="auto"/>
                      <w:sz w:val="18"/>
                      <w:szCs w:val="18"/>
                      <w:lang w:val="en-US" w:eastAsia="zh-CN"/>
                    </w:rPr>
                    <w:t>12</w:t>
                  </w:r>
                  <w:r>
                    <w:rPr>
                      <w:rFonts w:hint="eastAsia"/>
                      <w:color w:val="auto"/>
                      <w:sz w:val="18"/>
                      <w:szCs w:val="18"/>
                    </w:rPr>
                    <w:t>1.5</w:t>
                  </w:r>
                </w:p>
              </w:tc>
              <w:tc>
                <w:tcPr>
                  <w:tcW w:w="1574" w:type="dxa"/>
                  <w:vAlign w:val="center"/>
                </w:tcPr>
                <w:p w14:paraId="0A3F427C">
                  <w:pPr>
                    <w:widowControl/>
                    <w:adjustRightInd w:val="0"/>
                    <w:snapToGrid w:val="0"/>
                    <w:jc w:val="center"/>
                    <w:rPr>
                      <w:rFonts w:hint="eastAsia"/>
                      <w:color w:val="auto"/>
                      <w:sz w:val="18"/>
                      <w:szCs w:val="18"/>
                    </w:rPr>
                  </w:pPr>
                  <w:r>
                    <w:rPr>
                      <w:rFonts w:hint="eastAsia"/>
                      <w:color w:val="auto"/>
                      <w:sz w:val="18"/>
                      <w:szCs w:val="18"/>
                    </w:rPr>
                    <w:t>85</w:t>
                  </w:r>
                </w:p>
              </w:tc>
              <w:tc>
                <w:tcPr>
                  <w:tcW w:w="1579" w:type="dxa"/>
                  <w:vAlign w:val="center"/>
                </w:tcPr>
                <w:p w14:paraId="236F4E9C">
                  <w:pPr>
                    <w:widowControl/>
                    <w:adjustRightInd w:val="0"/>
                    <w:snapToGrid w:val="0"/>
                    <w:jc w:val="center"/>
                    <w:rPr>
                      <w:color w:val="auto"/>
                      <w:sz w:val="18"/>
                      <w:szCs w:val="18"/>
                    </w:rPr>
                  </w:pPr>
                  <w:r>
                    <w:rPr>
                      <w:color w:val="auto"/>
                      <w:sz w:val="18"/>
                      <w:szCs w:val="18"/>
                    </w:rPr>
                    <w:t>5.5</w:t>
                  </w:r>
                </w:p>
              </w:tc>
              <w:tc>
                <w:tcPr>
                  <w:tcW w:w="624" w:type="pct"/>
                  <w:vAlign w:val="center"/>
                </w:tcPr>
                <w:p w14:paraId="1BE2C781">
                  <w:pPr>
                    <w:widowControl/>
                    <w:adjustRightInd w:val="0"/>
                    <w:snapToGrid w:val="0"/>
                    <w:jc w:val="center"/>
                    <w:rPr>
                      <w:color w:val="auto"/>
                      <w:sz w:val="18"/>
                      <w:szCs w:val="18"/>
                    </w:rPr>
                  </w:pPr>
                  <w:r>
                    <w:rPr>
                      <w:rFonts w:hint="eastAsia"/>
                      <w:color w:val="auto"/>
                      <w:sz w:val="18"/>
                      <w:szCs w:val="18"/>
                      <w:lang w:val="en-US" w:eastAsia="zh-CN"/>
                    </w:rPr>
                    <w:t>夜间</w:t>
                  </w:r>
                </w:p>
              </w:tc>
              <w:tc>
                <w:tcPr>
                  <w:tcW w:w="628" w:type="pct"/>
                  <w:vAlign w:val="center"/>
                </w:tcPr>
                <w:p w14:paraId="08F856A7">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47 0</w:t>
                  </w:r>
                </w:p>
              </w:tc>
              <w:tc>
                <w:tcPr>
                  <w:tcW w:w="628" w:type="pct"/>
                  <w:vAlign w:val="center"/>
                </w:tcPr>
                <w:p w14:paraId="63E29593">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1569" w:type="dxa"/>
                  <w:vAlign w:val="center"/>
                </w:tcPr>
                <w:p w14:paraId="60FA1CF2">
                  <w:pPr>
                    <w:widowControl/>
                    <w:adjustRightInd w:val="0"/>
                    <w:snapToGrid w:val="0"/>
                    <w:jc w:val="center"/>
                    <w:rPr>
                      <w:color w:val="auto"/>
                      <w:sz w:val="18"/>
                      <w:szCs w:val="18"/>
                    </w:rPr>
                  </w:pPr>
                  <w:r>
                    <w:rPr>
                      <w:color w:val="auto"/>
                      <w:sz w:val="18"/>
                      <w:szCs w:val="18"/>
                    </w:rPr>
                    <w:t>达标</w:t>
                  </w:r>
                </w:p>
              </w:tc>
            </w:tr>
            <w:tr w14:paraId="67BCD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14:paraId="27EC44B3">
                  <w:pPr>
                    <w:widowControl/>
                    <w:adjustRightInd w:val="0"/>
                    <w:snapToGrid w:val="0"/>
                    <w:jc w:val="center"/>
                    <w:rPr>
                      <w:rFonts w:hint="eastAsia"/>
                      <w:color w:val="auto"/>
                      <w:sz w:val="18"/>
                      <w:szCs w:val="18"/>
                    </w:rPr>
                  </w:pPr>
                  <w:r>
                    <w:rPr>
                      <w:rFonts w:hint="eastAsia"/>
                      <w:color w:val="auto"/>
                      <w:sz w:val="18"/>
                      <w:szCs w:val="18"/>
                    </w:rPr>
                    <w:t>北侧</w:t>
                  </w:r>
                </w:p>
              </w:tc>
              <w:tc>
                <w:tcPr>
                  <w:tcW w:w="1571" w:type="dxa"/>
                  <w:vAlign w:val="center"/>
                </w:tcPr>
                <w:p w14:paraId="0F249C4E">
                  <w:pPr>
                    <w:widowControl/>
                    <w:adjustRightInd w:val="0"/>
                    <w:snapToGrid w:val="0"/>
                    <w:jc w:val="center"/>
                    <w:rPr>
                      <w:rFonts w:hint="eastAsia"/>
                      <w:color w:val="auto"/>
                      <w:sz w:val="18"/>
                      <w:szCs w:val="18"/>
                    </w:rPr>
                  </w:pPr>
                  <w:r>
                    <w:rPr>
                      <w:rFonts w:hint="eastAsia"/>
                      <w:color w:val="auto"/>
                      <w:sz w:val="18"/>
                      <w:szCs w:val="18"/>
                      <w:lang w:val="en-US" w:eastAsia="zh-CN"/>
                    </w:rPr>
                    <w:t>1</w:t>
                  </w:r>
                  <w:r>
                    <w:rPr>
                      <w:rFonts w:hint="eastAsia"/>
                      <w:color w:val="auto"/>
                      <w:sz w:val="18"/>
                      <w:szCs w:val="18"/>
                    </w:rPr>
                    <w:t>97.5</w:t>
                  </w:r>
                </w:p>
              </w:tc>
              <w:tc>
                <w:tcPr>
                  <w:tcW w:w="1574" w:type="dxa"/>
                  <w:vAlign w:val="center"/>
                </w:tcPr>
                <w:p w14:paraId="5DBEE9AE">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71</w:t>
                  </w:r>
                </w:p>
              </w:tc>
              <w:tc>
                <w:tcPr>
                  <w:tcW w:w="1579" w:type="dxa"/>
                  <w:vAlign w:val="center"/>
                </w:tcPr>
                <w:p w14:paraId="242C9963">
                  <w:pPr>
                    <w:widowControl/>
                    <w:adjustRightInd w:val="0"/>
                    <w:snapToGrid w:val="0"/>
                    <w:jc w:val="center"/>
                    <w:rPr>
                      <w:color w:val="auto"/>
                      <w:sz w:val="18"/>
                      <w:szCs w:val="18"/>
                    </w:rPr>
                  </w:pPr>
                  <w:r>
                    <w:rPr>
                      <w:color w:val="auto"/>
                      <w:sz w:val="18"/>
                      <w:szCs w:val="18"/>
                    </w:rPr>
                    <w:t>5.5</w:t>
                  </w:r>
                </w:p>
              </w:tc>
              <w:tc>
                <w:tcPr>
                  <w:tcW w:w="624" w:type="pct"/>
                  <w:vAlign w:val="center"/>
                </w:tcPr>
                <w:p w14:paraId="01C2B817">
                  <w:pPr>
                    <w:widowControl/>
                    <w:adjustRightInd w:val="0"/>
                    <w:snapToGrid w:val="0"/>
                    <w:jc w:val="center"/>
                    <w:rPr>
                      <w:color w:val="auto"/>
                      <w:sz w:val="18"/>
                      <w:szCs w:val="18"/>
                    </w:rPr>
                  </w:pPr>
                  <w:r>
                    <w:rPr>
                      <w:rFonts w:hint="eastAsia"/>
                      <w:color w:val="auto"/>
                      <w:sz w:val="18"/>
                      <w:szCs w:val="18"/>
                      <w:lang w:val="en-US" w:eastAsia="zh-CN"/>
                    </w:rPr>
                    <w:t>夜间</w:t>
                  </w:r>
                </w:p>
              </w:tc>
              <w:tc>
                <w:tcPr>
                  <w:tcW w:w="628" w:type="pct"/>
                  <w:vAlign w:val="center"/>
                </w:tcPr>
                <w:p w14:paraId="28D74030">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45.4</w:t>
                  </w:r>
                </w:p>
              </w:tc>
              <w:tc>
                <w:tcPr>
                  <w:tcW w:w="628" w:type="pct"/>
                  <w:vAlign w:val="center"/>
                </w:tcPr>
                <w:p w14:paraId="31E1379E">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1569" w:type="dxa"/>
                  <w:vAlign w:val="center"/>
                </w:tcPr>
                <w:p w14:paraId="1E6215D2">
                  <w:pPr>
                    <w:widowControl/>
                    <w:adjustRightInd w:val="0"/>
                    <w:snapToGrid w:val="0"/>
                    <w:jc w:val="center"/>
                    <w:rPr>
                      <w:color w:val="auto"/>
                      <w:sz w:val="18"/>
                      <w:szCs w:val="18"/>
                    </w:rPr>
                  </w:pPr>
                  <w:r>
                    <w:rPr>
                      <w:color w:val="auto"/>
                      <w:sz w:val="18"/>
                      <w:szCs w:val="18"/>
                    </w:rPr>
                    <w:t>达标</w:t>
                  </w:r>
                </w:p>
              </w:tc>
            </w:tr>
          </w:tbl>
          <w:p w14:paraId="3ECCDEC6">
            <w:pPr>
              <w:widowControl/>
              <w:adjustRightInd w:val="0"/>
              <w:snapToGrid w:val="0"/>
              <w:jc w:val="left"/>
              <w:rPr>
                <w:bCs/>
                <w:color w:val="auto"/>
                <w:kern w:val="0"/>
                <w:sz w:val="20"/>
                <w:szCs w:val="20"/>
                <w:lang w:bidi="en-US"/>
              </w:rPr>
            </w:pPr>
            <w:r>
              <w:rPr>
                <w:rFonts w:hint="eastAsia"/>
                <w:bCs/>
                <w:color w:val="auto"/>
                <w:kern w:val="0"/>
                <w:sz w:val="20"/>
                <w:szCs w:val="20"/>
                <w:lang w:bidi="en-US"/>
              </w:rPr>
              <w:t>*注：建设项目以厂房西北角为（0,0,0）点</w:t>
            </w:r>
          </w:p>
          <w:p w14:paraId="3C953B22">
            <w:pPr>
              <w:widowControl/>
              <w:adjustRightInd w:val="0"/>
              <w:snapToGrid w:val="0"/>
              <w:spacing w:before="120" w:beforeLines="50" w:line="360" w:lineRule="auto"/>
              <w:ind w:firstLine="480" w:firstLineChars="200"/>
              <w:rPr>
                <w:b/>
                <w:color w:val="auto"/>
                <w:kern w:val="0"/>
                <w:sz w:val="24"/>
                <w:lang w:bidi="en-US"/>
              </w:rPr>
            </w:pPr>
            <w:r>
              <w:rPr>
                <w:color w:val="auto"/>
                <w:sz w:val="24"/>
              </w:rPr>
              <w:t>从</w:t>
            </w:r>
            <w:r>
              <w:rPr>
                <w:rFonts w:hint="eastAsia"/>
                <w:color w:val="auto"/>
                <w:sz w:val="24"/>
              </w:rPr>
              <w:t>上表</w:t>
            </w:r>
            <w:r>
              <w:rPr>
                <w:color w:val="auto"/>
                <w:sz w:val="24"/>
              </w:rPr>
              <w:t>可以看出：建设项目</w:t>
            </w:r>
            <w:r>
              <w:rPr>
                <w:rFonts w:hint="eastAsia"/>
                <w:color w:val="auto"/>
                <w:kern w:val="0"/>
                <w:sz w:val="24"/>
                <w:lang w:bidi="en-US"/>
              </w:rPr>
              <w:t>厂界四周</w:t>
            </w:r>
            <w:r>
              <w:rPr>
                <w:color w:val="auto"/>
                <w:kern w:val="0"/>
                <w:sz w:val="24"/>
                <w:lang w:bidi="en-US"/>
              </w:rPr>
              <w:t>噪声昼间贡献值为</w:t>
            </w:r>
            <w:r>
              <w:rPr>
                <w:rFonts w:hint="eastAsia"/>
                <w:color w:val="auto"/>
                <w:kern w:val="0"/>
                <w:sz w:val="24"/>
                <w:lang w:val="en-US" w:eastAsia="zh-CN" w:bidi="en-US"/>
              </w:rPr>
              <w:t>31.8~48.4</w:t>
            </w:r>
            <w:r>
              <w:rPr>
                <w:color w:val="auto"/>
                <w:kern w:val="0"/>
                <w:sz w:val="24"/>
                <w:lang w:bidi="en-US"/>
              </w:rPr>
              <w:t>dB（A），</w:t>
            </w:r>
            <w:r>
              <w:rPr>
                <w:rFonts w:hint="eastAsia"/>
                <w:color w:val="auto"/>
                <w:kern w:val="0"/>
                <w:sz w:val="24"/>
                <w:lang w:val="en-US" w:eastAsia="zh-CN" w:bidi="en-US"/>
              </w:rPr>
              <w:t>夜</w:t>
            </w:r>
            <w:r>
              <w:rPr>
                <w:color w:val="auto"/>
                <w:kern w:val="0"/>
                <w:sz w:val="24"/>
                <w:lang w:bidi="en-US"/>
              </w:rPr>
              <w:t>间贡献值为</w:t>
            </w:r>
            <w:r>
              <w:rPr>
                <w:rFonts w:hint="eastAsia"/>
                <w:color w:val="auto"/>
                <w:kern w:val="0"/>
                <w:sz w:val="24"/>
                <w:lang w:val="en-US" w:eastAsia="zh-CN" w:bidi="en-US"/>
              </w:rPr>
              <w:t>20.4-52.0</w:t>
            </w:r>
            <w:r>
              <w:rPr>
                <w:color w:val="auto"/>
                <w:kern w:val="0"/>
                <w:sz w:val="24"/>
                <w:lang w:bidi="en-US"/>
              </w:rPr>
              <w:t>dB（A）</w:t>
            </w:r>
            <w:r>
              <w:rPr>
                <w:rFonts w:hint="eastAsia"/>
                <w:color w:val="auto"/>
                <w:kern w:val="0"/>
                <w:sz w:val="24"/>
                <w:lang w:eastAsia="zh-CN" w:bidi="en-US"/>
              </w:rPr>
              <w:t>，</w:t>
            </w:r>
            <w:r>
              <w:rPr>
                <w:color w:val="auto"/>
                <w:sz w:val="24"/>
              </w:rPr>
              <w:t>符合《工业企业厂界环境噪声排放标准》（GB12348-2008）中3类标准要求</w:t>
            </w:r>
            <w:r>
              <w:rPr>
                <w:rFonts w:hint="eastAsia"/>
                <w:color w:val="auto"/>
                <w:sz w:val="24"/>
              </w:rPr>
              <w:t>，</w:t>
            </w:r>
            <w:r>
              <w:rPr>
                <w:color w:val="auto"/>
                <w:kern w:val="0"/>
                <w:sz w:val="24"/>
                <w:lang w:bidi="en-US"/>
              </w:rPr>
              <w:t>因此项目噪声对环境的影响能够满足环境保护的要求</w:t>
            </w:r>
            <w:r>
              <w:rPr>
                <w:color w:val="auto"/>
                <w:sz w:val="24"/>
              </w:rPr>
              <w:t>。</w:t>
            </w:r>
          </w:p>
          <w:p w14:paraId="5245B84C">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项目营运期噪声日常环境监测计划见下表。</w:t>
            </w:r>
          </w:p>
          <w:p w14:paraId="252BA260">
            <w:pPr>
              <w:pStyle w:val="1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4-</w:t>
            </w:r>
            <w:r>
              <w:rPr>
                <w:rFonts w:hint="eastAsia" w:cs="Times New Roman"/>
                <w:b/>
                <w:color w:val="auto"/>
                <w:sz w:val="21"/>
                <w:szCs w:val="21"/>
                <w:highlight w:val="none"/>
                <w:lang w:val="en-US" w:eastAsia="zh-CN"/>
              </w:rPr>
              <w:t>19</w:t>
            </w:r>
            <w:r>
              <w:rPr>
                <w:rFonts w:hint="default" w:ascii="Times New Roman" w:hAnsi="Times New Roman" w:eastAsia="宋体" w:cs="Times New Roman"/>
                <w:b/>
                <w:color w:val="auto"/>
                <w:sz w:val="21"/>
                <w:szCs w:val="21"/>
                <w:highlight w:val="none"/>
                <w:lang w:val="en-US" w:eastAsia="zh-CN"/>
              </w:rPr>
              <w:t>厂区噪声</w:t>
            </w:r>
            <w:r>
              <w:rPr>
                <w:rFonts w:hint="default" w:ascii="Times New Roman" w:hAnsi="Times New Roman" w:eastAsia="宋体" w:cs="Times New Roman"/>
                <w:b/>
                <w:color w:val="auto"/>
                <w:sz w:val="21"/>
                <w:szCs w:val="21"/>
                <w:highlight w:val="none"/>
              </w:rPr>
              <w:t>监测点选取及监测频次</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68"/>
              <w:gridCol w:w="1051"/>
              <w:gridCol w:w="1259"/>
              <w:gridCol w:w="1085"/>
              <w:gridCol w:w="3962"/>
            </w:tblGrid>
            <w:tr w14:paraId="7081F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tcBorders>
                    <w:tl2br w:val="nil"/>
                    <w:tr2bl w:val="nil"/>
                  </w:tcBorders>
                  <w:noWrap w:val="0"/>
                  <w:vAlign w:val="center"/>
                </w:tcPr>
                <w:p w14:paraId="03A44BBA">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污染源名称</w:t>
                  </w:r>
                </w:p>
              </w:tc>
              <w:tc>
                <w:tcPr>
                  <w:tcW w:w="616" w:type="pct"/>
                  <w:tcBorders>
                    <w:tl2br w:val="nil"/>
                    <w:tr2bl w:val="nil"/>
                  </w:tcBorders>
                  <w:noWrap w:val="0"/>
                  <w:vAlign w:val="center"/>
                </w:tcPr>
                <w:p w14:paraId="7A09ECF1">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点位</w:t>
                  </w:r>
                </w:p>
              </w:tc>
              <w:tc>
                <w:tcPr>
                  <w:tcW w:w="738" w:type="pct"/>
                  <w:tcBorders>
                    <w:tl2br w:val="nil"/>
                    <w:tr2bl w:val="nil"/>
                  </w:tcBorders>
                  <w:noWrap w:val="0"/>
                  <w:vAlign w:val="center"/>
                </w:tcPr>
                <w:p w14:paraId="5EB07122">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监测因子</w:t>
                  </w:r>
                </w:p>
              </w:tc>
              <w:tc>
                <w:tcPr>
                  <w:tcW w:w="636" w:type="pct"/>
                  <w:tcBorders>
                    <w:tl2br w:val="nil"/>
                    <w:tr2bl w:val="nil"/>
                  </w:tcBorders>
                  <w:noWrap w:val="0"/>
                  <w:vAlign w:val="center"/>
                </w:tcPr>
                <w:p w14:paraId="4D0A7EB3">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监测频次</w:t>
                  </w:r>
                </w:p>
              </w:tc>
              <w:tc>
                <w:tcPr>
                  <w:tcW w:w="2323" w:type="pct"/>
                  <w:tcBorders>
                    <w:tl2br w:val="nil"/>
                    <w:tr2bl w:val="nil"/>
                  </w:tcBorders>
                  <w:noWrap w:val="0"/>
                  <w:vAlign w:val="center"/>
                </w:tcPr>
                <w:p w14:paraId="54921110">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执行排放标准</w:t>
                  </w:r>
                </w:p>
              </w:tc>
            </w:tr>
            <w:tr w14:paraId="6FF3E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tcBorders>
                    <w:tl2br w:val="nil"/>
                    <w:tr2bl w:val="nil"/>
                  </w:tcBorders>
                  <w:noWrap w:val="0"/>
                  <w:vAlign w:val="center"/>
                </w:tcPr>
                <w:p w14:paraId="74C5A990">
                  <w:pPr>
                    <w:pStyle w:val="129"/>
                    <w:pageBreakBefore w:val="0"/>
                    <w:kinsoku/>
                    <w:wordWrap/>
                    <w:overflowPunct/>
                    <w:bidi w:val="0"/>
                    <w:snapToGrid w:val="0"/>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噪声</w:t>
                  </w:r>
                </w:p>
              </w:tc>
              <w:tc>
                <w:tcPr>
                  <w:tcW w:w="616" w:type="pct"/>
                  <w:tcBorders>
                    <w:tl2br w:val="nil"/>
                    <w:tr2bl w:val="nil"/>
                  </w:tcBorders>
                  <w:noWrap w:val="0"/>
                  <w:vAlign w:val="center"/>
                </w:tcPr>
                <w:p w14:paraId="7B3CE1C4">
                  <w:pPr>
                    <w:pStyle w:val="129"/>
                    <w:pageBreakBefore w:val="0"/>
                    <w:kinsoku/>
                    <w:wordWrap/>
                    <w:overflowPunct/>
                    <w:bidi w:val="0"/>
                    <w:snapToGrid w:val="0"/>
                    <w:rPr>
                      <w:rFonts w:hint="eastAsia"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厂界</w:t>
                  </w:r>
                  <w:r>
                    <w:rPr>
                      <w:rFonts w:hint="eastAsia" w:ascii="Times New Roman" w:hAnsi="Times New Roman" w:eastAsia="宋体" w:cs="Times New Roman"/>
                      <w:color w:val="auto"/>
                      <w:kern w:val="0"/>
                      <w:sz w:val="18"/>
                      <w:szCs w:val="18"/>
                      <w:highlight w:val="none"/>
                      <w:lang w:eastAsia="zh-CN"/>
                    </w:rPr>
                    <w:t>西侧、东侧、南侧、北侧</w:t>
                  </w:r>
                </w:p>
              </w:tc>
              <w:tc>
                <w:tcPr>
                  <w:tcW w:w="738" w:type="pct"/>
                  <w:tcBorders>
                    <w:tl2br w:val="nil"/>
                    <w:tr2bl w:val="nil"/>
                  </w:tcBorders>
                  <w:noWrap w:val="0"/>
                  <w:vAlign w:val="center"/>
                </w:tcPr>
                <w:p w14:paraId="54E9FD32">
                  <w:pPr>
                    <w:pStyle w:val="129"/>
                    <w:pageBreakBefore w:val="0"/>
                    <w:kinsoku/>
                    <w:wordWrap/>
                    <w:overflowPunct/>
                    <w:bidi w:val="0"/>
                    <w:snapToGrid w:val="0"/>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等效A声级</w:t>
                  </w:r>
                </w:p>
              </w:tc>
              <w:tc>
                <w:tcPr>
                  <w:tcW w:w="636" w:type="pct"/>
                  <w:tcBorders>
                    <w:tl2br w:val="nil"/>
                    <w:tr2bl w:val="nil"/>
                  </w:tcBorders>
                  <w:noWrap w:val="0"/>
                  <w:vAlign w:val="center"/>
                </w:tcPr>
                <w:p w14:paraId="582AE4C5">
                  <w:pPr>
                    <w:pStyle w:val="129"/>
                    <w:pageBreakBefore w:val="0"/>
                    <w:kinsoku/>
                    <w:wordWrap/>
                    <w:overflowPunct/>
                    <w:bidi w:val="0"/>
                    <w:snapToGrid w:val="0"/>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1次/季度</w:t>
                  </w:r>
                </w:p>
              </w:tc>
              <w:tc>
                <w:tcPr>
                  <w:tcW w:w="2323" w:type="pct"/>
                  <w:tcBorders>
                    <w:tl2br w:val="nil"/>
                    <w:tr2bl w:val="nil"/>
                  </w:tcBorders>
                  <w:noWrap w:val="0"/>
                  <w:vAlign w:val="center"/>
                </w:tcPr>
                <w:p w14:paraId="7B62E3C7">
                  <w:pPr>
                    <w:pageBreakBefore w:val="0"/>
                    <w:kinsoku/>
                    <w:wordWrap/>
                    <w:overflowPunct/>
                    <w:bidi w:val="0"/>
                    <w:snapToGrid w:val="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执行《工业企业厂界环境噪声排放标准》（GB12348-2008）中</w:t>
                  </w: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类标准</w:t>
                  </w:r>
                </w:p>
              </w:tc>
            </w:tr>
          </w:tbl>
          <w:p w14:paraId="3DE21F39">
            <w:pPr>
              <w:widowControl/>
              <w:adjustRightInd w:val="0"/>
              <w:snapToGrid w:val="0"/>
              <w:spacing w:line="360" w:lineRule="auto"/>
              <w:ind w:firstLine="482" w:firstLineChars="200"/>
              <w:jc w:val="left"/>
              <w:rPr>
                <w:rFonts w:hint="default" w:ascii="Times New Roman" w:hAnsi="Times New Roman" w:eastAsia="宋体" w:cs="Times New Roman"/>
                <w:color w:val="auto"/>
                <w:kern w:val="0"/>
                <w:sz w:val="24"/>
                <w:lang w:val="en-US" w:eastAsia="zh-CN"/>
              </w:rPr>
            </w:pPr>
            <w:r>
              <w:rPr>
                <w:rFonts w:hint="eastAsia" w:cs="Times New Roman"/>
                <w:b/>
                <w:bCs/>
                <w:color w:val="auto"/>
                <w:kern w:val="0"/>
                <w:sz w:val="24"/>
                <w:lang w:val="en-US" w:eastAsia="zh-CN"/>
              </w:rPr>
              <w:t>3.3</w:t>
            </w:r>
            <w:r>
              <w:rPr>
                <w:rFonts w:hint="default" w:ascii="Times New Roman" w:hAnsi="Times New Roman" w:eastAsia="宋体" w:cs="Times New Roman"/>
                <w:b/>
                <w:bCs/>
                <w:color w:val="auto"/>
                <w:kern w:val="0"/>
                <w:sz w:val="24"/>
                <w:lang w:val="en-US" w:eastAsia="zh-CN"/>
              </w:rPr>
              <w:t>噪声污染防治措施可行性分析</w:t>
            </w:r>
          </w:p>
          <w:p w14:paraId="202C96F5">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建设单位拟采取的噪声防治措施如下：</w:t>
            </w:r>
          </w:p>
          <w:p w14:paraId="51D2C50D">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（1）本项目选用满足国际标准的低噪声、低振动设备，并采取基础减振、隔声降噪等措施。</w:t>
            </w:r>
          </w:p>
          <w:p w14:paraId="3AEB8270">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（2）对设备进行日常维护，保障设备的正常运行，并且要求操作人员严格规范操作，防止因设备故障或者操作不当</w:t>
            </w:r>
            <w:r>
              <w:rPr>
                <w:rFonts w:hint="eastAsia" w:cs="Times New Roman"/>
                <w:color w:val="auto"/>
                <w:kern w:val="0"/>
                <w:sz w:val="24"/>
                <w:lang w:val="en-US" w:eastAsia="zh-CN"/>
              </w:rPr>
              <w:t>带来</w:t>
            </w:r>
            <w:r>
              <w:rPr>
                <w:rFonts w:hint="default" w:ascii="Times New Roman" w:hAnsi="Times New Roman" w:eastAsia="宋体" w:cs="Times New Roman"/>
                <w:color w:val="auto"/>
                <w:kern w:val="0"/>
                <w:sz w:val="24"/>
                <w:lang w:val="en-US" w:eastAsia="zh-CN"/>
              </w:rPr>
              <w:t>额外噪声。</w:t>
            </w:r>
          </w:p>
          <w:p w14:paraId="3B7EB42B">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（3）根据整体布置对噪声设备进行合理布局，集中控制。</w:t>
            </w:r>
          </w:p>
          <w:p w14:paraId="521DE59B">
            <w:pPr>
              <w:widowControl/>
              <w:adjustRightInd w:val="0"/>
              <w:snapToGrid w:val="0"/>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kern w:val="0"/>
                <w:sz w:val="24"/>
                <w:lang w:val="en-US" w:eastAsia="zh-CN"/>
              </w:rPr>
              <w:t>综上所述，本项目运行后产生的噪声不会对区域声环境产生明显不利影响。</w:t>
            </w:r>
          </w:p>
        </w:tc>
      </w:tr>
    </w:tbl>
    <w:p w14:paraId="406C53A3">
      <w:pPr>
        <w:adjustRightInd w:val="0"/>
        <w:snapToGrid w:val="0"/>
        <w:jc w:val="center"/>
        <w:rPr>
          <w:b/>
          <w:bCs/>
          <w:color w:val="auto"/>
          <w:sz w:val="24"/>
        </w:rPr>
        <w:sectPr>
          <w:pgSz w:w="11907" w:h="16840"/>
          <w:pgMar w:top="1701" w:right="1531" w:bottom="2126" w:left="1531" w:header="851" w:footer="850" w:gutter="0"/>
          <w:pgBorders>
            <w:top w:val="none" w:sz="0" w:space="0"/>
            <w:left w:val="none" w:sz="0" w:space="0"/>
            <w:bottom w:val="none" w:sz="0" w:space="0"/>
            <w:right w:val="none" w:sz="0" w:space="0"/>
          </w:pgBorders>
          <w:cols w:space="0" w:num="1"/>
          <w:rtlGutter w:val="0"/>
          <w:docGrid w:linePitch="312" w:charSpace="0"/>
        </w:sectPr>
      </w:pP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2515"/>
      </w:tblGrid>
      <w:tr w14:paraId="6BB09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7" w:hRule="atLeast"/>
          <w:jc w:val="center"/>
        </w:trPr>
        <w:tc>
          <w:tcPr>
            <w:tcW w:w="241" w:type="pct"/>
            <w:tcMar>
              <w:left w:w="28" w:type="dxa"/>
              <w:right w:w="28" w:type="dxa"/>
            </w:tcMar>
            <w:vAlign w:val="center"/>
          </w:tcPr>
          <w:p w14:paraId="53BE10BE">
            <w:pPr>
              <w:adjustRightInd w:val="0"/>
              <w:snapToGrid w:val="0"/>
              <w:jc w:val="center"/>
              <w:rPr>
                <w:b/>
                <w:bCs/>
                <w:color w:val="auto"/>
                <w:sz w:val="24"/>
              </w:rPr>
            </w:pPr>
            <w:r>
              <w:rPr>
                <w:rFonts w:hAnsi="宋体"/>
                <w:b/>
                <w:bCs/>
                <w:color w:val="auto"/>
                <w:sz w:val="24"/>
              </w:rPr>
              <w:t>运营</w:t>
            </w:r>
          </w:p>
          <w:p w14:paraId="4C748DC6">
            <w:pPr>
              <w:adjustRightInd w:val="0"/>
              <w:snapToGrid w:val="0"/>
              <w:jc w:val="center"/>
              <w:rPr>
                <w:b/>
                <w:bCs/>
                <w:color w:val="auto"/>
                <w:sz w:val="24"/>
              </w:rPr>
            </w:pPr>
            <w:r>
              <w:rPr>
                <w:rFonts w:hAnsi="宋体"/>
                <w:b/>
                <w:bCs/>
                <w:color w:val="auto"/>
                <w:sz w:val="24"/>
              </w:rPr>
              <w:t>期环</w:t>
            </w:r>
          </w:p>
          <w:p w14:paraId="537F2A13">
            <w:pPr>
              <w:adjustRightInd w:val="0"/>
              <w:snapToGrid w:val="0"/>
              <w:jc w:val="center"/>
              <w:rPr>
                <w:b/>
                <w:bCs/>
                <w:color w:val="auto"/>
                <w:sz w:val="24"/>
              </w:rPr>
            </w:pPr>
            <w:r>
              <w:rPr>
                <w:rFonts w:hAnsi="宋体"/>
                <w:b/>
                <w:bCs/>
                <w:color w:val="auto"/>
                <w:sz w:val="24"/>
              </w:rPr>
              <w:t>境影</w:t>
            </w:r>
          </w:p>
          <w:p w14:paraId="255B06BA">
            <w:pPr>
              <w:adjustRightInd w:val="0"/>
              <w:snapToGrid w:val="0"/>
              <w:jc w:val="center"/>
              <w:rPr>
                <w:b/>
                <w:bCs/>
                <w:color w:val="auto"/>
                <w:sz w:val="24"/>
              </w:rPr>
            </w:pPr>
            <w:r>
              <w:rPr>
                <w:rFonts w:hAnsi="宋体"/>
                <w:b/>
                <w:bCs/>
                <w:color w:val="auto"/>
                <w:sz w:val="24"/>
              </w:rPr>
              <w:t>响和</w:t>
            </w:r>
          </w:p>
          <w:p w14:paraId="5030278C">
            <w:pPr>
              <w:adjustRightInd w:val="0"/>
              <w:snapToGrid w:val="0"/>
              <w:jc w:val="center"/>
              <w:rPr>
                <w:b/>
                <w:bCs/>
                <w:color w:val="auto"/>
                <w:sz w:val="24"/>
              </w:rPr>
            </w:pPr>
            <w:r>
              <w:rPr>
                <w:rFonts w:hAnsi="宋体"/>
                <w:b/>
                <w:bCs/>
                <w:color w:val="auto"/>
                <w:sz w:val="24"/>
              </w:rPr>
              <w:t>保护</w:t>
            </w:r>
          </w:p>
          <w:p w14:paraId="2D8E85B9">
            <w:pPr>
              <w:adjustRightInd w:val="0"/>
              <w:snapToGrid w:val="0"/>
              <w:jc w:val="center"/>
              <w:rPr>
                <w:b/>
                <w:bCs/>
                <w:color w:val="auto"/>
                <w:sz w:val="24"/>
              </w:rPr>
            </w:pPr>
            <w:r>
              <w:rPr>
                <w:rFonts w:hAnsi="宋体"/>
                <w:b/>
                <w:bCs/>
                <w:color w:val="auto"/>
                <w:sz w:val="24"/>
              </w:rPr>
              <w:t>措施</w:t>
            </w:r>
          </w:p>
        </w:tc>
        <w:tc>
          <w:tcPr>
            <w:tcW w:w="4759" w:type="pct"/>
            <w:vAlign w:val="center"/>
          </w:tcPr>
          <w:p w14:paraId="64400429">
            <w:pPr>
              <w:widowControl/>
              <w:autoSpaceDE w:val="0"/>
              <w:autoSpaceDN w:val="0"/>
              <w:adjustRightInd w:val="0"/>
              <w:snapToGrid w:val="0"/>
              <w:spacing w:beforeLines="50" w:line="360" w:lineRule="auto"/>
              <w:ind w:firstLine="482" w:firstLineChars="200"/>
              <w:jc w:val="left"/>
              <w:rPr>
                <w:b/>
                <w:color w:val="auto"/>
                <w:kern w:val="0"/>
                <w:sz w:val="24"/>
              </w:rPr>
            </w:pPr>
            <w:r>
              <w:rPr>
                <w:rFonts w:hint="eastAsia"/>
                <w:b/>
                <w:color w:val="auto"/>
                <w:kern w:val="0"/>
                <w:sz w:val="24"/>
                <w:lang w:val="en-US" w:eastAsia="zh-CN"/>
              </w:rPr>
              <w:t>4</w:t>
            </w:r>
            <w:r>
              <w:rPr>
                <w:b/>
                <w:color w:val="auto"/>
                <w:kern w:val="0"/>
                <w:sz w:val="24"/>
              </w:rPr>
              <w:t>固体废物</w:t>
            </w:r>
          </w:p>
          <w:p w14:paraId="192E687B">
            <w:pPr>
              <w:widowControl/>
              <w:autoSpaceDE w:val="0"/>
              <w:autoSpaceDN w:val="0"/>
              <w:adjustRightInd w:val="0"/>
              <w:snapToGrid w:val="0"/>
              <w:spacing w:before="120" w:beforeLines="50" w:line="360" w:lineRule="auto"/>
              <w:ind w:firstLine="482" w:firstLineChars="200"/>
              <w:jc w:val="left"/>
              <w:rPr>
                <w:b/>
                <w:color w:val="auto"/>
                <w:kern w:val="0"/>
                <w:sz w:val="24"/>
              </w:rPr>
            </w:pPr>
            <w:r>
              <w:rPr>
                <w:b/>
                <w:color w:val="auto"/>
                <w:kern w:val="0"/>
                <w:sz w:val="24"/>
              </w:rPr>
              <w:t>4.1固体废物产生环节及源强分析</w:t>
            </w:r>
          </w:p>
          <w:p w14:paraId="7CC2F1D7">
            <w:pPr>
              <w:adjustRightInd w:val="0"/>
              <w:snapToGrid w:val="0"/>
              <w:spacing w:line="360" w:lineRule="auto"/>
              <w:ind w:firstLine="480" w:firstLineChars="200"/>
              <w:rPr>
                <w:color w:val="auto"/>
                <w:sz w:val="24"/>
              </w:rPr>
            </w:pPr>
            <w:r>
              <w:rPr>
                <w:color w:val="auto"/>
                <w:sz w:val="24"/>
              </w:rPr>
              <w:t>本项目产生的固废主要为生产过程中的</w:t>
            </w:r>
            <w:r>
              <w:rPr>
                <w:rFonts w:hint="eastAsia"/>
                <w:color w:val="auto"/>
                <w:sz w:val="24"/>
              </w:rPr>
              <w:t>废</w:t>
            </w:r>
            <w:r>
              <w:rPr>
                <w:rFonts w:hint="eastAsia"/>
                <w:color w:val="auto"/>
                <w:sz w:val="24"/>
                <w:lang w:eastAsia="zh-CN"/>
              </w:rPr>
              <w:t>原料</w:t>
            </w:r>
            <w:r>
              <w:rPr>
                <w:color w:val="auto"/>
                <w:sz w:val="24"/>
              </w:rPr>
              <w:t>（</w:t>
            </w:r>
            <w:r>
              <w:rPr>
                <w:color w:val="auto"/>
                <w:sz w:val="24"/>
                <w:szCs w:val="21"/>
              </w:rPr>
              <w:t>S1-1、S</w:t>
            </w:r>
            <w:r>
              <w:rPr>
                <w:rFonts w:hint="eastAsia"/>
                <w:color w:val="auto"/>
                <w:sz w:val="24"/>
                <w:szCs w:val="21"/>
                <w:lang w:val="en-US" w:eastAsia="zh-CN"/>
              </w:rPr>
              <w:t>1-2</w:t>
            </w:r>
            <w:r>
              <w:rPr>
                <w:color w:val="auto"/>
                <w:sz w:val="24"/>
              </w:rPr>
              <w:t>）、</w:t>
            </w:r>
            <w:r>
              <w:rPr>
                <w:rFonts w:hint="eastAsia"/>
                <w:color w:val="auto"/>
                <w:sz w:val="24"/>
                <w:lang w:eastAsia="zh-CN"/>
              </w:rPr>
              <w:t>不合格品（</w:t>
            </w:r>
            <w:r>
              <w:rPr>
                <w:rFonts w:hint="eastAsia"/>
                <w:color w:val="auto"/>
                <w:sz w:val="24"/>
                <w:lang w:val="en-US" w:eastAsia="zh-CN"/>
              </w:rPr>
              <w:t>S2</w:t>
            </w:r>
            <w:r>
              <w:rPr>
                <w:rFonts w:hint="eastAsia"/>
                <w:color w:val="auto"/>
                <w:sz w:val="24"/>
                <w:lang w:eastAsia="zh-CN"/>
              </w:rPr>
              <w:t>）</w:t>
            </w:r>
            <w:r>
              <w:rPr>
                <w:rFonts w:hint="eastAsia"/>
                <w:color w:val="auto"/>
                <w:sz w:val="24"/>
              </w:rPr>
              <w:t>废包装材料</w:t>
            </w:r>
            <w:r>
              <w:rPr>
                <w:color w:val="auto"/>
                <w:sz w:val="24"/>
              </w:rPr>
              <w:t>（S3）</w:t>
            </w:r>
            <w:r>
              <w:rPr>
                <w:rFonts w:hint="eastAsia"/>
                <w:color w:val="auto"/>
                <w:sz w:val="24"/>
                <w:lang w:eastAsia="zh-CN"/>
              </w:rPr>
              <w:t>、</w:t>
            </w:r>
            <w:r>
              <w:rPr>
                <w:color w:val="auto"/>
                <w:sz w:val="24"/>
              </w:rPr>
              <w:t>生活垃圾（S</w:t>
            </w:r>
            <w:r>
              <w:rPr>
                <w:rFonts w:hint="eastAsia"/>
                <w:color w:val="auto"/>
                <w:sz w:val="24"/>
                <w:lang w:val="en-US" w:eastAsia="zh-CN"/>
              </w:rPr>
              <w:t>4</w:t>
            </w:r>
            <w:r>
              <w:rPr>
                <w:color w:val="auto"/>
                <w:sz w:val="24"/>
              </w:rPr>
              <w:t>）。</w:t>
            </w:r>
          </w:p>
          <w:p w14:paraId="623526AA">
            <w:pPr>
              <w:adjustRightInd w:val="0"/>
              <w:snapToGrid w:val="0"/>
              <w:jc w:val="center"/>
              <w:rPr>
                <w:b/>
                <w:color w:val="auto"/>
                <w:kern w:val="0"/>
                <w:sz w:val="24"/>
                <w:szCs w:val="28"/>
              </w:rPr>
            </w:pPr>
            <w:r>
              <w:rPr>
                <w:b/>
                <w:color w:val="auto"/>
                <w:kern w:val="0"/>
                <w:sz w:val="24"/>
                <w:szCs w:val="28"/>
              </w:rPr>
              <w:t>表4-</w:t>
            </w:r>
            <w:r>
              <w:rPr>
                <w:rFonts w:hint="eastAsia"/>
                <w:b/>
                <w:color w:val="auto"/>
                <w:kern w:val="0"/>
                <w:sz w:val="24"/>
                <w:szCs w:val="28"/>
                <w:lang w:val="en-US" w:eastAsia="zh-CN"/>
              </w:rPr>
              <w:t>20</w:t>
            </w:r>
            <w:r>
              <w:rPr>
                <w:b/>
                <w:color w:val="auto"/>
                <w:kern w:val="0"/>
                <w:sz w:val="24"/>
                <w:szCs w:val="28"/>
              </w:rPr>
              <w:t xml:space="preserve"> 本项目</w:t>
            </w:r>
            <w:r>
              <w:rPr>
                <w:b/>
                <w:bCs/>
                <w:color w:val="auto"/>
                <w:kern w:val="0"/>
                <w:sz w:val="24"/>
                <w:szCs w:val="28"/>
              </w:rPr>
              <w:t>固体废物污染源源强核算结果</w:t>
            </w:r>
            <w:r>
              <w:rPr>
                <w:b/>
                <w:color w:val="auto"/>
                <w:kern w:val="0"/>
                <w:sz w:val="24"/>
                <w:szCs w:val="28"/>
              </w:rPr>
              <w:t>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2"/>
              <w:gridCol w:w="1231"/>
              <w:gridCol w:w="1231"/>
              <w:gridCol w:w="1150"/>
              <w:gridCol w:w="598"/>
              <w:gridCol w:w="1433"/>
              <w:gridCol w:w="1291"/>
              <w:gridCol w:w="776"/>
              <w:gridCol w:w="1192"/>
              <w:gridCol w:w="680"/>
              <w:gridCol w:w="1059"/>
              <w:gridCol w:w="1096"/>
            </w:tblGrid>
            <w:tr w14:paraId="1D5D7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28" w:type="pct"/>
                  <w:tcBorders>
                    <w:top w:val="single" w:color="auto" w:sz="12" w:space="0"/>
                    <w:bottom w:val="single" w:color="auto" w:sz="12" w:space="0"/>
                  </w:tcBorders>
                  <w:shd w:val="clear" w:color="auto" w:fill="auto"/>
                  <w:vAlign w:val="center"/>
                </w:tcPr>
                <w:p w14:paraId="56AC9ED0">
                  <w:pPr>
                    <w:overflowPunct w:val="0"/>
                    <w:adjustRightInd w:val="0"/>
                    <w:snapToGrid w:val="0"/>
                    <w:jc w:val="center"/>
                    <w:textAlignment w:val="baseline"/>
                    <w:rPr>
                      <w:b/>
                      <w:color w:val="auto"/>
                      <w:szCs w:val="21"/>
                      <w:lang w:val="zh-CN"/>
                    </w:rPr>
                  </w:pPr>
                  <w:r>
                    <w:rPr>
                      <w:b/>
                      <w:color w:val="auto"/>
                      <w:szCs w:val="21"/>
                      <w:lang w:val="zh-CN"/>
                    </w:rPr>
                    <w:t>序号</w:t>
                  </w:r>
                </w:p>
              </w:tc>
              <w:tc>
                <w:tcPr>
                  <w:tcW w:w="500" w:type="pct"/>
                  <w:tcBorders>
                    <w:top w:val="single" w:color="auto" w:sz="12" w:space="0"/>
                    <w:bottom w:val="single" w:color="auto" w:sz="12" w:space="0"/>
                  </w:tcBorders>
                  <w:shd w:val="clear" w:color="auto" w:fill="auto"/>
                  <w:vAlign w:val="center"/>
                </w:tcPr>
                <w:p w14:paraId="1DCE9D09">
                  <w:pPr>
                    <w:overflowPunct w:val="0"/>
                    <w:adjustRightInd w:val="0"/>
                    <w:snapToGrid w:val="0"/>
                    <w:jc w:val="center"/>
                    <w:textAlignment w:val="baseline"/>
                    <w:rPr>
                      <w:b/>
                      <w:color w:val="auto"/>
                      <w:szCs w:val="21"/>
                      <w:lang w:val="zh-CN"/>
                    </w:rPr>
                  </w:pPr>
                  <w:r>
                    <w:rPr>
                      <w:b/>
                      <w:color w:val="auto"/>
                      <w:szCs w:val="21"/>
                      <w:lang w:val="zh-CN"/>
                    </w:rPr>
                    <w:t>固废名称</w:t>
                  </w:r>
                </w:p>
              </w:tc>
              <w:tc>
                <w:tcPr>
                  <w:tcW w:w="500" w:type="pct"/>
                  <w:tcBorders>
                    <w:top w:val="single" w:color="auto" w:sz="12" w:space="0"/>
                    <w:bottom w:val="single" w:color="auto" w:sz="12" w:space="0"/>
                  </w:tcBorders>
                  <w:shd w:val="clear" w:color="auto" w:fill="auto"/>
                  <w:vAlign w:val="center"/>
                </w:tcPr>
                <w:p w14:paraId="6089A5FD">
                  <w:pPr>
                    <w:overflowPunct w:val="0"/>
                    <w:adjustRightInd w:val="0"/>
                    <w:snapToGrid w:val="0"/>
                    <w:jc w:val="center"/>
                    <w:textAlignment w:val="baseline"/>
                    <w:rPr>
                      <w:b/>
                      <w:color w:val="auto"/>
                      <w:szCs w:val="21"/>
                      <w:lang w:val="zh-CN"/>
                    </w:rPr>
                  </w:pPr>
                  <w:r>
                    <w:rPr>
                      <w:b/>
                      <w:color w:val="auto"/>
                      <w:szCs w:val="21"/>
                      <w:lang w:val="zh-CN"/>
                    </w:rPr>
                    <w:t>属性</w:t>
                  </w:r>
                </w:p>
              </w:tc>
              <w:tc>
                <w:tcPr>
                  <w:tcW w:w="467" w:type="pct"/>
                  <w:tcBorders>
                    <w:top w:val="single" w:color="auto" w:sz="12" w:space="0"/>
                    <w:bottom w:val="single" w:color="auto" w:sz="12" w:space="0"/>
                  </w:tcBorders>
                  <w:shd w:val="clear" w:color="auto" w:fill="auto"/>
                  <w:vAlign w:val="center"/>
                </w:tcPr>
                <w:p w14:paraId="15982A0F">
                  <w:pPr>
                    <w:overflowPunct w:val="0"/>
                    <w:adjustRightInd w:val="0"/>
                    <w:snapToGrid w:val="0"/>
                    <w:jc w:val="center"/>
                    <w:textAlignment w:val="baseline"/>
                    <w:rPr>
                      <w:b/>
                      <w:color w:val="auto"/>
                      <w:szCs w:val="21"/>
                      <w:lang w:val="zh-CN"/>
                    </w:rPr>
                  </w:pPr>
                  <w:r>
                    <w:rPr>
                      <w:b/>
                      <w:color w:val="auto"/>
                      <w:szCs w:val="21"/>
                      <w:lang w:val="zh-CN"/>
                    </w:rPr>
                    <w:t>产生工序</w:t>
                  </w:r>
                </w:p>
              </w:tc>
              <w:tc>
                <w:tcPr>
                  <w:tcW w:w="243" w:type="pct"/>
                  <w:tcBorders>
                    <w:top w:val="single" w:color="auto" w:sz="12" w:space="0"/>
                    <w:bottom w:val="single" w:color="auto" w:sz="12" w:space="0"/>
                  </w:tcBorders>
                  <w:shd w:val="clear" w:color="auto" w:fill="auto"/>
                  <w:vAlign w:val="center"/>
                </w:tcPr>
                <w:p w14:paraId="6F8913B7">
                  <w:pPr>
                    <w:overflowPunct w:val="0"/>
                    <w:adjustRightInd w:val="0"/>
                    <w:snapToGrid w:val="0"/>
                    <w:jc w:val="center"/>
                    <w:textAlignment w:val="baseline"/>
                    <w:rPr>
                      <w:b/>
                      <w:color w:val="auto"/>
                      <w:szCs w:val="21"/>
                      <w:lang w:val="zh-CN"/>
                    </w:rPr>
                  </w:pPr>
                  <w:r>
                    <w:rPr>
                      <w:b/>
                      <w:color w:val="auto"/>
                      <w:szCs w:val="21"/>
                      <w:lang w:val="zh-CN"/>
                    </w:rPr>
                    <w:t>形态</w:t>
                  </w:r>
                </w:p>
              </w:tc>
              <w:tc>
                <w:tcPr>
                  <w:tcW w:w="582" w:type="pct"/>
                  <w:tcBorders>
                    <w:top w:val="single" w:color="auto" w:sz="12" w:space="0"/>
                    <w:bottom w:val="single" w:color="auto" w:sz="12" w:space="0"/>
                  </w:tcBorders>
                  <w:shd w:val="clear" w:color="auto" w:fill="auto"/>
                  <w:vAlign w:val="center"/>
                </w:tcPr>
                <w:p w14:paraId="79CA46ED">
                  <w:pPr>
                    <w:overflowPunct w:val="0"/>
                    <w:adjustRightInd w:val="0"/>
                    <w:snapToGrid w:val="0"/>
                    <w:jc w:val="center"/>
                    <w:textAlignment w:val="baseline"/>
                    <w:rPr>
                      <w:b/>
                      <w:color w:val="auto"/>
                      <w:szCs w:val="21"/>
                      <w:lang w:val="zh-CN"/>
                    </w:rPr>
                  </w:pPr>
                  <w:r>
                    <w:rPr>
                      <w:b/>
                      <w:color w:val="auto"/>
                      <w:szCs w:val="21"/>
                      <w:lang w:val="zh-CN"/>
                    </w:rPr>
                    <w:t>主要成分</w:t>
                  </w:r>
                </w:p>
              </w:tc>
              <w:tc>
                <w:tcPr>
                  <w:tcW w:w="524" w:type="pct"/>
                  <w:tcBorders>
                    <w:top w:val="single" w:color="auto" w:sz="12" w:space="0"/>
                    <w:bottom w:val="single" w:color="auto" w:sz="12" w:space="0"/>
                  </w:tcBorders>
                  <w:shd w:val="clear" w:color="auto" w:fill="auto"/>
                  <w:vAlign w:val="center"/>
                </w:tcPr>
                <w:p w14:paraId="6EF9BEC0">
                  <w:pPr>
                    <w:overflowPunct w:val="0"/>
                    <w:adjustRightInd w:val="0"/>
                    <w:snapToGrid w:val="0"/>
                    <w:jc w:val="center"/>
                    <w:textAlignment w:val="baseline"/>
                    <w:rPr>
                      <w:b/>
                      <w:color w:val="auto"/>
                      <w:szCs w:val="21"/>
                      <w:lang w:val="zh-CN"/>
                    </w:rPr>
                  </w:pPr>
                  <w:r>
                    <w:rPr>
                      <w:b/>
                      <w:color w:val="auto"/>
                      <w:szCs w:val="21"/>
                      <w:lang w:val="zh-CN"/>
                    </w:rPr>
                    <w:t>危险特性鉴别方法</w:t>
                  </w:r>
                </w:p>
              </w:tc>
              <w:tc>
                <w:tcPr>
                  <w:tcW w:w="315" w:type="pct"/>
                  <w:tcBorders>
                    <w:top w:val="single" w:color="auto" w:sz="12" w:space="0"/>
                    <w:bottom w:val="single" w:color="auto" w:sz="12" w:space="0"/>
                  </w:tcBorders>
                  <w:shd w:val="clear" w:color="auto" w:fill="auto"/>
                  <w:vAlign w:val="center"/>
                </w:tcPr>
                <w:p w14:paraId="651CFD6E">
                  <w:pPr>
                    <w:overflowPunct w:val="0"/>
                    <w:adjustRightInd w:val="0"/>
                    <w:snapToGrid w:val="0"/>
                    <w:jc w:val="center"/>
                    <w:textAlignment w:val="baseline"/>
                    <w:rPr>
                      <w:b/>
                      <w:color w:val="auto"/>
                      <w:szCs w:val="21"/>
                      <w:lang w:val="zh-CN"/>
                    </w:rPr>
                  </w:pPr>
                  <w:r>
                    <w:rPr>
                      <w:b/>
                      <w:color w:val="auto"/>
                      <w:szCs w:val="21"/>
                      <w:lang w:val="zh-CN"/>
                    </w:rPr>
                    <w:t>废物</w:t>
                  </w:r>
                </w:p>
                <w:p w14:paraId="240E6BCE">
                  <w:pPr>
                    <w:overflowPunct w:val="0"/>
                    <w:adjustRightInd w:val="0"/>
                    <w:snapToGrid w:val="0"/>
                    <w:jc w:val="center"/>
                    <w:textAlignment w:val="baseline"/>
                    <w:rPr>
                      <w:b/>
                      <w:color w:val="auto"/>
                      <w:szCs w:val="21"/>
                      <w:lang w:val="zh-CN"/>
                    </w:rPr>
                  </w:pPr>
                  <w:r>
                    <w:rPr>
                      <w:b/>
                      <w:color w:val="auto"/>
                      <w:szCs w:val="21"/>
                      <w:lang w:val="zh-CN"/>
                    </w:rPr>
                    <w:t>类别</w:t>
                  </w:r>
                </w:p>
              </w:tc>
              <w:tc>
                <w:tcPr>
                  <w:tcW w:w="484" w:type="pct"/>
                  <w:tcBorders>
                    <w:top w:val="single" w:color="auto" w:sz="12" w:space="0"/>
                    <w:bottom w:val="single" w:color="auto" w:sz="12" w:space="0"/>
                  </w:tcBorders>
                  <w:shd w:val="clear" w:color="auto" w:fill="auto"/>
                  <w:vAlign w:val="center"/>
                </w:tcPr>
                <w:p w14:paraId="0A37F5C8">
                  <w:pPr>
                    <w:overflowPunct w:val="0"/>
                    <w:adjustRightInd w:val="0"/>
                    <w:snapToGrid w:val="0"/>
                    <w:jc w:val="center"/>
                    <w:textAlignment w:val="baseline"/>
                    <w:rPr>
                      <w:b/>
                      <w:color w:val="auto"/>
                      <w:szCs w:val="21"/>
                      <w:lang w:val="zh-CN"/>
                    </w:rPr>
                  </w:pPr>
                  <w:r>
                    <w:rPr>
                      <w:b/>
                      <w:color w:val="auto"/>
                      <w:szCs w:val="21"/>
                      <w:lang w:val="zh-CN"/>
                    </w:rPr>
                    <w:t>废物代码</w:t>
                  </w:r>
                </w:p>
              </w:tc>
              <w:tc>
                <w:tcPr>
                  <w:tcW w:w="276" w:type="pct"/>
                  <w:tcBorders>
                    <w:top w:val="single" w:color="auto" w:sz="12" w:space="0"/>
                    <w:bottom w:val="single" w:color="auto" w:sz="12" w:space="0"/>
                  </w:tcBorders>
                  <w:shd w:val="clear" w:color="auto" w:fill="auto"/>
                  <w:vAlign w:val="center"/>
                </w:tcPr>
                <w:p w14:paraId="29BD37DE">
                  <w:pPr>
                    <w:overflowPunct w:val="0"/>
                    <w:adjustRightInd w:val="0"/>
                    <w:snapToGrid w:val="0"/>
                    <w:jc w:val="center"/>
                    <w:textAlignment w:val="baseline"/>
                    <w:rPr>
                      <w:b/>
                      <w:color w:val="auto"/>
                      <w:szCs w:val="21"/>
                      <w:lang w:val="zh-CN"/>
                    </w:rPr>
                  </w:pPr>
                  <w:r>
                    <w:rPr>
                      <w:b/>
                      <w:color w:val="auto"/>
                      <w:szCs w:val="21"/>
                      <w:lang w:val="zh-CN"/>
                    </w:rPr>
                    <w:t>危险特性</w:t>
                  </w:r>
                </w:p>
              </w:tc>
              <w:tc>
                <w:tcPr>
                  <w:tcW w:w="430" w:type="pct"/>
                  <w:tcBorders>
                    <w:top w:val="single" w:color="auto" w:sz="12" w:space="0"/>
                    <w:bottom w:val="single" w:color="auto" w:sz="12" w:space="0"/>
                  </w:tcBorders>
                  <w:shd w:val="clear" w:color="auto" w:fill="auto"/>
                  <w:vAlign w:val="center"/>
                </w:tcPr>
                <w:p w14:paraId="47090B09">
                  <w:pPr>
                    <w:overflowPunct w:val="0"/>
                    <w:adjustRightInd w:val="0"/>
                    <w:snapToGrid w:val="0"/>
                    <w:jc w:val="center"/>
                    <w:textAlignment w:val="baseline"/>
                    <w:rPr>
                      <w:b/>
                      <w:color w:val="auto"/>
                      <w:szCs w:val="21"/>
                      <w:lang w:val="zh-CN"/>
                    </w:rPr>
                  </w:pPr>
                  <w:r>
                    <w:rPr>
                      <w:b/>
                      <w:color w:val="auto"/>
                      <w:szCs w:val="21"/>
                      <w:lang w:val="zh-CN"/>
                    </w:rPr>
                    <w:t>估算产生量（t/a）</w:t>
                  </w:r>
                </w:p>
              </w:tc>
              <w:tc>
                <w:tcPr>
                  <w:tcW w:w="445" w:type="pct"/>
                  <w:tcBorders>
                    <w:top w:val="single" w:color="auto" w:sz="12" w:space="0"/>
                    <w:bottom w:val="single" w:color="auto" w:sz="12" w:space="0"/>
                  </w:tcBorders>
                  <w:shd w:val="clear" w:color="auto" w:fill="auto"/>
                  <w:vAlign w:val="center"/>
                </w:tcPr>
                <w:p w14:paraId="7062EEEF">
                  <w:pPr>
                    <w:overflowPunct w:val="0"/>
                    <w:adjustRightInd w:val="0"/>
                    <w:snapToGrid w:val="0"/>
                    <w:jc w:val="center"/>
                    <w:textAlignment w:val="baseline"/>
                    <w:rPr>
                      <w:b/>
                      <w:color w:val="auto"/>
                      <w:szCs w:val="21"/>
                      <w:lang w:val="zh-CN"/>
                    </w:rPr>
                  </w:pPr>
                  <w:r>
                    <w:rPr>
                      <w:b/>
                      <w:color w:val="auto"/>
                      <w:szCs w:val="21"/>
                      <w:lang w:val="zh-CN"/>
                    </w:rPr>
                    <w:t>利用处置方式</w:t>
                  </w:r>
                </w:p>
              </w:tc>
            </w:tr>
            <w:tr w14:paraId="16C58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8" w:type="pct"/>
                  <w:tcBorders>
                    <w:top w:val="single" w:color="auto" w:sz="4" w:space="0"/>
                    <w:bottom w:val="single" w:color="auto" w:sz="4" w:space="0"/>
                  </w:tcBorders>
                  <w:shd w:val="clear" w:color="auto" w:fill="auto"/>
                  <w:vAlign w:val="center"/>
                </w:tcPr>
                <w:p w14:paraId="3F6D796F">
                  <w:pPr>
                    <w:adjustRightInd w:val="0"/>
                    <w:snapToGrid w:val="0"/>
                    <w:jc w:val="center"/>
                    <w:rPr>
                      <w:color w:val="auto"/>
                      <w:szCs w:val="21"/>
                    </w:rPr>
                  </w:pPr>
                  <w:r>
                    <w:rPr>
                      <w:rFonts w:hint="eastAsia"/>
                      <w:color w:val="auto"/>
                      <w:szCs w:val="21"/>
                    </w:rPr>
                    <w:t>1</w:t>
                  </w:r>
                </w:p>
              </w:tc>
              <w:tc>
                <w:tcPr>
                  <w:tcW w:w="500" w:type="pct"/>
                  <w:tcBorders>
                    <w:top w:val="single" w:color="auto" w:sz="4" w:space="0"/>
                    <w:bottom w:val="single" w:color="auto" w:sz="4" w:space="0"/>
                  </w:tcBorders>
                  <w:shd w:val="clear" w:color="auto" w:fill="auto"/>
                  <w:vAlign w:val="center"/>
                </w:tcPr>
                <w:p w14:paraId="67D99067">
                  <w:pPr>
                    <w:overflowPunct w:val="0"/>
                    <w:adjustRightInd w:val="0"/>
                    <w:snapToGrid w:val="0"/>
                    <w:jc w:val="center"/>
                    <w:textAlignment w:val="baseline"/>
                    <w:rPr>
                      <w:color w:val="auto"/>
                      <w:szCs w:val="21"/>
                      <w:lang w:val="zh-CN"/>
                    </w:rPr>
                  </w:pPr>
                  <w:r>
                    <w:rPr>
                      <w:rFonts w:hint="eastAsia"/>
                      <w:color w:val="auto"/>
                      <w:szCs w:val="21"/>
                      <w:lang w:val="zh-CN"/>
                    </w:rPr>
                    <w:t>废杂物</w:t>
                  </w:r>
                </w:p>
              </w:tc>
              <w:tc>
                <w:tcPr>
                  <w:tcW w:w="500" w:type="pct"/>
                  <w:vMerge w:val="restart"/>
                  <w:shd w:val="clear" w:color="auto" w:fill="auto"/>
                  <w:vAlign w:val="center"/>
                </w:tcPr>
                <w:p w14:paraId="5B846986">
                  <w:pPr>
                    <w:adjustRightInd w:val="0"/>
                    <w:snapToGrid w:val="0"/>
                    <w:jc w:val="center"/>
                    <w:rPr>
                      <w:color w:val="auto"/>
                      <w:szCs w:val="21"/>
                    </w:rPr>
                  </w:pPr>
                  <w:r>
                    <w:rPr>
                      <w:rFonts w:hint="eastAsia"/>
                      <w:color w:val="auto"/>
                      <w:szCs w:val="21"/>
                    </w:rPr>
                    <w:t>一般工业固废</w:t>
                  </w:r>
                </w:p>
              </w:tc>
              <w:tc>
                <w:tcPr>
                  <w:tcW w:w="467" w:type="pct"/>
                  <w:tcBorders>
                    <w:top w:val="single" w:color="auto" w:sz="4" w:space="0"/>
                    <w:bottom w:val="single" w:color="auto" w:sz="4" w:space="0"/>
                  </w:tcBorders>
                  <w:shd w:val="clear" w:color="auto" w:fill="auto"/>
                  <w:vAlign w:val="center"/>
                </w:tcPr>
                <w:p w14:paraId="137BDC05">
                  <w:pPr>
                    <w:overflowPunct w:val="0"/>
                    <w:adjustRightInd w:val="0"/>
                    <w:snapToGrid w:val="0"/>
                    <w:jc w:val="center"/>
                    <w:textAlignment w:val="baseline"/>
                    <w:rPr>
                      <w:color w:val="auto"/>
                      <w:szCs w:val="21"/>
                      <w:lang w:val="zh-CN"/>
                    </w:rPr>
                  </w:pPr>
                  <w:r>
                    <w:rPr>
                      <w:rFonts w:hint="eastAsia"/>
                      <w:color w:val="auto"/>
                      <w:szCs w:val="21"/>
                      <w:lang w:val="zh-CN"/>
                    </w:rPr>
                    <w:t>挑拣、除杂</w:t>
                  </w:r>
                </w:p>
              </w:tc>
              <w:tc>
                <w:tcPr>
                  <w:tcW w:w="243" w:type="pct"/>
                  <w:tcBorders>
                    <w:top w:val="single" w:color="auto" w:sz="4" w:space="0"/>
                    <w:bottom w:val="single" w:color="auto" w:sz="4" w:space="0"/>
                  </w:tcBorders>
                  <w:shd w:val="clear" w:color="auto" w:fill="auto"/>
                  <w:vAlign w:val="center"/>
                </w:tcPr>
                <w:p w14:paraId="632E06AC">
                  <w:pPr>
                    <w:overflowPunct w:val="0"/>
                    <w:adjustRightInd w:val="0"/>
                    <w:snapToGrid w:val="0"/>
                    <w:jc w:val="center"/>
                    <w:textAlignment w:val="baseline"/>
                    <w:rPr>
                      <w:color w:val="auto"/>
                      <w:szCs w:val="21"/>
                      <w:lang w:val="zh-CN"/>
                    </w:rPr>
                  </w:pPr>
                  <w:r>
                    <w:rPr>
                      <w:color w:val="auto"/>
                      <w:szCs w:val="21"/>
                      <w:lang w:val="zh-CN"/>
                    </w:rPr>
                    <w:t>固</w:t>
                  </w:r>
                </w:p>
              </w:tc>
              <w:tc>
                <w:tcPr>
                  <w:tcW w:w="582" w:type="pct"/>
                  <w:tcBorders>
                    <w:top w:val="single" w:color="auto" w:sz="4" w:space="0"/>
                    <w:bottom w:val="single" w:color="auto" w:sz="4" w:space="0"/>
                  </w:tcBorders>
                  <w:shd w:val="clear" w:color="auto" w:fill="auto"/>
                  <w:vAlign w:val="center"/>
                </w:tcPr>
                <w:p w14:paraId="21BB1DB9">
                  <w:pPr>
                    <w:overflowPunct w:val="0"/>
                    <w:adjustRightInd w:val="0"/>
                    <w:snapToGrid w:val="0"/>
                    <w:jc w:val="center"/>
                    <w:textAlignment w:val="baseline"/>
                    <w:rPr>
                      <w:color w:val="auto"/>
                      <w:szCs w:val="21"/>
                      <w:lang w:val="zh-CN"/>
                    </w:rPr>
                  </w:pPr>
                  <w:r>
                    <w:rPr>
                      <w:rFonts w:hint="eastAsia"/>
                      <w:color w:val="auto"/>
                      <w:szCs w:val="21"/>
                      <w:lang w:val="zh-CN"/>
                    </w:rPr>
                    <w:t>鱼皮、裙带菜杂质</w:t>
                  </w:r>
                </w:p>
              </w:tc>
              <w:tc>
                <w:tcPr>
                  <w:tcW w:w="524" w:type="pct"/>
                  <w:vMerge w:val="restart"/>
                  <w:shd w:val="clear" w:color="auto" w:fill="auto"/>
                  <w:vAlign w:val="center"/>
                </w:tcPr>
                <w:p w14:paraId="1D8EAE39">
                  <w:pPr>
                    <w:rPr>
                      <w:rFonts w:hint="eastAsia" w:eastAsia="宋体"/>
                      <w:color w:val="auto"/>
                      <w:lang w:val="en-US" w:eastAsia="zh-CN"/>
                    </w:rPr>
                  </w:pPr>
                  <w:r>
                    <w:rPr>
                      <w:rFonts w:hint="eastAsia"/>
                      <w:color w:val="auto"/>
                      <w:lang w:val="en-US" w:eastAsia="zh-CN"/>
                    </w:rPr>
                    <w:t>《固体废物分类与代码目录2024版》</w:t>
                  </w:r>
                </w:p>
              </w:tc>
              <w:tc>
                <w:tcPr>
                  <w:tcW w:w="315" w:type="pct"/>
                  <w:tcBorders>
                    <w:top w:val="single" w:color="auto" w:sz="4" w:space="0"/>
                    <w:bottom w:val="single" w:color="auto" w:sz="4" w:space="0"/>
                  </w:tcBorders>
                  <w:shd w:val="clear" w:color="auto" w:fill="auto"/>
                  <w:vAlign w:val="center"/>
                </w:tcPr>
                <w:p w14:paraId="4B22780E">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SW13</w:t>
                  </w:r>
                </w:p>
              </w:tc>
              <w:tc>
                <w:tcPr>
                  <w:tcW w:w="484" w:type="pct"/>
                  <w:tcBorders>
                    <w:top w:val="single" w:color="auto" w:sz="4" w:space="0"/>
                    <w:bottom w:val="single" w:color="auto" w:sz="4" w:space="0"/>
                  </w:tcBorders>
                  <w:shd w:val="clear" w:color="auto" w:fill="auto"/>
                  <w:vAlign w:val="center"/>
                </w:tcPr>
                <w:p w14:paraId="0D27BCEC">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135-002-S13</w:t>
                  </w:r>
                </w:p>
              </w:tc>
              <w:tc>
                <w:tcPr>
                  <w:tcW w:w="276" w:type="pct"/>
                  <w:tcBorders>
                    <w:top w:val="single" w:color="auto" w:sz="4" w:space="0"/>
                    <w:bottom w:val="single" w:color="auto" w:sz="4" w:space="0"/>
                  </w:tcBorders>
                  <w:shd w:val="clear" w:color="auto" w:fill="auto"/>
                  <w:vAlign w:val="center"/>
                </w:tcPr>
                <w:p w14:paraId="3739A787">
                  <w:pPr>
                    <w:overflowPunct w:val="0"/>
                    <w:adjustRightInd w:val="0"/>
                    <w:snapToGrid w:val="0"/>
                    <w:jc w:val="center"/>
                    <w:textAlignment w:val="baseline"/>
                    <w:rPr>
                      <w:color w:val="auto"/>
                      <w:szCs w:val="21"/>
                    </w:rPr>
                  </w:pPr>
                  <w:r>
                    <w:rPr>
                      <w:color w:val="auto"/>
                      <w:szCs w:val="21"/>
                    </w:rPr>
                    <w:t>/</w:t>
                  </w:r>
                </w:p>
              </w:tc>
              <w:tc>
                <w:tcPr>
                  <w:tcW w:w="430" w:type="pct"/>
                  <w:tcBorders>
                    <w:top w:val="single" w:color="auto" w:sz="4" w:space="0"/>
                    <w:bottom w:val="single" w:color="auto" w:sz="4" w:space="0"/>
                  </w:tcBorders>
                  <w:shd w:val="clear" w:color="auto" w:fill="auto"/>
                  <w:vAlign w:val="center"/>
                </w:tcPr>
                <w:p w14:paraId="5FE1EA41">
                  <w:pPr>
                    <w:adjustRightInd w:val="0"/>
                    <w:snapToGrid w:val="0"/>
                    <w:jc w:val="center"/>
                    <w:rPr>
                      <w:rFonts w:hint="default" w:eastAsia="宋体"/>
                      <w:color w:val="auto"/>
                      <w:szCs w:val="21"/>
                      <w:lang w:val="en-US" w:eastAsia="zh-CN"/>
                    </w:rPr>
                  </w:pPr>
                  <w:r>
                    <w:rPr>
                      <w:rFonts w:hint="eastAsia"/>
                      <w:color w:val="auto"/>
                      <w:szCs w:val="21"/>
                      <w:lang w:val="en-US" w:eastAsia="zh-CN"/>
                    </w:rPr>
                    <w:t>1.5</w:t>
                  </w:r>
                </w:p>
              </w:tc>
              <w:tc>
                <w:tcPr>
                  <w:tcW w:w="445" w:type="pct"/>
                  <w:shd w:val="clear" w:color="auto" w:fill="auto"/>
                  <w:vAlign w:val="center"/>
                </w:tcPr>
                <w:p w14:paraId="3B9E1567">
                  <w:pPr>
                    <w:adjustRightInd w:val="0"/>
                    <w:snapToGrid w:val="0"/>
                    <w:jc w:val="center"/>
                    <w:rPr>
                      <w:color w:val="auto"/>
                      <w:szCs w:val="21"/>
                    </w:rPr>
                  </w:pPr>
                  <w:r>
                    <w:rPr>
                      <w:rFonts w:hint="eastAsia"/>
                      <w:color w:val="auto"/>
                      <w:szCs w:val="21"/>
                    </w:rPr>
                    <w:t>环卫清运</w:t>
                  </w:r>
                </w:p>
              </w:tc>
            </w:tr>
            <w:tr w14:paraId="5D807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8" w:type="pct"/>
                  <w:tcBorders>
                    <w:top w:val="single" w:color="auto" w:sz="4" w:space="0"/>
                    <w:bottom w:val="single" w:color="auto" w:sz="4" w:space="0"/>
                  </w:tcBorders>
                  <w:shd w:val="clear" w:color="auto" w:fill="auto"/>
                  <w:vAlign w:val="center"/>
                </w:tcPr>
                <w:p w14:paraId="06933E51">
                  <w:pPr>
                    <w:adjustRightInd w:val="0"/>
                    <w:snapToGrid w:val="0"/>
                    <w:jc w:val="center"/>
                    <w:rPr>
                      <w:rFonts w:hint="eastAsia" w:eastAsia="宋体"/>
                      <w:color w:val="auto"/>
                      <w:szCs w:val="21"/>
                      <w:lang w:val="en-US" w:eastAsia="zh-CN"/>
                    </w:rPr>
                  </w:pPr>
                  <w:r>
                    <w:rPr>
                      <w:rFonts w:hint="eastAsia"/>
                      <w:color w:val="auto"/>
                      <w:szCs w:val="21"/>
                      <w:lang w:val="en-US" w:eastAsia="zh-CN"/>
                    </w:rPr>
                    <w:t>2</w:t>
                  </w:r>
                </w:p>
              </w:tc>
              <w:tc>
                <w:tcPr>
                  <w:tcW w:w="500" w:type="pct"/>
                  <w:tcBorders>
                    <w:top w:val="single" w:color="auto" w:sz="4" w:space="0"/>
                    <w:bottom w:val="single" w:color="auto" w:sz="4" w:space="0"/>
                  </w:tcBorders>
                  <w:shd w:val="clear" w:color="auto" w:fill="auto"/>
                  <w:vAlign w:val="center"/>
                </w:tcPr>
                <w:p w14:paraId="5A4A6606">
                  <w:pPr>
                    <w:overflowPunct w:val="0"/>
                    <w:adjustRightInd w:val="0"/>
                    <w:snapToGrid w:val="0"/>
                    <w:jc w:val="center"/>
                    <w:textAlignment w:val="baseline"/>
                    <w:rPr>
                      <w:rFonts w:hint="eastAsia"/>
                      <w:color w:val="auto"/>
                      <w:szCs w:val="21"/>
                      <w:lang w:val="zh-CN"/>
                    </w:rPr>
                  </w:pPr>
                  <w:r>
                    <w:rPr>
                      <w:rFonts w:hint="eastAsia"/>
                      <w:color w:val="auto"/>
                      <w:szCs w:val="21"/>
                      <w:lang w:val="zh-CN"/>
                    </w:rPr>
                    <w:t>不合格品</w:t>
                  </w:r>
                </w:p>
              </w:tc>
              <w:tc>
                <w:tcPr>
                  <w:tcW w:w="500" w:type="pct"/>
                  <w:vMerge w:val="continue"/>
                  <w:shd w:val="clear" w:color="auto" w:fill="auto"/>
                  <w:vAlign w:val="center"/>
                </w:tcPr>
                <w:p w14:paraId="659FD963">
                  <w:pPr>
                    <w:adjustRightInd w:val="0"/>
                    <w:snapToGrid w:val="0"/>
                    <w:jc w:val="center"/>
                    <w:rPr>
                      <w:rFonts w:hint="eastAsia"/>
                      <w:color w:val="auto"/>
                      <w:szCs w:val="21"/>
                    </w:rPr>
                  </w:pPr>
                </w:p>
              </w:tc>
              <w:tc>
                <w:tcPr>
                  <w:tcW w:w="467" w:type="pct"/>
                  <w:tcBorders>
                    <w:top w:val="single" w:color="auto" w:sz="4" w:space="0"/>
                    <w:bottom w:val="single" w:color="auto" w:sz="4" w:space="0"/>
                  </w:tcBorders>
                  <w:shd w:val="clear" w:color="auto" w:fill="auto"/>
                  <w:vAlign w:val="center"/>
                </w:tcPr>
                <w:p w14:paraId="65C7B51D">
                  <w:pPr>
                    <w:overflowPunct w:val="0"/>
                    <w:adjustRightInd w:val="0"/>
                    <w:snapToGrid w:val="0"/>
                    <w:jc w:val="center"/>
                    <w:textAlignment w:val="baseline"/>
                    <w:rPr>
                      <w:rFonts w:hint="eastAsia"/>
                      <w:color w:val="auto"/>
                      <w:szCs w:val="21"/>
                      <w:lang w:val="zh-CN"/>
                    </w:rPr>
                  </w:pPr>
                  <w:r>
                    <w:rPr>
                      <w:rFonts w:hint="eastAsia"/>
                      <w:color w:val="auto"/>
                      <w:szCs w:val="21"/>
                      <w:lang w:val="zh-CN"/>
                    </w:rPr>
                    <w:t>检测、质检</w:t>
                  </w:r>
                </w:p>
              </w:tc>
              <w:tc>
                <w:tcPr>
                  <w:tcW w:w="243" w:type="pct"/>
                  <w:tcBorders>
                    <w:top w:val="single" w:color="auto" w:sz="4" w:space="0"/>
                    <w:bottom w:val="single" w:color="auto" w:sz="4" w:space="0"/>
                  </w:tcBorders>
                  <w:shd w:val="clear" w:color="auto" w:fill="auto"/>
                  <w:vAlign w:val="center"/>
                </w:tcPr>
                <w:p w14:paraId="158F92C9">
                  <w:pPr>
                    <w:overflowPunct w:val="0"/>
                    <w:adjustRightInd w:val="0"/>
                    <w:snapToGrid w:val="0"/>
                    <w:jc w:val="center"/>
                    <w:textAlignment w:val="baseline"/>
                    <w:rPr>
                      <w:rFonts w:ascii="Times New Roman" w:hAnsi="Times New Roman" w:eastAsia="宋体" w:cs="Times New Roman"/>
                      <w:color w:val="auto"/>
                      <w:kern w:val="2"/>
                      <w:sz w:val="21"/>
                      <w:szCs w:val="21"/>
                      <w:lang w:val="zh-CN" w:eastAsia="zh-CN" w:bidi="ar-SA"/>
                    </w:rPr>
                  </w:pPr>
                  <w:r>
                    <w:rPr>
                      <w:color w:val="auto"/>
                      <w:szCs w:val="21"/>
                      <w:lang w:val="zh-CN"/>
                    </w:rPr>
                    <w:t>固</w:t>
                  </w:r>
                </w:p>
              </w:tc>
              <w:tc>
                <w:tcPr>
                  <w:tcW w:w="582" w:type="pct"/>
                  <w:tcBorders>
                    <w:top w:val="single" w:color="auto" w:sz="4" w:space="0"/>
                    <w:bottom w:val="single" w:color="auto" w:sz="4" w:space="0"/>
                  </w:tcBorders>
                  <w:shd w:val="clear" w:color="auto" w:fill="auto"/>
                  <w:vAlign w:val="center"/>
                </w:tcPr>
                <w:p w14:paraId="44BD2F98">
                  <w:pPr>
                    <w:overflowPunct w:val="0"/>
                    <w:adjustRightInd w:val="0"/>
                    <w:snapToGrid w:val="0"/>
                    <w:jc w:val="center"/>
                    <w:textAlignment w:val="baseline"/>
                    <w:rPr>
                      <w:rFonts w:hint="eastAsia" w:ascii="Times New Roman" w:hAnsi="Times New Roman" w:eastAsia="宋体" w:cs="Times New Roman"/>
                      <w:color w:val="auto"/>
                      <w:kern w:val="2"/>
                      <w:sz w:val="21"/>
                      <w:szCs w:val="21"/>
                      <w:lang w:val="zh-CN" w:eastAsia="zh-CN" w:bidi="ar-SA"/>
                    </w:rPr>
                  </w:pPr>
                  <w:r>
                    <w:rPr>
                      <w:rFonts w:hint="eastAsia"/>
                      <w:color w:val="auto"/>
                      <w:szCs w:val="21"/>
                      <w:lang w:val="zh-CN"/>
                    </w:rPr>
                    <w:t>鱼皮、裙带菜杂质</w:t>
                  </w:r>
                </w:p>
              </w:tc>
              <w:tc>
                <w:tcPr>
                  <w:tcW w:w="524" w:type="pct"/>
                  <w:vMerge w:val="continue"/>
                  <w:shd w:val="clear" w:color="auto" w:fill="auto"/>
                  <w:vAlign w:val="center"/>
                </w:tcPr>
                <w:p w14:paraId="475A2F0F">
                  <w:pPr>
                    <w:rPr>
                      <w:rFonts w:hint="eastAsia"/>
                      <w:color w:val="auto"/>
                      <w:lang w:val="en-US" w:eastAsia="zh-CN"/>
                    </w:rPr>
                  </w:pPr>
                </w:p>
              </w:tc>
              <w:tc>
                <w:tcPr>
                  <w:tcW w:w="315" w:type="pct"/>
                  <w:tcBorders>
                    <w:top w:val="single" w:color="auto" w:sz="4" w:space="0"/>
                    <w:bottom w:val="single" w:color="auto" w:sz="4" w:space="0"/>
                  </w:tcBorders>
                  <w:shd w:val="clear" w:color="auto" w:fill="auto"/>
                  <w:vAlign w:val="center"/>
                </w:tcPr>
                <w:p w14:paraId="70391137">
                  <w:pPr>
                    <w:overflowPunct w:val="0"/>
                    <w:adjustRightInd w:val="0"/>
                    <w:snapToGrid w:val="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SW13</w:t>
                  </w:r>
                </w:p>
              </w:tc>
              <w:tc>
                <w:tcPr>
                  <w:tcW w:w="484" w:type="pct"/>
                  <w:tcBorders>
                    <w:top w:val="single" w:color="auto" w:sz="4" w:space="0"/>
                    <w:bottom w:val="single" w:color="auto" w:sz="4" w:space="0"/>
                  </w:tcBorders>
                  <w:shd w:val="clear" w:color="auto" w:fill="auto"/>
                  <w:vAlign w:val="center"/>
                </w:tcPr>
                <w:p w14:paraId="1F5C9BDB">
                  <w:pPr>
                    <w:overflowPunct w:val="0"/>
                    <w:adjustRightInd w:val="0"/>
                    <w:snapToGrid w:val="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135-002-S13</w:t>
                  </w:r>
                </w:p>
              </w:tc>
              <w:tc>
                <w:tcPr>
                  <w:tcW w:w="276" w:type="pct"/>
                  <w:tcBorders>
                    <w:top w:val="single" w:color="auto" w:sz="4" w:space="0"/>
                    <w:bottom w:val="single" w:color="auto" w:sz="4" w:space="0"/>
                  </w:tcBorders>
                  <w:shd w:val="clear" w:color="auto" w:fill="auto"/>
                  <w:vAlign w:val="center"/>
                </w:tcPr>
                <w:p w14:paraId="35AE19DD">
                  <w:pPr>
                    <w:overflowPunct w:val="0"/>
                    <w:adjustRightInd w:val="0"/>
                    <w:snapToGrid w:val="0"/>
                    <w:jc w:val="center"/>
                    <w:textAlignment w:val="baseline"/>
                    <w:rPr>
                      <w:color w:val="auto"/>
                      <w:szCs w:val="21"/>
                    </w:rPr>
                  </w:pPr>
                  <w:r>
                    <w:rPr>
                      <w:color w:val="auto"/>
                      <w:szCs w:val="21"/>
                    </w:rPr>
                    <w:t>/</w:t>
                  </w:r>
                </w:p>
              </w:tc>
              <w:tc>
                <w:tcPr>
                  <w:tcW w:w="430" w:type="pct"/>
                  <w:tcBorders>
                    <w:top w:val="single" w:color="auto" w:sz="4" w:space="0"/>
                    <w:bottom w:val="single" w:color="auto" w:sz="4" w:space="0"/>
                  </w:tcBorders>
                  <w:shd w:val="clear" w:color="auto" w:fill="auto"/>
                  <w:vAlign w:val="center"/>
                </w:tcPr>
                <w:p w14:paraId="379B2FC8">
                  <w:pPr>
                    <w:adjustRightInd w:val="0"/>
                    <w:snapToGrid w:val="0"/>
                    <w:jc w:val="center"/>
                    <w:rPr>
                      <w:rFonts w:hint="default"/>
                      <w:color w:val="auto"/>
                      <w:szCs w:val="21"/>
                      <w:lang w:val="en-US" w:eastAsia="zh-CN"/>
                    </w:rPr>
                  </w:pPr>
                  <w:r>
                    <w:rPr>
                      <w:rFonts w:hint="eastAsia"/>
                      <w:color w:val="auto"/>
                      <w:szCs w:val="21"/>
                      <w:lang w:val="en-US" w:eastAsia="zh-CN"/>
                    </w:rPr>
                    <w:t>0.9</w:t>
                  </w:r>
                </w:p>
              </w:tc>
              <w:tc>
                <w:tcPr>
                  <w:tcW w:w="445" w:type="pct"/>
                  <w:shd w:val="clear" w:color="auto" w:fill="auto"/>
                  <w:vAlign w:val="center"/>
                </w:tcPr>
                <w:p w14:paraId="3FB58E14">
                  <w:pPr>
                    <w:adjustRightInd w:val="0"/>
                    <w:snapToGrid w:val="0"/>
                    <w:jc w:val="center"/>
                    <w:rPr>
                      <w:rFonts w:hint="eastAsia" w:eastAsia="宋体"/>
                      <w:color w:val="auto"/>
                      <w:szCs w:val="21"/>
                      <w:lang w:eastAsia="zh-CN"/>
                    </w:rPr>
                  </w:pPr>
                  <w:r>
                    <w:rPr>
                      <w:rFonts w:hint="eastAsia"/>
                      <w:color w:val="auto"/>
                      <w:szCs w:val="21"/>
                      <w:lang w:eastAsia="zh-CN"/>
                    </w:rPr>
                    <w:t>回用于生产</w:t>
                  </w:r>
                </w:p>
              </w:tc>
            </w:tr>
            <w:tr w14:paraId="7E865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8" w:type="pct"/>
                  <w:tcBorders>
                    <w:top w:val="single" w:color="auto" w:sz="4" w:space="0"/>
                    <w:bottom w:val="single" w:color="auto" w:sz="4" w:space="0"/>
                  </w:tcBorders>
                  <w:shd w:val="clear" w:color="auto" w:fill="auto"/>
                  <w:vAlign w:val="center"/>
                </w:tcPr>
                <w:p w14:paraId="5CDE6810">
                  <w:pPr>
                    <w:adjustRightInd w:val="0"/>
                    <w:snapToGrid w:val="0"/>
                    <w:jc w:val="center"/>
                    <w:rPr>
                      <w:rFonts w:hint="eastAsia" w:eastAsia="宋体"/>
                      <w:color w:val="auto"/>
                      <w:szCs w:val="21"/>
                      <w:lang w:eastAsia="zh-CN"/>
                    </w:rPr>
                  </w:pPr>
                  <w:r>
                    <w:rPr>
                      <w:rFonts w:hint="eastAsia"/>
                      <w:color w:val="auto"/>
                      <w:szCs w:val="21"/>
                      <w:lang w:val="en-US" w:eastAsia="zh-CN"/>
                    </w:rPr>
                    <w:t>3</w:t>
                  </w:r>
                </w:p>
              </w:tc>
              <w:tc>
                <w:tcPr>
                  <w:tcW w:w="500" w:type="pct"/>
                  <w:tcBorders>
                    <w:top w:val="single" w:color="auto" w:sz="4" w:space="0"/>
                    <w:bottom w:val="single" w:color="auto" w:sz="4" w:space="0"/>
                  </w:tcBorders>
                  <w:shd w:val="clear" w:color="auto" w:fill="auto"/>
                  <w:vAlign w:val="center"/>
                </w:tcPr>
                <w:p w14:paraId="00C62CA1">
                  <w:pPr>
                    <w:overflowPunct w:val="0"/>
                    <w:adjustRightInd w:val="0"/>
                    <w:snapToGrid w:val="0"/>
                    <w:jc w:val="center"/>
                    <w:textAlignment w:val="baseline"/>
                    <w:rPr>
                      <w:color w:val="auto"/>
                      <w:szCs w:val="21"/>
                      <w:lang w:val="zh-CN"/>
                    </w:rPr>
                  </w:pPr>
                  <w:r>
                    <w:rPr>
                      <w:color w:val="auto"/>
                      <w:szCs w:val="21"/>
                    </w:rPr>
                    <w:t>废</w:t>
                  </w:r>
                  <w:r>
                    <w:rPr>
                      <w:rFonts w:hint="eastAsia"/>
                      <w:color w:val="auto"/>
                      <w:szCs w:val="21"/>
                    </w:rPr>
                    <w:t>包装材料</w:t>
                  </w:r>
                </w:p>
              </w:tc>
              <w:tc>
                <w:tcPr>
                  <w:tcW w:w="500" w:type="pct"/>
                  <w:vMerge w:val="continue"/>
                  <w:shd w:val="clear" w:color="auto" w:fill="auto"/>
                  <w:vAlign w:val="center"/>
                </w:tcPr>
                <w:p w14:paraId="25C66CB4">
                  <w:pPr>
                    <w:adjustRightInd w:val="0"/>
                    <w:snapToGrid w:val="0"/>
                    <w:jc w:val="center"/>
                    <w:rPr>
                      <w:color w:val="auto"/>
                      <w:szCs w:val="21"/>
                    </w:rPr>
                  </w:pPr>
                </w:p>
              </w:tc>
              <w:tc>
                <w:tcPr>
                  <w:tcW w:w="467" w:type="pct"/>
                  <w:tcBorders>
                    <w:top w:val="single" w:color="auto" w:sz="4" w:space="0"/>
                    <w:bottom w:val="single" w:color="auto" w:sz="4" w:space="0"/>
                  </w:tcBorders>
                  <w:shd w:val="clear" w:color="auto" w:fill="auto"/>
                  <w:vAlign w:val="center"/>
                </w:tcPr>
                <w:p w14:paraId="36E330EA">
                  <w:pPr>
                    <w:overflowPunct w:val="0"/>
                    <w:adjustRightInd w:val="0"/>
                    <w:snapToGrid w:val="0"/>
                    <w:jc w:val="center"/>
                    <w:textAlignment w:val="baseline"/>
                    <w:rPr>
                      <w:color w:val="auto"/>
                      <w:szCs w:val="21"/>
                      <w:lang w:val="zh-CN"/>
                    </w:rPr>
                  </w:pPr>
                  <w:r>
                    <w:rPr>
                      <w:rFonts w:hint="eastAsia"/>
                      <w:color w:val="auto"/>
                      <w:szCs w:val="21"/>
                    </w:rPr>
                    <w:t>原辅料包装</w:t>
                  </w:r>
                </w:p>
              </w:tc>
              <w:tc>
                <w:tcPr>
                  <w:tcW w:w="243" w:type="pct"/>
                  <w:tcBorders>
                    <w:top w:val="single" w:color="auto" w:sz="4" w:space="0"/>
                    <w:bottom w:val="single" w:color="auto" w:sz="4" w:space="0"/>
                  </w:tcBorders>
                  <w:shd w:val="clear" w:color="auto" w:fill="auto"/>
                  <w:vAlign w:val="center"/>
                </w:tcPr>
                <w:p w14:paraId="31991F90">
                  <w:pPr>
                    <w:overflowPunct w:val="0"/>
                    <w:adjustRightInd w:val="0"/>
                    <w:snapToGrid w:val="0"/>
                    <w:jc w:val="center"/>
                    <w:textAlignment w:val="baseline"/>
                    <w:rPr>
                      <w:color w:val="auto"/>
                      <w:szCs w:val="21"/>
                      <w:lang w:val="zh-CN"/>
                    </w:rPr>
                  </w:pPr>
                  <w:r>
                    <w:rPr>
                      <w:color w:val="auto"/>
                      <w:szCs w:val="21"/>
                      <w:lang w:val="zh-CN"/>
                    </w:rPr>
                    <w:t>固</w:t>
                  </w:r>
                </w:p>
              </w:tc>
              <w:tc>
                <w:tcPr>
                  <w:tcW w:w="582" w:type="pct"/>
                  <w:tcBorders>
                    <w:top w:val="single" w:color="auto" w:sz="4" w:space="0"/>
                    <w:bottom w:val="single" w:color="auto" w:sz="4" w:space="0"/>
                  </w:tcBorders>
                  <w:shd w:val="clear" w:color="auto" w:fill="auto"/>
                  <w:vAlign w:val="center"/>
                </w:tcPr>
                <w:p w14:paraId="03136461">
                  <w:pPr>
                    <w:overflowPunct w:val="0"/>
                    <w:adjustRightInd w:val="0"/>
                    <w:snapToGrid w:val="0"/>
                    <w:jc w:val="center"/>
                    <w:textAlignment w:val="baseline"/>
                    <w:rPr>
                      <w:color w:val="auto"/>
                      <w:szCs w:val="21"/>
                      <w:lang w:val="zh-CN"/>
                    </w:rPr>
                  </w:pPr>
                  <w:r>
                    <w:rPr>
                      <w:rFonts w:hint="eastAsia"/>
                      <w:color w:val="auto"/>
                      <w:szCs w:val="21"/>
                      <w:lang w:val="zh-CN"/>
                    </w:rPr>
                    <w:t>塑料、纸</w:t>
                  </w:r>
                </w:p>
              </w:tc>
              <w:tc>
                <w:tcPr>
                  <w:tcW w:w="524" w:type="pct"/>
                  <w:vMerge w:val="continue"/>
                  <w:shd w:val="clear" w:color="auto" w:fill="auto"/>
                  <w:vAlign w:val="center"/>
                </w:tcPr>
                <w:p w14:paraId="32633939">
                  <w:pPr>
                    <w:adjustRightInd w:val="0"/>
                    <w:snapToGrid w:val="0"/>
                    <w:jc w:val="center"/>
                    <w:rPr>
                      <w:color w:val="auto"/>
                      <w:szCs w:val="21"/>
                    </w:rPr>
                  </w:pPr>
                </w:p>
              </w:tc>
              <w:tc>
                <w:tcPr>
                  <w:tcW w:w="315" w:type="pct"/>
                  <w:tcBorders>
                    <w:top w:val="single" w:color="auto" w:sz="4" w:space="0"/>
                    <w:bottom w:val="single" w:color="auto" w:sz="4" w:space="0"/>
                  </w:tcBorders>
                  <w:shd w:val="clear" w:color="auto" w:fill="auto"/>
                  <w:vAlign w:val="center"/>
                </w:tcPr>
                <w:p w14:paraId="2CFE9EB8">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SW59</w:t>
                  </w:r>
                </w:p>
              </w:tc>
              <w:tc>
                <w:tcPr>
                  <w:tcW w:w="484" w:type="pct"/>
                  <w:tcBorders>
                    <w:top w:val="single" w:color="auto" w:sz="4" w:space="0"/>
                    <w:bottom w:val="single" w:color="auto" w:sz="4" w:space="0"/>
                  </w:tcBorders>
                  <w:shd w:val="clear" w:color="auto" w:fill="auto"/>
                  <w:vAlign w:val="center"/>
                </w:tcPr>
                <w:p w14:paraId="17B535D6">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900-099-S59</w:t>
                  </w:r>
                </w:p>
              </w:tc>
              <w:tc>
                <w:tcPr>
                  <w:tcW w:w="276" w:type="pct"/>
                  <w:tcBorders>
                    <w:top w:val="single" w:color="auto" w:sz="4" w:space="0"/>
                    <w:bottom w:val="single" w:color="auto" w:sz="4" w:space="0"/>
                  </w:tcBorders>
                  <w:shd w:val="clear" w:color="auto" w:fill="auto"/>
                  <w:vAlign w:val="center"/>
                </w:tcPr>
                <w:p w14:paraId="7844E916">
                  <w:pPr>
                    <w:overflowPunct w:val="0"/>
                    <w:adjustRightInd w:val="0"/>
                    <w:snapToGrid w:val="0"/>
                    <w:jc w:val="center"/>
                    <w:textAlignment w:val="baseline"/>
                    <w:rPr>
                      <w:color w:val="auto"/>
                      <w:szCs w:val="21"/>
                    </w:rPr>
                  </w:pPr>
                  <w:r>
                    <w:rPr>
                      <w:color w:val="auto"/>
                      <w:szCs w:val="21"/>
                    </w:rPr>
                    <w:t>/</w:t>
                  </w:r>
                </w:p>
              </w:tc>
              <w:tc>
                <w:tcPr>
                  <w:tcW w:w="430" w:type="pct"/>
                  <w:tcBorders>
                    <w:top w:val="single" w:color="auto" w:sz="4" w:space="0"/>
                    <w:bottom w:val="single" w:color="auto" w:sz="4" w:space="0"/>
                  </w:tcBorders>
                  <w:shd w:val="clear" w:color="auto" w:fill="auto"/>
                  <w:vAlign w:val="center"/>
                </w:tcPr>
                <w:p w14:paraId="43D20E6A">
                  <w:pPr>
                    <w:adjustRightInd w:val="0"/>
                    <w:snapToGrid w:val="0"/>
                    <w:jc w:val="center"/>
                    <w:rPr>
                      <w:rFonts w:hint="eastAsia" w:eastAsia="宋体"/>
                      <w:color w:val="auto"/>
                      <w:szCs w:val="21"/>
                      <w:lang w:eastAsia="zh-CN"/>
                    </w:rPr>
                  </w:pPr>
                  <w:r>
                    <w:rPr>
                      <w:rFonts w:hint="eastAsia"/>
                      <w:color w:val="auto"/>
                      <w:szCs w:val="21"/>
                      <w:lang w:val="en-US" w:eastAsia="zh-CN"/>
                    </w:rPr>
                    <w:t>2</w:t>
                  </w:r>
                </w:p>
              </w:tc>
              <w:tc>
                <w:tcPr>
                  <w:tcW w:w="445" w:type="pct"/>
                  <w:shd w:val="clear" w:color="auto" w:fill="auto"/>
                  <w:vAlign w:val="center"/>
                </w:tcPr>
                <w:p w14:paraId="3B9105BF">
                  <w:pPr>
                    <w:adjustRightInd w:val="0"/>
                    <w:snapToGrid w:val="0"/>
                    <w:jc w:val="center"/>
                    <w:rPr>
                      <w:color w:val="auto"/>
                      <w:szCs w:val="21"/>
                    </w:rPr>
                  </w:pPr>
                  <w:r>
                    <w:rPr>
                      <w:rFonts w:hint="eastAsia"/>
                      <w:color w:val="auto"/>
                      <w:szCs w:val="21"/>
                    </w:rPr>
                    <w:t>外售</w:t>
                  </w:r>
                </w:p>
              </w:tc>
            </w:tr>
            <w:tr w14:paraId="05CA9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8" w:type="pct"/>
                  <w:shd w:val="clear" w:color="auto" w:fill="auto"/>
                  <w:vAlign w:val="center"/>
                </w:tcPr>
                <w:p w14:paraId="4EB3D429">
                  <w:pPr>
                    <w:adjustRightInd w:val="0"/>
                    <w:snapToGrid w:val="0"/>
                    <w:jc w:val="center"/>
                    <w:rPr>
                      <w:rFonts w:hint="eastAsia" w:eastAsia="宋体"/>
                      <w:color w:val="auto"/>
                      <w:szCs w:val="21"/>
                      <w:lang w:eastAsia="zh-CN"/>
                    </w:rPr>
                  </w:pPr>
                  <w:r>
                    <w:rPr>
                      <w:rFonts w:hint="eastAsia"/>
                      <w:color w:val="auto"/>
                      <w:szCs w:val="21"/>
                      <w:lang w:val="en-US" w:eastAsia="zh-CN"/>
                    </w:rPr>
                    <w:t>4</w:t>
                  </w:r>
                </w:p>
              </w:tc>
              <w:tc>
                <w:tcPr>
                  <w:tcW w:w="500" w:type="pct"/>
                  <w:shd w:val="clear" w:color="auto" w:fill="auto"/>
                  <w:vAlign w:val="center"/>
                </w:tcPr>
                <w:p w14:paraId="5D271457">
                  <w:pPr>
                    <w:overflowPunct w:val="0"/>
                    <w:adjustRightInd w:val="0"/>
                    <w:snapToGrid w:val="0"/>
                    <w:jc w:val="center"/>
                    <w:textAlignment w:val="baseline"/>
                    <w:rPr>
                      <w:color w:val="auto"/>
                      <w:szCs w:val="21"/>
                      <w:lang w:val="zh-CN"/>
                    </w:rPr>
                  </w:pPr>
                  <w:r>
                    <w:rPr>
                      <w:color w:val="auto"/>
                      <w:szCs w:val="21"/>
                      <w:lang w:val="zh-CN"/>
                    </w:rPr>
                    <w:t>职工生活垃圾</w:t>
                  </w:r>
                </w:p>
              </w:tc>
              <w:tc>
                <w:tcPr>
                  <w:tcW w:w="500" w:type="pct"/>
                  <w:shd w:val="clear" w:color="auto" w:fill="auto"/>
                  <w:vAlign w:val="center"/>
                </w:tcPr>
                <w:p w14:paraId="38BE8497">
                  <w:pPr>
                    <w:adjustRightInd w:val="0"/>
                    <w:snapToGrid w:val="0"/>
                    <w:jc w:val="center"/>
                    <w:rPr>
                      <w:color w:val="auto"/>
                      <w:szCs w:val="21"/>
                    </w:rPr>
                  </w:pPr>
                  <w:r>
                    <w:rPr>
                      <w:color w:val="auto"/>
                      <w:szCs w:val="21"/>
                    </w:rPr>
                    <w:t>生活垃圾</w:t>
                  </w:r>
                </w:p>
              </w:tc>
              <w:tc>
                <w:tcPr>
                  <w:tcW w:w="467" w:type="pct"/>
                  <w:shd w:val="clear" w:color="auto" w:fill="auto"/>
                  <w:vAlign w:val="center"/>
                </w:tcPr>
                <w:p w14:paraId="0A546533">
                  <w:pPr>
                    <w:overflowPunct w:val="0"/>
                    <w:adjustRightInd w:val="0"/>
                    <w:snapToGrid w:val="0"/>
                    <w:jc w:val="center"/>
                    <w:textAlignment w:val="baseline"/>
                    <w:rPr>
                      <w:color w:val="auto"/>
                      <w:szCs w:val="21"/>
                      <w:lang w:val="zh-CN"/>
                    </w:rPr>
                  </w:pPr>
                  <w:r>
                    <w:rPr>
                      <w:color w:val="auto"/>
                      <w:szCs w:val="21"/>
                      <w:lang w:val="zh-CN"/>
                    </w:rPr>
                    <w:t>生活办公</w:t>
                  </w:r>
                </w:p>
              </w:tc>
              <w:tc>
                <w:tcPr>
                  <w:tcW w:w="243" w:type="pct"/>
                  <w:shd w:val="clear" w:color="auto" w:fill="auto"/>
                  <w:vAlign w:val="center"/>
                </w:tcPr>
                <w:p w14:paraId="24D052B6">
                  <w:pPr>
                    <w:overflowPunct w:val="0"/>
                    <w:adjustRightInd w:val="0"/>
                    <w:snapToGrid w:val="0"/>
                    <w:jc w:val="center"/>
                    <w:textAlignment w:val="baseline"/>
                    <w:rPr>
                      <w:color w:val="auto"/>
                      <w:szCs w:val="21"/>
                      <w:lang w:val="zh-CN"/>
                    </w:rPr>
                  </w:pPr>
                  <w:r>
                    <w:rPr>
                      <w:color w:val="auto"/>
                      <w:szCs w:val="21"/>
                      <w:lang w:val="zh-CN"/>
                    </w:rPr>
                    <w:t>固</w:t>
                  </w:r>
                </w:p>
              </w:tc>
              <w:tc>
                <w:tcPr>
                  <w:tcW w:w="582" w:type="pct"/>
                  <w:shd w:val="clear" w:color="auto" w:fill="auto"/>
                  <w:vAlign w:val="center"/>
                </w:tcPr>
                <w:p w14:paraId="4604765C">
                  <w:pPr>
                    <w:overflowPunct w:val="0"/>
                    <w:adjustRightInd w:val="0"/>
                    <w:snapToGrid w:val="0"/>
                    <w:jc w:val="center"/>
                    <w:textAlignment w:val="baseline"/>
                    <w:rPr>
                      <w:color w:val="auto"/>
                      <w:szCs w:val="21"/>
                      <w:lang w:val="zh-CN"/>
                    </w:rPr>
                  </w:pPr>
                  <w:r>
                    <w:rPr>
                      <w:color w:val="auto"/>
                      <w:szCs w:val="21"/>
                      <w:lang w:val="zh-CN"/>
                    </w:rPr>
                    <w:t>果皮、纸壳</w:t>
                  </w:r>
                </w:p>
              </w:tc>
              <w:tc>
                <w:tcPr>
                  <w:tcW w:w="524" w:type="pct"/>
                  <w:vMerge w:val="continue"/>
                  <w:shd w:val="clear" w:color="auto" w:fill="auto"/>
                  <w:vAlign w:val="center"/>
                </w:tcPr>
                <w:p w14:paraId="4C37FF30">
                  <w:pPr>
                    <w:adjustRightInd w:val="0"/>
                    <w:snapToGrid w:val="0"/>
                    <w:jc w:val="center"/>
                    <w:rPr>
                      <w:color w:val="auto"/>
                      <w:szCs w:val="21"/>
                    </w:rPr>
                  </w:pPr>
                </w:p>
              </w:tc>
              <w:tc>
                <w:tcPr>
                  <w:tcW w:w="315" w:type="pct"/>
                  <w:shd w:val="clear" w:color="auto" w:fill="auto"/>
                  <w:vAlign w:val="center"/>
                </w:tcPr>
                <w:p w14:paraId="454B75EF">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S61</w:t>
                  </w:r>
                </w:p>
              </w:tc>
              <w:tc>
                <w:tcPr>
                  <w:tcW w:w="484" w:type="pct"/>
                  <w:shd w:val="clear" w:color="auto" w:fill="auto"/>
                  <w:vAlign w:val="center"/>
                </w:tcPr>
                <w:p w14:paraId="3CD543DA">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900-003-S61</w:t>
                  </w:r>
                </w:p>
              </w:tc>
              <w:tc>
                <w:tcPr>
                  <w:tcW w:w="276" w:type="pct"/>
                  <w:shd w:val="clear" w:color="auto" w:fill="auto"/>
                  <w:vAlign w:val="center"/>
                </w:tcPr>
                <w:p w14:paraId="41F7166E">
                  <w:pPr>
                    <w:overflowPunct w:val="0"/>
                    <w:adjustRightInd w:val="0"/>
                    <w:snapToGrid w:val="0"/>
                    <w:jc w:val="center"/>
                    <w:textAlignment w:val="baseline"/>
                    <w:rPr>
                      <w:color w:val="auto"/>
                      <w:szCs w:val="21"/>
                    </w:rPr>
                  </w:pPr>
                  <w:r>
                    <w:rPr>
                      <w:color w:val="auto"/>
                      <w:szCs w:val="21"/>
                    </w:rPr>
                    <w:t>/</w:t>
                  </w:r>
                </w:p>
              </w:tc>
              <w:tc>
                <w:tcPr>
                  <w:tcW w:w="430" w:type="pct"/>
                  <w:shd w:val="clear" w:color="auto" w:fill="auto"/>
                  <w:vAlign w:val="center"/>
                </w:tcPr>
                <w:p w14:paraId="550918C4">
                  <w:pPr>
                    <w:adjustRightInd w:val="0"/>
                    <w:snapToGrid w:val="0"/>
                    <w:jc w:val="center"/>
                    <w:rPr>
                      <w:rFonts w:hint="eastAsia" w:eastAsia="宋体"/>
                      <w:color w:val="auto"/>
                      <w:szCs w:val="21"/>
                      <w:lang w:eastAsia="zh-CN"/>
                    </w:rPr>
                  </w:pPr>
                  <w:r>
                    <w:rPr>
                      <w:rFonts w:hint="eastAsia"/>
                      <w:color w:val="auto"/>
                      <w:szCs w:val="21"/>
                      <w:lang w:val="en-US" w:eastAsia="zh-CN"/>
                    </w:rPr>
                    <w:t>3</w:t>
                  </w:r>
                </w:p>
              </w:tc>
              <w:tc>
                <w:tcPr>
                  <w:tcW w:w="445" w:type="pct"/>
                  <w:shd w:val="clear" w:color="auto" w:fill="auto"/>
                  <w:vAlign w:val="center"/>
                </w:tcPr>
                <w:p w14:paraId="45984E91">
                  <w:pPr>
                    <w:adjustRightInd w:val="0"/>
                    <w:snapToGrid w:val="0"/>
                    <w:jc w:val="center"/>
                    <w:rPr>
                      <w:color w:val="auto"/>
                      <w:szCs w:val="21"/>
                      <w:lang w:val="zh-CN"/>
                    </w:rPr>
                  </w:pPr>
                  <w:r>
                    <w:rPr>
                      <w:color w:val="auto"/>
                      <w:szCs w:val="21"/>
                    </w:rPr>
                    <w:t>环卫清运</w:t>
                  </w:r>
                </w:p>
              </w:tc>
            </w:tr>
          </w:tbl>
          <w:p w14:paraId="3D3065A2">
            <w:pPr>
              <w:adjustRightInd w:val="0"/>
              <w:snapToGrid w:val="0"/>
              <w:spacing w:before="120" w:beforeLines="50"/>
              <w:jc w:val="center"/>
              <w:rPr>
                <w:b/>
                <w:color w:val="auto"/>
                <w:kern w:val="0"/>
                <w:sz w:val="24"/>
              </w:rPr>
            </w:pPr>
            <w:r>
              <w:rPr>
                <w:b/>
                <w:color w:val="auto"/>
                <w:kern w:val="0"/>
                <w:sz w:val="24"/>
              </w:rPr>
              <w:t>表4-</w:t>
            </w:r>
            <w:r>
              <w:rPr>
                <w:rFonts w:hint="eastAsia"/>
                <w:b/>
                <w:color w:val="auto"/>
                <w:kern w:val="0"/>
                <w:sz w:val="24"/>
                <w:lang w:val="en-US" w:eastAsia="zh-CN"/>
              </w:rPr>
              <w:t>21</w:t>
            </w:r>
            <w:r>
              <w:rPr>
                <w:b/>
                <w:color w:val="auto"/>
                <w:kern w:val="0"/>
                <w:sz w:val="24"/>
              </w:rPr>
              <w:t xml:space="preserve"> 本项目</w:t>
            </w:r>
            <w:r>
              <w:rPr>
                <w:b/>
                <w:bCs/>
                <w:color w:val="auto"/>
                <w:kern w:val="0"/>
                <w:sz w:val="24"/>
              </w:rPr>
              <w:t>固体废物</w:t>
            </w:r>
            <w:r>
              <w:rPr>
                <w:b/>
                <w:color w:val="auto"/>
                <w:kern w:val="0"/>
                <w:sz w:val="24"/>
              </w:rPr>
              <w:t>属性鉴别一览表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2087"/>
              <w:gridCol w:w="1476"/>
              <w:gridCol w:w="615"/>
              <w:gridCol w:w="1974"/>
              <w:gridCol w:w="1230"/>
              <w:gridCol w:w="984"/>
              <w:gridCol w:w="738"/>
              <w:gridCol w:w="1605"/>
              <w:gridCol w:w="1007"/>
            </w:tblGrid>
            <w:tr w14:paraId="40F1B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vMerge w:val="restart"/>
                  <w:tcBorders>
                    <w:top w:val="single" w:color="auto" w:sz="12" w:space="0"/>
                    <w:bottom w:val="single" w:color="auto" w:sz="4" w:space="0"/>
                  </w:tcBorders>
                  <w:shd w:val="clear" w:color="auto" w:fill="auto"/>
                  <w:vAlign w:val="center"/>
                </w:tcPr>
                <w:p w14:paraId="34E0083D">
                  <w:pPr>
                    <w:adjustRightInd w:val="0"/>
                    <w:snapToGrid w:val="0"/>
                    <w:jc w:val="center"/>
                    <w:rPr>
                      <w:b/>
                      <w:color w:val="auto"/>
                      <w:szCs w:val="21"/>
                    </w:rPr>
                  </w:pPr>
                  <w:r>
                    <w:rPr>
                      <w:b/>
                      <w:color w:val="auto"/>
                      <w:szCs w:val="21"/>
                    </w:rPr>
                    <w:t>序号</w:t>
                  </w:r>
                </w:p>
              </w:tc>
              <w:tc>
                <w:tcPr>
                  <w:tcW w:w="848" w:type="pct"/>
                  <w:vMerge w:val="restart"/>
                  <w:tcBorders>
                    <w:top w:val="single" w:color="auto" w:sz="12" w:space="0"/>
                    <w:bottom w:val="single" w:color="auto" w:sz="4" w:space="0"/>
                  </w:tcBorders>
                  <w:shd w:val="clear" w:color="auto" w:fill="auto"/>
                  <w:vAlign w:val="center"/>
                </w:tcPr>
                <w:p w14:paraId="33BC280A">
                  <w:pPr>
                    <w:adjustRightInd w:val="0"/>
                    <w:snapToGrid w:val="0"/>
                    <w:jc w:val="center"/>
                    <w:rPr>
                      <w:b/>
                      <w:color w:val="auto"/>
                      <w:szCs w:val="21"/>
                    </w:rPr>
                  </w:pPr>
                  <w:r>
                    <w:rPr>
                      <w:b/>
                      <w:color w:val="auto"/>
                      <w:szCs w:val="21"/>
                    </w:rPr>
                    <w:t>副产品名称</w:t>
                  </w:r>
                </w:p>
              </w:tc>
              <w:tc>
                <w:tcPr>
                  <w:tcW w:w="600" w:type="pct"/>
                  <w:vMerge w:val="restart"/>
                  <w:tcBorders>
                    <w:top w:val="single" w:color="auto" w:sz="12" w:space="0"/>
                    <w:bottom w:val="single" w:color="auto" w:sz="4" w:space="0"/>
                  </w:tcBorders>
                  <w:shd w:val="clear" w:color="auto" w:fill="auto"/>
                  <w:vAlign w:val="center"/>
                </w:tcPr>
                <w:p w14:paraId="7AB18808">
                  <w:pPr>
                    <w:adjustRightInd w:val="0"/>
                    <w:snapToGrid w:val="0"/>
                    <w:jc w:val="center"/>
                    <w:rPr>
                      <w:b/>
                      <w:color w:val="auto"/>
                      <w:szCs w:val="21"/>
                    </w:rPr>
                  </w:pPr>
                  <w:r>
                    <w:rPr>
                      <w:b/>
                      <w:color w:val="auto"/>
                      <w:szCs w:val="21"/>
                    </w:rPr>
                    <w:t>产生工序</w:t>
                  </w:r>
                </w:p>
              </w:tc>
              <w:tc>
                <w:tcPr>
                  <w:tcW w:w="250" w:type="pct"/>
                  <w:vMerge w:val="restart"/>
                  <w:tcBorders>
                    <w:top w:val="single" w:color="auto" w:sz="12" w:space="0"/>
                    <w:bottom w:val="single" w:color="auto" w:sz="4" w:space="0"/>
                  </w:tcBorders>
                  <w:shd w:val="clear" w:color="auto" w:fill="auto"/>
                  <w:vAlign w:val="center"/>
                </w:tcPr>
                <w:p w14:paraId="0C8BA399">
                  <w:pPr>
                    <w:adjustRightInd w:val="0"/>
                    <w:snapToGrid w:val="0"/>
                    <w:jc w:val="center"/>
                    <w:rPr>
                      <w:b/>
                      <w:color w:val="auto"/>
                      <w:szCs w:val="21"/>
                    </w:rPr>
                  </w:pPr>
                  <w:r>
                    <w:rPr>
                      <w:b/>
                      <w:color w:val="auto"/>
                      <w:szCs w:val="21"/>
                    </w:rPr>
                    <w:t>形态</w:t>
                  </w:r>
                </w:p>
              </w:tc>
              <w:tc>
                <w:tcPr>
                  <w:tcW w:w="802" w:type="pct"/>
                  <w:vMerge w:val="restart"/>
                  <w:tcBorders>
                    <w:top w:val="single" w:color="auto" w:sz="12" w:space="0"/>
                    <w:bottom w:val="single" w:color="auto" w:sz="4" w:space="0"/>
                  </w:tcBorders>
                  <w:shd w:val="clear" w:color="auto" w:fill="auto"/>
                  <w:vAlign w:val="center"/>
                </w:tcPr>
                <w:p w14:paraId="1EF62CD7">
                  <w:pPr>
                    <w:adjustRightInd w:val="0"/>
                    <w:snapToGrid w:val="0"/>
                    <w:jc w:val="center"/>
                    <w:rPr>
                      <w:b/>
                      <w:color w:val="auto"/>
                      <w:szCs w:val="21"/>
                    </w:rPr>
                  </w:pPr>
                  <w:r>
                    <w:rPr>
                      <w:b/>
                      <w:color w:val="auto"/>
                      <w:szCs w:val="21"/>
                    </w:rPr>
                    <w:t>主要成分</w:t>
                  </w:r>
                </w:p>
              </w:tc>
              <w:tc>
                <w:tcPr>
                  <w:tcW w:w="500" w:type="pct"/>
                  <w:vMerge w:val="restart"/>
                  <w:tcBorders>
                    <w:top w:val="single" w:color="auto" w:sz="12" w:space="0"/>
                    <w:bottom w:val="single" w:color="auto" w:sz="4" w:space="0"/>
                  </w:tcBorders>
                  <w:shd w:val="clear" w:color="auto" w:fill="auto"/>
                  <w:vAlign w:val="center"/>
                </w:tcPr>
                <w:p w14:paraId="72D37A67">
                  <w:pPr>
                    <w:adjustRightInd w:val="0"/>
                    <w:snapToGrid w:val="0"/>
                    <w:jc w:val="center"/>
                    <w:rPr>
                      <w:b/>
                      <w:color w:val="auto"/>
                      <w:szCs w:val="21"/>
                    </w:rPr>
                  </w:pPr>
                  <w:r>
                    <w:rPr>
                      <w:b/>
                      <w:color w:val="auto"/>
                      <w:szCs w:val="21"/>
                    </w:rPr>
                    <w:t>预测产生量（t/a）</w:t>
                  </w:r>
                </w:p>
              </w:tc>
              <w:tc>
                <w:tcPr>
                  <w:tcW w:w="1761" w:type="pct"/>
                  <w:gridSpan w:val="4"/>
                  <w:tcBorders>
                    <w:top w:val="single" w:color="auto" w:sz="12" w:space="0"/>
                    <w:bottom w:val="single" w:color="auto" w:sz="4" w:space="0"/>
                  </w:tcBorders>
                  <w:shd w:val="clear" w:color="auto" w:fill="auto"/>
                  <w:vAlign w:val="center"/>
                </w:tcPr>
                <w:p w14:paraId="2885DAE2">
                  <w:pPr>
                    <w:adjustRightInd w:val="0"/>
                    <w:snapToGrid w:val="0"/>
                    <w:jc w:val="center"/>
                    <w:rPr>
                      <w:b/>
                      <w:color w:val="auto"/>
                      <w:szCs w:val="21"/>
                    </w:rPr>
                  </w:pPr>
                  <w:r>
                    <w:rPr>
                      <w:b/>
                      <w:color w:val="auto"/>
                      <w:szCs w:val="21"/>
                    </w:rPr>
                    <w:t>种类判断*</w:t>
                  </w:r>
                </w:p>
              </w:tc>
            </w:tr>
            <w:tr w14:paraId="6DA48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vMerge w:val="continue"/>
                  <w:tcBorders>
                    <w:top w:val="single" w:color="auto" w:sz="4" w:space="0"/>
                    <w:bottom w:val="single" w:color="auto" w:sz="12" w:space="0"/>
                  </w:tcBorders>
                  <w:shd w:val="clear" w:color="auto" w:fill="auto"/>
                  <w:vAlign w:val="center"/>
                </w:tcPr>
                <w:p w14:paraId="3E61AC05">
                  <w:pPr>
                    <w:adjustRightInd w:val="0"/>
                    <w:snapToGrid w:val="0"/>
                    <w:jc w:val="center"/>
                    <w:rPr>
                      <w:color w:val="auto"/>
                      <w:szCs w:val="21"/>
                    </w:rPr>
                  </w:pPr>
                </w:p>
              </w:tc>
              <w:tc>
                <w:tcPr>
                  <w:tcW w:w="848" w:type="pct"/>
                  <w:vMerge w:val="continue"/>
                  <w:tcBorders>
                    <w:top w:val="single" w:color="auto" w:sz="4" w:space="0"/>
                    <w:bottom w:val="single" w:color="auto" w:sz="12" w:space="0"/>
                  </w:tcBorders>
                  <w:shd w:val="clear" w:color="auto" w:fill="auto"/>
                  <w:vAlign w:val="center"/>
                </w:tcPr>
                <w:p w14:paraId="51D09D9E">
                  <w:pPr>
                    <w:adjustRightInd w:val="0"/>
                    <w:snapToGrid w:val="0"/>
                    <w:jc w:val="center"/>
                    <w:rPr>
                      <w:color w:val="auto"/>
                      <w:szCs w:val="21"/>
                    </w:rPr>
                  </w:pPr>
                </w:p>
              </w:tc>
              <w:tc>
                <w:tcPr>
                  <w:tcW w:w="600" w:type="pct"/>
                  <w:vMerge w:val="continue"/>
                  <w:tcBorders>
                    <w:top w:val="single" w:color="auto" w:sz="4" w:space="0"/>
                    <w:bottom w:val="single" w:color="auto" w:sz="12" w:space="0"/>
                  </w:tcBorders>
                  <w:shd w:val="clear" w:color="auto" w:fill="auto"/>
                  <w:vAlign w:val="center"/>
                </w:tcPr>
                <w:p w14:paraId="615A7733">
                  <w:pPr>
                    <w:adjustRightInd w:val="0"/>
                    <w:snapToGrid w:val="0"/>
                    <w:jc w:val="center"/>
                    <w:rPr>
                      <w:color w:val="auto"/>
                      <w:szCs w:val="21"/>
                    </w:rPr>
                  </w:pPr>
                </w:p>
              </w:tc>
              <w:tc>
                <w:tcPr>
                  <w:tcW w:w="250" w:type="pct"/>
                  <w:vMerge w:val="continue"/>
                  <w:tcBorders>
                    <w:top w:val="single" w:color="auto" w:sz="4" w:space="0"/>
                    <w:bottom w:val="single" w:color="auto" w:sz="12" w:space="0"/>
                  </w:tcBorders>
                  <w:shd w:val="clear" w:color="auto" w:fill="auto"/>
                  <w:vAlign w:val="center"/>
                </w:tcPr>
                <w:p w14:paraId="60B467D4">
                  <w:pPr>
                    <w:adjustRightInd w:val="0"/>
                    <w:snapToGrid w:val="0"/>
                    <w:jc w:val="center"/>
                    <w:rPr>
                      <w:color w:val="auto"/>
                      <w:szCs w:val="21"/>
                    </w:rPr>
                  </w:pPr>
                </w:p>
              </w:tc>
              <w:tc>
                <w:tcPr>
                  <w:tcW w:w="802" w:type="pct"/>
                  <w:vMerge w:val="continue"/>
                  <w:tcBorders>
                    <w:top w:val="single" w:color="auto" w:sz="4" w:space="0"/>
                    <w:bottom w:val="single" w:color="auto" w:sz="12" w:space="0"/>
                  </w:tcBorders>
                  <w:shd w:val="clear" w:color="auto" w:fill="auto"/>
                  <w:vAlign w:val="center"/>
                </w:tcPr>
                <w:p w14:paraId="79247836">
                  <w:pPr>
                    <w:adjustRightInd w:val="0"/>
                    <w:snapToGrid w:val="0"/>
                    <w:jc w:val="center"/>
                    <w:rPr>
                      <w:color w:val="auto"/>
                      <w:szCs w:val="21"/>
                    </w:rPr>
                  </w:pPr>
                </w:p>
              </w:tc>
              <w:tc>
                <w:tcPr>
                  <w:tcW w:w="500" w:type="pct"/>
                  <w:vMerge w:val="continue"/>
                  <w:tcBorders>
                    <w:top w:val="single" w:color="auto" w:sz="4" w:space="0"/>
                    <w:bottom w:val="single" w:color="auto" w:sz="12" w:space="0"/>
                  </w:tcBorders>
                  <w:shd w:val="clear" w:color="auto" w:fill="auto"/>
                  <w:vAlign w:val="center"/>
                </w:tcPr>
                <w:p w14:paraId="768AB0EE">
                  <w:pPr>
                    <w:adjustRightInd w:val="0"/>
                    <w:snapToGrid w:val="0"/>
                    <w:jc w:val="center"/>
                    <w:rPr>
                      <w:color w:val="auto"/>
                      <w:szCs w:val="21"/>
                    </w:rPr>
                  </w:pPr>
                </w:p>
              </w:tc>
              <w:tc>
                <w:tcPr>
                  <w:tcW w:w="400" w:type="pct"/>
                  <w:tcBorders>
                    <w:top w:val="single" w:color="auto" w:sz="4" w:space="0"/>
                    <w:bottom w:val="single" w:color="auto" w:sz="12" w:space="0"/>
                  </w:tcBorders>
                  <w:shd w:val="clear" w:color="auto" w:fill="auto"/>
                  <w:vAlign w:val="center"/>
                </w:tcPr>
                <w:p w14:paraId="714002F1">
                  <w:pPr>
                    <w:adjustRightInd w:val="0"/>
                    <w:snapToGrid w:val="0"/>
                    <w:jc w:val="center"/>
                    <w:rPr>
                      <w:b/>
                      <w:color w:val="auto"/>
                      <w:szCs w:val="21"/>
                    </w:rPr>
                  </w:pPr>
                  <w:r>
                    <w:rPr>
                      <w:b/>
                      <w:color w:val="auto"/>
                      <w:szCs w:val="21"/>
                    </w:rPr>
                    <w:t>固体废物</w:t>
                  </w:r>
                </w:p>
              </w:tc>
              <w:tc>
                <w:tcPr>
                  <w:tcW w:w="300" w:type="pct"/>
                  <w:tcBorders>
                    <w:top w:val="single" w:color="auto" w:sz="4" w:space="0"/>
                    <w:bottom w:val="single" w:color="auto" w:sz="12" w:space="0"/>
                  </w:tcBorders>
                  <w:shd w:val="clear" w:color="auto" w:fill="auto"/>
                  <w:vAlign w:val="center"/>
                </w:tcPr>
                <w:p w14:paraId="00774311">
                  <w:pPr>
                    <w:adjustRightInd w:val="0"/>
                    <w:snapToGrid w:val="0"/>
                    <w:jc w:val="center"/>
                    <w:rPr>
                      <w:b/>
                      <w:color w:val="auto"/>
                      <w:szCs w:val="21"/>
                    </w:rPr>
                  </w:pPr>
                  <w:r>
                    <w:rPr>
                      <w:b/>
                      <w:color w:val="auto"/>
                      <w:szCs w:val="21"/>
                    </w:rPr>
                    <w:t>副产品</w:t>
                  </w:r>
                </w:p>
              </w:tc>
              <w:tc>
                <w:tcPr>
                  <w:tcW w:w="652" w:type="pct"/>
                  <w:tcBorders>
                    <w:top w:val="single" w:color="auto" w:sz="4" w:space="0"/>
                    <w:bottom w:val="single" w:color="auto" w:sz="12" w:space="0"/>
                  </w:tcBorders>
                  <w:shd w:val="clear" w:color="auto" w:fill="auto"/>
                  <w:vAlign w:val="center"/>
                </w:tcPr>
                <w:p w14:paraId="3022FBA9">
                  <w:pPr>
                    <w:adjustRightInd w:val="0"/>
                    <w:snapToGrid w:val="0"/>
                    <w:jc w:val="center"/>
                    <w:rPr>
                      <w:b/>
                      <w:color w:val="auto"/>
                      <w:szCs w:val="21"/>
                    </w:rPr>
                  </w:pPr>
                  <w:r>
                    <w:rPr>
                      <w:b/>
                      <w:color w:val="auto"/>
                      <w:szCs w:val="21"/>
                    </w:rPr>
                    <w:t>来源鉴别</w:t>
                  </w:r>
                </w:p>
              </w:tc>
              <w:tc>
                <w:tcPr>
                  <w:tcW w:w="409" w:type="pct"/>
                  <w:tcBorders>
                    <w:top w:val="single" w:color="auto" w:sz="4" w:space="0"/>
                    <w:bottom w:val="single" w:color="auto" w:sz="12" w:space="0"/>
                  </w:tcBorders>
                  <w:shd w:val="clear" w:color="auto" w:fill="auto"/>
                  <w:vAlign w:val="center"/>
                </w:tcPr>
                <w:p w14:paraId="61835C54">
                  <w:pPr>
                    <w:adjustRightInd w:val="0"/>
                    <w:snapToGrid w:val="0"/>
                    <w:jc w:val="center"/>
                    <w:rPr>
                      <w:b/>
                      <w:color w:val="auto"/>
                      <w:szCs w:val="21"/>
                    </w:rPr>
                  </w:pPr>
                  <w:r>
                    <w:rPr>
                      <w:b/>
                      <w:color w:val="auto"/>
                      <w:szCs w:val="21"/>
                    </w:rPr>
                    <w:t>处置类别</w:t>
                  </w:r>
                </w:p>
              </w:tc>
            </w:tr>
            <w:tr w14:paraId="171F3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top w:val="single" w:color="auto" w:sz="12" w:space="0"/>
                    <w:bottom w:val="single" w:color="auto" w:sz="4" w:space="0"/>
                  </w:tcBorders>
                  <w:shd w:val="clear" w:color="auto" w:fill="auto"/>
                  <w:vAlign w:val="center"/>
                </w:tcPr>
                <w:p w14:paraId="112AF26E">
                  <w:pPr>
                    <w:adjustRightInd w:val="0"/>
                    <w:snapToGrid w:val="0"/>
                    <w:jc w:val="center"/>
                    <w:rPr>
                      <w:color w:val="auto"/>
                      <w:szCs w:val="21"/>
                    </w:rPr>
                  </w:pPr>
                  <w:r>
                    <w:rPr>
                      <w:color w:val="auto"/>
                      <w:szCs w:val="21"/>
                    </w:rPr>
                    <w:t>1</w:t>
                  </w:r>
                </w:p>
              </w:tc>
              <w:tc>
                <w:tcPr>
                  <w:tcW w:w="848" w:type="pct"/>
                  <w:tcBorders>
                    <w:top w:val="single" w:color="auto" w:sz="12" w:space="0"/>
                    <w:bottom w:val="single" w:color="auto" w:sz="4" w:space="0"/>
                  </w:tcBorders>
                  <w:shd w:val="clear" w:color="auto" w:fill="auto"/>
                  <w:vAlign w:val="center"/>
                </w:tcPr>
                <w:p w14:paraId="321DEB6A">
                  <w:pPr>
                    <w:overflowPunct w:val="0"/>
                    <w:adjustRightInd w:val="0"/>
                    <w:snapToGrid w:val="0"/>
                    <w:jc w:val="center"/>
                    <w:textAlignment w:val="baseline"/>
                    <w:rPr>
                      <w:color w:val="auto"/>
                      <w:szCs w:val="21"/>
                      <w:lang w:val="zh-CN"/>
                    </w:rPr>
                  </w:pPr>
                  <w:r>
                    <w:rPr>
                      <w:rFonts w:hint="eastAsia"/>
                      <w:color w:val="auto"/>
                      <w:szCs w:val="21"/>
                      <w:lang w:val="zh-CN"/>
                    </w:rPr>
                    <w:t>废杂物</w:t>
                  </w:r>
                </w:p>
              </w:tc>
              <w:tc>
                <w:tcPr>
                  <w:tcW w:w="600" w:type="pct"/>
                  <w:tcBorders>
                    <w:top w:val="single" w:color="auto" w:sz="12" w:space="0"/>
                    <w:bottom w:val="single" w:color="auto" w:sz="4" w:space="0"/>
                  </w:tcBorders>
                  <w:shd w:val="clear" w:color="auto" w:fill="auto"/>
                  <w:vAlign w:val="center"/>
                </w:tcPr>
                <w:p w14:paraId="3B2D755B">
                  <w:pPr>
                    <w:overflowPunct w:val="0"/>
                    <w:adjustRightInd w:val="0"/>
                    <w:snapToGrid w:val="0"/>
                    <w:jc w:val="center"/>
                    <w:textAlignment w:val="baseline"/>
                    <w:rPr>
                      <w:color w:val="auto"/>
                      <w:szCs w:val="21"/>
                      <w:lang w:val="zh-CN"/>
                    </w:rPr>
                  </w:pPr>
                  <w:r>
                    <w:rPr>
                      <w:rFonts w:hint="eastAsia"/>
                      <w:color w:val="auto"/>
                      <w:szCs w:val="21"/>
                      <w:lang w:val="zh-CN"/>
                    </w:rPr>
                    <w:t>除杂</w:t>
                  </w:r>
                </w:p>
              </w:tc>
              <w:tc>
                <w:tcPr>
                  <w:tcW w:w="250" w:type="pct"/>
                  <w:tcBorders>
                    <w:top w:val="single" w:color="auto" w:sz="12" w:space="0"/>
                    <w:bottom w:val="single" w:color="auto" w:sz="4" w:space="0"/>
                  </w:tcBorders>
                  <w:shd w:val="clear" w:color="auto" w:fill="auto"/>
                  <w:vAlign w:val="center"/>
                </w:tcPr>
                <w:p w14:paraId="47E4D660">
                  <w:pPr>
                    <w:overflowPunct w:val="0"/>
                    <w:adjustRightInd w:val="0"/>
                    <w:snapToGrid w:val="0"/>
                    <w:jc w:val="center"/>
                    <w:textAlignment w:val="baseline"/>
                    <w:rPr>
                      <w:color w:val="auto"/>
                      <w:szCs w:val="21"/>
                      <w:lang w:val="zh-CN"/>
                    </w:rPr>
                  </w:pPr>
                  <w:r>
                    <w:rPr>
                      <w:color w:val="auto"/>
                      <w:szCs w:val="21"/>
                      <w:lang w:val="zh-CN"/>
                    </w:rPr>
                    <w:t>固</w:t>
                  </w:r>
                </w:p>
              </w:tc>
              <w:tc>
                <w:tcPr>
                  <w:tcW w:w="802" w:type="pct"/>
                  <w:tcBorders>
                    <w:top w:val="single" w:color="auto" w:sz="12" w:space="0"/>
                    <w:bottom w:val="single" w:color="auto" w:sz="4" w:space="0"/>
                  </w:tcBorders>
                  <w:shd w:val="clear" w:color="auto" w:fill="auto"/>
                  <w:vAlign w:val="center"/>
                </w:tcPr>
                <w:p w14:paraId="5AFA4312">
                  <w:pPr>
                    <w:overflowPunct w:val="0"/>
                    <w:adjustRightInd w:val="0"/>
                    <w:snapToGrid w:val="0"/>
                    <w:jc w:val="center"/>
                    <w:textAlignment w:val="baseline"/>
                    <w:rPr>
                      <w:color w:val="auto"/>
                      <w:szCs w:val="21"/>
                      <w:lang w:val="zh-CN"/>
                    </w:rPr>
                  </w:pPr>
                  <w:r>
                    <w:rPr>
                      <w:rFonts w:hint="eastAsia"/>
                      <w:color w:val="auto"/>
                      <w:szCs w:val="21"/>
                      <w:lang w:val="zh-CN"/>
                    </w:rPr>
                    <w:t>鱼皮、裙带菜杂质</w:t>
                  </w:r>
                </w:p>
              </w:tc>
              <w:tc>
                <w:tcPr>
                  <w:tcW w:w="500" w:type="pct"/>
                  <w:tcBorders>
                    <w:top w:val="single" w:color="auto" w:sz="12" w:space="0"/>
                    <w:bottom w:val="single" w:color="auto" w:sz="4" w:space="0"/>
                  </w:tcBorders>
                  <w:shd w:val="clear" w:color="auto" w:fill="auto"/>
                  <w:vAlign w:val="center"/>
                </w:tcPr>
                <w:p w14:paraId="302D199F">
                  <w:pPr>
                    <w:adjustRightInd w:val="0"/>
                    <w:snapToGrid w:val="0"/>
                    <w:jc w:val="center"/>
                    <w:rPr>
                      <w:rFonts w:hint="default" w:eastAsia="宋体"/>
                      <w:color w:val="auto"/>
                      <w:szCs w:val="21"/>
                      <w:lang w:val="en-US" w:eastAsia="zh-CN"/>
                    </w:rPr>
                  </w:pPr>
                  <w:r>
                    <w:rPr>
                      <w:rFonts w:hint="eastAsia"/>
                      <w:color w:val="auto"/>
                      <w:szCs w:val="21"/>
                      <w:lang w:val="en-US" w:eastAsia="zh-CN"/>
                    </w:rPr>
                    <w:t>1.5</w:t>
                  </w:r>
                </w:p>
              </w:tc>
              <w:tc>
                <w:tcPr>
                  <w:tcW w:w="400" w:type="pct"/>
                  <w:tcBorders>
                    <w:top w:val="single" w:color="auto" w:sz="12" w:space="0"/>
                    <w:bottom w:val="single" w:color="auto" w:sz="4" w:space="0"/>
                  </w:tcBorders>
                  <w:shd w:val="clear" w:color="auto" w:fill="auto"/>
                  <w:vAlign w:val="center"/>
                </w:tcPr>
                <w:p w14:paraId="05D4D4EA">
                  <w:pPr>
                    <w:overflowPunct w:val="0"/>
                    <w:adjustRightInd w:val="0"/>
                    <w:snapToGrid w:val="0"/>
                    <w:jc w:val="center"/>
                    <w:textAlignment w:val="baseline"/>
                    <w:rPr>
                      <w:color w:val="auto"/>
                      <w:szCs w:val="21"/>
                      <w:lang w:val="zh-CN"/>
                    </w:rPr>
                  </w:pPr>
                  <w:r>
                    <w:rPr>
                      <w:color w:val="auto"/>
                      <w:szCs w:val="21"/>
                      <w:lang w:val="zh-CN"/>
                    </w:rPr>
                    <w:t>√</w:t>
                  </w:r>
                </w:p>
              </w:tc>
              <w:tc>
                <w:tcPr>
                  <w:tcW w:w="300" w:type="pct"/>
                  <w:tcBorders>
                    <w:top w:val="single" w:color="auto" w:sz="12" w:space="0"/>
                    <w:bottom w:val="single" w:color="auto" w:sz="4" w:space="0"/>
                  </w:tcBorders>
                  <w:shd w:val="clear" w:color="auto" w:fill="auto"/>
                  <w:vAlign w:val="center"/>
                </w:tcPr>
                <w:p w14:paraId="149CB551">
                  <w:pPr>
                    <w:adjustRightInd w:val="0"/>
                    <w:snapToGrid w:val="0"/>
                    <w:jc w:val="center"/>
                    <w:rPr>
                      <w:color w:val="auto"/>
                      <w:szCs w:val="21"/>
                    </w:rPr>
                  </w:pPr>
                  <w:r>
                    <w:rPr>
                      <w:color w:val="auto"/>
                      <w:szCs w:val="21"/>
                    </w:rPr>
                    <w:t>/</w:t>
                  </w:r>
                </w:p>
              </w:tc>
              <w:tc>
                <w:tcPr>
                  <w:tcW w:w="652" w:type="pct"/>
                  <w:tcBorders>
                    <w:top w:val="single" w:color="auto" w:sz="12" w:space="0"/>
                    <w:bottom w:val="single" w:color="auto" w:sz="4" w:space="0"/>
                  </w:tcBorders>
                  <w:shd w:val="clear" w:color="auto" w:fill="auto"/>
                  <w:vAlign w:val="center"/>
                </w:tcPr>
                <w:p w14:paraId="5EF9E366">
                  <w:pPr>
                    <w:overflowPunct w:val="0"/>
                    <w:adjustRightInd w:val="0"/>
                    <w:snapToGrid w:val="0"/>
                    <w:jc w:val="center"/>
                    <w:textAlignment w:val="baseline"/>
                    <w:rPr>
                      <w:color w:val="auto"/>
                      <w:szCs w:val="21"/>
                    </w:rPr>
                  </w:pPr>
                  <w:r>
                    <w:rPr>
                      <w:color w:val="auto"/>
                      <w:szCs w:val="21"/>
                    </w:rPr>
                    <w:t>4.1</w:t>
                  </w:r>
                  <w:r>
                    <w:rPr>
                      <w:rFonts w:hint="eastAsia"/>
                      <w:color w:val="auto"/>
                      <w:szCs w:val="21"/>
                      <w:lang w:eastAsia="zh-CN"/>
                    </w:rPr>
                    <w:t>(</w:t>
                  </w:r>
                  <w:r>
                    <w:rPr>
                      <w:color w:val="auto"/>
                      <w:szCs w:val="21"/>
                    </w:rPr>
                    <w:t>h</w:t>
                  </w:r>
                  <w:r>
                    <w:rPr>
                      <w:rFonts w:hint="eastAsia"/>
                      <w:color w:val="auto"/>
                      <w:szCs w:val="21"/>
                      <w:lang w:eastAsia="zh-CN"/>
                    </w:rPr>
                    <w:t>)</w:t>
                  </w:r>
                </w:p>
              </w:tc>
              <w:tc>
                <w:tcPr>
                  <w:tcW w:w="409" w:type="pct"/>
                  <w:tcBorders>
                    <w:top w:val="single" w:color="auto" w:sz="12" w:space="0"/>
                    <w:bottom w:val="single" w:color="auto" w:sz="4" w:space="0"/>
                  </w:tcBorders>
                  <w:shd w:val="clear" w:color="auto" w:fill="auto"/>
                  <w:vAlign w:val="center"/>
                </w:tcPr>
                <w:p w14:paraId="5A1E9998">
                  <w:pPr>
                    <w:adjustRightInd w:val="0"/>
                    <w:snapToGrid w:val="0"/>
                    <w:jc w:val="center"/>
                    <w:rPr>
                      <w:color w:val="auto"/>
                      <w:szCs w:val="21"/>
                    </w:rPr>
                  </w:pPr>
                  <w:r>
                    <w:rPr>
                      <w:color w:val="auto"/>
                      <w:szCs w:val="21"/>
                    </w:rPr>
                    <w:t>/</w:t>
                  </w:r>
                </w:p>
              </w:tc>
            </w:tr>
            <w:tr w14:paraId="12C41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top w:val="single" w:color="auto" w:sz="4" w:space="0"/>
                    <w:bottom w:val="single" w:color="auto" w:sz="4" w:space="0"/>
                  </w:tcBorders>
                  <w:shd w:val="clear" w:color="auto" w:fill="auto"/>
                  <w:vAlign w:val="center"/>
                </w:tcPr>
                <w:p w14:paraId="48868AC6">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2</w:t>
                  </w:r>
                </w:p>
              </w:tc>
              <w:tc>
                <w:tcPr>
                  <w:tcW w:w="848" w:type="pct"/>
                  <w:tcBorders>
                    <w:top w:val="single" w:color="auto" w:sz="4" w:space="0"/>
                    <w:bottom w:val="single" w:color="auto" w:sz="4" w:space="0"/>
                  </w:tcBorders>
                  <w:shd w:val="clear" w:color="auto" w:fill="auto"/>
                  <w:vAlign w:val="center"/>
                </w:tcPr>
                <w:p w14:paraId="0F447F73">
                  <w:pPr>
                    <w:overflowPunct w:val="0"/>
                    <w:adjustRightInd w:val="0"/>
                    <w:snapToGrid w:val="0"/>
                    <w:jc w:val="center"/>
                    <w:textAlignment w:val="baseline"/>
                    <w:rPr>
                      <w:rFonts w:hint="eastAsia"/>
                      <w:color w:val="auto"/>
                      <w:szCs w:val="21"/>
                      <w:lang w:val="zh-CN"/>
                    </w:rPr>
                  </w:pPr>
                  <w:r>
                    <w:rPr>
                      <w:rFonts w:hint="eastAsia"/>
                      <w:color w:val="auto"/>
                      <w:szCs w:val="21"/>
                      <w:lang w:val="zh-CN"/>
                    </w:rPr>
                    <w:t>不合格品</w:t>
                  </w:r>
                </w:p>
              </w:tc>
              <w:tc>
                <w:tcPr>
                  <w:tcW w:w="600" w:type="pct"/>
                  <w:tcBorders>
                    <w:top w:val="single" w:color="auto" w:sz="4" w:space="0"/>
                    <w:bottom w:val="single" w:color="auto" w:sz="4" w:space="0"/>
                  </w:tcBorders>
                  <w:shd w:val="clear" w:color="auto" w:fill="auto"/>
                  <w:vAlign w:val="center"/>
                </w:tcPr>
                <w:p w14:paraId="4E9BF54B">
                  <w:pPr>
                    <w:overflowPunct w:val="0"/>
                    <w:adjustRightInd w:val="0"/>
                    <w:snapToGrid w:val="0"/>
                    <w:jc w:val="center"/>
                    <w:textAlignment w:val="baseline"/>
                    <w:rPr>
                      <w:rFonts w:hint="eastAsia" w:ascii="Times New Roman" w:hAnsi="Times New Roman" w:eastAsia="宋体" w:cs="Times New Roman"/>
                      <w:color w:val="auto"/>
                      <w:kern w:val="2"/>
                      <w:sz w:val="21"/>
                      <w:szCs w:val="21"/>
                      <w:lang w:val="zh-CN" w:eastAsia="zh-CN" w:bidi="ar-SA"/>
                    </w:rPr>
                  </w:pPr>
                  <w:r>
                    <w:rPr>
                      <w:rFonts w:hint="eastAsia"/>
                      <w:color w:val="auto"/>
                      <w:szCs w:val="21"/>
                      <w:lang w:val="zh-CN"/>
                    </w:rPr>
                    <w:t>检测、质检</w:t>
                  </w:r>
                </w:p>
              </w:tc>
              <w:tc>
                <w:tcPr>
                  <w:tcW w:w="250" w:type="pct"/>
                  <w:tcBorders>
                    <w:top w:val="single" w:color="auto" w:sz="4" w:space="0"/>
                    <w:bottom w:val="single" w:color="auto" w:sz="4" w:space="0"/>
                  </w:tcBorders>
                  <w:shd w:val="clear" w:color="auto" w:fill="auto"/>
                  <w:vAlign w:val="center"/>
                </w:tcPr>
                <w:p w14:paraId="2EA82F9D">
                  <w:pPr>
                    <w:overflowPunct w:val="0"/>
                    <w:adjustRightInd w:val="0"/>
                    <w:snapToGrid w:val="0"/>
                    <w:jc w:val="center"/>
                    <w:textAlignment w:val="baseline"/>
                    <w:rPr>
                      <w:rFonts w:ascii="Times New Roman" w:hAnsi="Times New Roman" w:eastAsia="宋体" w:cs="Times New Roman"/>
                      <w:color w:val="auto"/>
                      <w:kern w:val="2"/>
                      <w:sz w:val="21"/>
                      <w:szCs w:val="21"/>
                      <w:lang w:val="zh-CN" w:eastAsia="zh-CN" w:bidi="ar-SA"/>
                    </w:rPr>
                  </w:pPr>
                  <w:r>
                    <w:rPr>
                      <w:color w:val="auto"/>
                      <w:szCs w:val="21"/>
                      <w:lang w:val="zh-CN"/>
                    </w:rPr>
                    <w:t>固</w:t>
                  </w:r>
                </w:p>
              </w:tc>
              <w:tc>
                <w:tcPr>
                  <w:tcW w:w="802" w:type="pct"/>
                  <w:tcBorders>
                    <w:top w:val="single" w:color="auto" w:sz="4" w:space="0"/>
                    <w:bottom w:val="single" w:color="auto" w:sz="4" w:space="0"/>
                  </w:tcBorders>
                  <w:shd w:val="clear" w:color="auto" w:fill="auto"/>
                  <w:vAlign w:val="center"/>
                </w:tcPr>
                <w:p w14:paraId="46697ED1">
                  <w:pPr>
                    <w:overflowPunct w:val="0"/>
                    <w:adjustRightInd w:val="0"/>
                    <w:snapToGrid w:val="0"/>
                    <w:jc w:val="center"/>
                    <w:textAlignment w:val="baseline"/>
                    <w:rPr>
                      <w:rFonts w:hint="eastAsia"/>
                      <w:color w:val="auto"/>
                      <w:szCs w:val="21"/>
                      <w:lang w:val="zh-CN"/>
                    </w:rPr>
                  </w:pPr>
                  <w:r>
                    <w:rPr>
                      <w:rFonts w:hint="eastAsia"/>
                      <w:color w:val="auto"/>
                      <w:szCs w:val="21"/>
                      <w:lang w:val="zh-CN"/>
                    </w:rPr>
                    <w:t>鱼皮、裙带菜杂质</w:t>
                  </w:r>
                </w:p>
              </w:tc>
              <w:tc>
                <w:tcPr>
                  <w:tcW w:w="500" w:type="pct"/>
                  <w:tcBorders>
                    <w:top w:val="single" w:color="auto" w:sz="4" w:space="0"/>
                    <w:bottom w:val="single" w:color="auto" w:sz="4" w:space="0"/>
                  </w:tcBorders>
                  <w:shd w:val="clear" w:color="auto" w:fill="auto"/>
                  <w:vAlign w:val="center"/>
                </w:tcPr>
                <w:p w14:paraId="2E36478C">
                  <w:pPr>
                    <w:adjustRightInd w:val="0"/>
                    <w:snapToGrid w:val="0"/>
                    <w:jc w:val="center"/>
                    <w:rPr>
                      <w:rFonts w:hint="default"/>
                      <w:color w:val="auto"/>
                      <w:szCs w:val="21"/>
                      <w:lang w:val="en-US" w:eastAsia="zh-CN"/>
                    </w:rPr>
                  </w:pPr>
                  <w:r>
                    <w:rPr>
                      <w:rFonts w:hint="eastAsia"/>
                      <w:color w:val="auto"/>
                      <w:szCs w:val="21"/>
                      <w:lang w:val="en-US" w:eastAsia="zh-CN"/>
                    </w:rPr>
                    <w:t>0.9</w:t>
                  </w:r>
                </w:p>
              </w:tc>
              <w:tc>
                <w:tcPr>
                  <w:tcW w:w="400" w:type="pct"/>
                  <w:tcBorders>
                    <w:top w:val="single" w:color="auto" w:sz="4" w:space="0"/>
                    <w:bottom w:val="single" w:color="auto" w:sz="4" w:space="0"/>
                  </w:tcBorders>
                  <w:shd w:val="clear" w:color="auto" w:fill="auto"/>
                  <w:vAlign w:val="center"/>
                </w:tcPr>
                <w:p w14:paraId="4B7A3198">
                  <w:pPr>
                    <w:overflowPunct w:val="0"/>
                    <w:adjustRightInd w:val="0"/>
                    <w:snapToGrid w:val="0"/>
                    <w:jc w:val="center"/>
                    <w:textAlignment w:val="baseline"/>
                    <w:rPr>
                      <w:rFonts w:ascii="Times New Roman" w:hAnsi="Times New Roman" w:eastAsia="宋体" w:cs="Times New Roman"/>
                      <w:color w:val="auto"/>
                      <w:kern w:val="2"/>
                      <w:sz w:val="21"/>
                      <w:szCs w:val="21"/>
                      <w:lang w:val="zh-CN" w:eastAsia="zh-CN" w:bidi="ar-SA"/>
                    </w:rPr>
                  </w:pPr>
                  <w:r>
                    <w:rPr>
                      <w:color w:val="auto"/>
                      <w:szCs w:val="21"/>
                      <w:lang w:val="zh-CN"/>
                    </w:rPr>
                    <w:t>√</w:t>
                  </w:r>
                </w:p>
              </w:tc>
              <w:tc>
                <w:tcPr>
                  <w:tcW w:w="300" w:type="pct"/>
                  <w:tcBorders>
                    <w:top w:val="single" w:color="auto" w:sz="4" w:space="0"/>
                    <w:bottom w:val="single" w:color="auto" w:sz="4" w:space="0"/>
                  </w:tcBorders>
                  <w:shd w:val="clear" w:color="auto" w:fill="auto"/>
                  <w:vAlign w:val="center"/>
                </w:tcPr>
                <w:p w14:paraId="624201BE">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w:t>
                  </w:r>
                </w:p>
              </w:tc>
              <w:tc>
                <w:tcPr>
                  <w:tcW w:w="652" w:type="pct"/>
                  <w:tcBorders>
                    <w:top w:val="single" w:color="auto" w:sz="4" w:space="0"/>
                    <w:bottom w:val="single" w:color="auto" w:sz="4" w:space="0"/>
                  </w:tcBorders>
                  <w:shd w:val="clear" w:color="auto" w:fill="auto"/>
                  <w:vAlign w:val="center"/>
                </w:tcPr>
                <w:p w14:paraId="5CF31626">
                  <w:pPr>
                    <w:overflowPunct w:val="0"/>
                    <w:adjustRightInd w:val="0"/>
                    <w:snapToGrid w:val="0"/>
                    <w:jc w:val="center"/>
                    <w:textAlignment w:val="baseline"/>
                    <w:rPr>
                      <w:rFonts w:ascii="Times New Roman" w:hAnsi="Times New Roman" w:eastAsia="宋体" w:cs="Times New Roman"/>
                      <w:color w:val="auto"/>
                      <w:kern w:val="2"/>
                      <w:sz w:val="21"/>
                      <w:szCs w:val="21"/>
                      <w:lang w:val="en-US" w:eastAsia="zh-CN" w:bidi="ar-SA"/>
                    </w:rPr>
                  </w:pPr>
                  <w:r>
                    <w:rPr>
                      <w:color w:val="auto"/>
                      <w:szCs w:val="21"/>
                    </w:rPr>
                    <w:t>4.1</w:t>
                  </w:r>
                  <w:r>
                    <w:rPr>
                      <w:rFonts w:hint="eastAsia"/>
                      <w:color w:val="auto"/>
                      <w:szCs w:val="21"/>
                      <w:lang w:eastAsia="zh-CN"/>
                    </w:rPr>
                    <w:t>(</w:t>
                  </w:r>
                  <w:r>
                    <w:rPr>
                      <w:color w:val="auto"/>
                      <w:szCs w:val="21"/>
                    </w:rPr>
                    <w:t>h</w:t>
                  </w:r>
                  <w:r>
                    <w:rPr>
                      <w:rFonts w:hint="eastAsia"/>
                      <w:color w:val="auto"/>
                      <w:szCs w:val="21"/>
                      <w:lang w:eastAsia="zh-CN"/>
                    </w:rPr>
                    <w:t>)</w:t>
                  </w:r>
                </w:p>
              </w:tc>
              <w:tc>
                <w:tcPr>
                  <w:tcW w:w="409" w:type="pct"/>
                  <w:tcBorders>
                    <w:top w:val="single" w:color="auto" w:sz="4" w:space="0"/>
                    <w:bottom w:val="single" w:color="auto" w:sz="4" w:space="0"/>
                  </w:tcBorders>
                  <w:shd w:val="clear" w:color="auto" w:fill="auto"/>
                  <w:vAlign w:val="center"/>
                </w:tcPr>
                <w:p w14:paraId="01D5D1CB">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w:t>
                  </w:r>
                </w:p>
              </w:tc>
            </w:tr>
            <w:tr w14:paraId="2E7E9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top w:val="single" w:color="auto" w:sz="4" w:space="0"/>
                    <w:bottom w:val="single" w:color="auto" w:sz="4" w:space="0"/>
                  </w:tcBorders>
                  <w:shd w:val="clear" w:color="auto" w:fill="auto"/>
                  <w:vAlign w:val="center"/>
                </w:tcPr>
                <w:p w14:paraId="29F90CC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848" w:type="pct"/>
                  <w:tcBorders>
                    <w:top w:val="single" w:color="auto" w:sz="4" w:space="0"/>
                    <w:bottom w:val="single" w:color="auto" w:sz="4" w:space="0"/>
                  </w:tcBorders>
                  <w:shd w:val="clear" w:color="auto" w:fill="auto"/>
                  <w:vAlign w:val="center"/>
                </w:tcPr>
                <w:p w14:paraId="03E00A6A">
                  <w:pPr>
                    <w:overflowPunct w:val="0"/>
                    <w:adjustRightInd w:val="0"/>
                    <w:snapToGrid w:val="0"/>
                    <w:jc w:val="center"/>
                    <w:textAlignment w:val="baseline"/>
                    <w:rPr>
                      <w:color w:val="auto"/>
                      <w:szCs w:val="21"/>
                      <w:lang w:val="zh-CN"/>
                    </w:rPr>
                  </w:pPr>
                  <w:r>
                    <w:rPr>
                      <w:color w:val="auto"/>
                      <w:szCs w:val="21"/>
                    </w:rPr>
                    <w:t>废</w:t>
                  </w:r>
                  <w:r>
                    <w:rPr>
                      <w:rFonts w:hint="eastAsia"/>
                      <w:color w:val="auto"/>
                      <w:szCs w:val="21"/>
                    </w:rPr>
                    <w:t>包装材料</w:t>
                  </w:r>
                </w:p>
              </w:tc>
              <w:tc>
                <w:tcPr>
                  <w:tcW w:w="600" w:type="pct"/>
                  <w:tcBorders>
                    <w:top w:val="single" w:color="auto" w:sz="4" w:space="0"/>
                    <w:bottom w:val="single" w:color="auto" w:sz="4" w:space="0"/>
                  </w:tcBorders>
                  <w:shd w:val="clear" w:color="auto" w:fill="auto"/>
                  <w:vAlign w:val="center"/>
                </w:tcPr>
                <w:p w14:paraId="6A7E3AFF">
                  <w:pPr>
                    <w:overflowPunct w:val="0"/>
                    <w:adjustRightInd w:val="0"/>
                    <w:snapToGrid w:val="0"/>
                    <w:jc w:val="center"/>
                    <w:textAlignment w:val="baseline"/>
                    <w:rPr>
                      <w:color w:val="auto"/>
                      <w:szCs w:val="21"/>
                      <w:lang w:val="zh-CN"/>
                    </w:rPr>
                  </w:pPr>
                  <w:r>
                    <w:rPr>
                      <w:rFonts w:hint="eastAsia"/>
                      <w:color w:val="auto"/>
                      <w:szCs w:val="21"/>
                    </w:rPr>
                    <w:t>原辅料包装</w:t>
                  </w:r>
                </w:p>
              </w:tc>
              <w:tc>
                <w:tcPr>
                  <w:tcW w:w="250" w:type="pct"/>
                  <w:tcBorders>
                    <w:top w:val="single" w:color="auto" w:sz="4" w:space="0"/>
                    <w:bottom w:val="single" w:color="auto" w:sz="4" w:space="0"/>
                  </w:tcBorders>
                  <w:shd w:val="clear" w:color="auto" w:fill="auto"/>
                  <w:vAlign w:val="center"/>
                </w:tcPr>
                <w:p w14:paraId="4279F40E">
                  <w:pPr>
                    <w:overflowPunct w:val="0"/>
                    <w:adjustRightInd w:val="0"/>
                    <w:snapToGrid w:val="0"/>
                    <w:jc w:val="center"/>
                    <w:textAlignment w:val="baseline"/>
                    <w:rPr>
                      <w:color w:val="auto"/>
                      <w:szCs w:val="21"/>
                      <w:lang w:val="zh-CN"/>
                    </w:rPr>
                  </w:pPr>
                  <w:r>
                    <w:rPr>
                      <w:color w:val="auto"/>
                      <w:szCs w:val="21"/>
                      <w:lang w:val="zh-CN"/>
                    </w:rPr>
                    <w:t>固</w:t>
                  </w:r>
                </w:p>
              </w:tc>
              <w:tc>
                <w:tcPr>
                  <w:tcW w:w="802" w:type="pct"/>
                  <w:tcBorders>
                    <w:top w:val="single" w:color="auto" w:sz="4" w:space="0"/>
                    <w:bottom w:val="single" w:color="auto" w:sz="4" w:space="0"/>
                  </w:tcBorders>
                  <w:shd w:val="clear" w:color="auto" w:fill="auto"/>
                  <w:vAlign w:val="center"/>
                </w:tcPr>
                <w:p w14:paraId="0A41FBC1">
                  <w:pPr>
                    <w:overflowPunct w:val="0"/>
                    <w:adjustRightInd w:val="0"/>
                    <w:snapToGrid w:val="0"/>
                    <w:jc w:val="center"/>
                    <w:textAlignment w:val="baseline"/>
                    <w:rPr>
                      <w:color w:val="auto"/>
                      <w:szCs w:val="21"/>
                      <w:lang w:val="zh-CN"/>
                    </w:rPr>
                  </w:pPr>
                  <w:r>
                    <w:rPr>
                      <w:rFonts w:hint="eastAsia"/>
                      <w:color w:val="auto"/>
                      <w:szCs w:val="21"/>
                      <w:lang w:val="zh-CN"/>
                    </w:rPr>
                    <w:t>塑料、纸</w:t>
                  </w:r>
                </w:p>
              </w:tc>
              <w:tc>
                <w:tcPr>
                  <w:tcW w:w="500" w:type="pct"/>
                  <w:tcBorders>
                    <w:top w:val="single" w:color="auto" w:sz="4" w:space="0"/>
                    <w:bottom w:val="single" w:color="auto" w:sz="4" w:space="0"/>
                  </w:tcBorders>
                  <w:shd w:val="clear" w:color="auto" w:fill="auto"/>
                  <w:vAlign w:val="center"/>
                </w:tcPr>
                <w:p w14:paraId="23BB9FF0">
                  <w:pPr>
                    <w:adjustRightInd w:val="0"/>
                    <w:snapToGrid w:val="0"/>
                    <w:jc w:val="center"/>
                    <w:rPr>
                      <w:rFonts w:hint="eastAsia" w:eastAsia="宋体"/>
                      <w:color w:val="auto"/>
                      <w:szCs w:val="21"/>
                      <w:lang w:eastAsia="zh-CN"/>
                    </w:rPr>
                  </w:pPr>
                  <w:r>
                    <w:rPr>
                      <w:rFonts w:hint="eastAsia"/>
                      <w:color w:val="auto"/>
                      <w:szCs w:val="21"/>
                      <w:lang w:val="en-US" w:eastAsia="zh-CN"/>
                    </w:rPr>
                    <w:t>2</w:t>
                  </w:r>
                </w:p>
              </w:tc>
              <w:tc>
                <w:tcPr>
                  <w:tcW w:w="400" w:type="pct"/>
                  <w:tcBorders>
                    <w:top w:val="single" w:color="auto" w:sz="4" w:space="0"/>
                    <w:bottom w:val="single" w:color="auto" w:sz="4" w:space="0"/>
                  </w:tcBorders>
                  <w:shd w:val="clear" w:color="auto" w:fill="auto"/>
                  <w:vAlign w:val="center"/>
                </w:tcPr>
                <w:p w14:paraId="126E0EDB">
                  <w:pPr>
                    <w:overflowPunct w:val="0"/>
                    <w:adjustRightInd w:val="0"/>
                    <w:snapToGrid w:val="0"/>
                    <w:jc w:val="center"/>
                    <w:textAlignment w:val="baseline"/>
                    <w:rPr>
                      <w:color w:val="auto"/>
                      <w:szCs w:val="21"/>
                      <w:lang w:val="zh-CN"/>
                    </w:rPr>
                  </w:pPr>
                  <w:r>
                    <w:rPr>
                      <w:color w:val="auto"/>
                      <w:szCs w:val="21"/>
                      <w:lang w:val="zh-CN"/>
                    </w:rPr>
                    <w:t>√</w:t>
                  </w:r>
                </w:p>
              </w:tc>
              <w:tc>
                <w:tcPr>
                  <w:tcW w:w="300" w:type="pct"/>
                  <w:tcBorders>
                    <w:top w:val="single" w:color="auto" w:sz="4" w:space="0"/>
                    <w:bottom w:val="single" w:color="auto" w:sz="4" w:space="0"/>
                  </w:tcBorders>
                  <w:shd w:val="clear" w:color="auto" w:fill="auto"/>
                  <w:vAlign w:val="center"/>
                </w:tcPr>
                <w:p w14:paraId="50335972">
                  <w:pPr>
                    <w:adjustRightInd w:val="0"/>
                    <w:snapToGrid w:val="0"/>
                    <w:jc w:val="center"/>
                    <w:rPr>
                      <w:color w:val="auto"/>
                      <w:szCs w:val="21"/>
                    </w:rPr>
                  </w:pPr>
                  <w:r>
                    <w:rPr>
                      <w:color w:val="auto"/>
                      <w:szCs w:val="21"/>
                    </w:rPr>
                    <w:t>/</w:t>
                  </w:r>
                </w:p>
              </w:tc>
              <w:tc>
                <w:tcPr>
                  <w:tcW w:w="652" w:type="pct"/>
                  <w:tcBorders>
                    <w:top w:val="single" w:color="auto" w:sz="4" w:space="0"/>
                    <w:bottom w:val="single" w:color="auto" w:sz="4" w:space="0"/>
                  </w:tcBorders>
                  <w:shd w:val="clear" w:color="auto" w:fill="auto"/>
                  <w:vAlign w:val="center"/>
                </w:tcPr>
                <w:p w14:paraId="6BC7E9F2">
                  <w:pPr>
                    <w:overflowPunct w:val="0"/>
                    <w:adjustRightInd w:val="0"/>
                    <w:snapToGrid w:val="0"/>
                    <w:jc w:val="center"/>
                    <w:textAlignment w:val="baseline"/>
                    <w:rPr>
                      <w:color w:val="auto"/>
                      <w:szCs w:val="21"/>
                      <w:lang w:val="zh-CN"/>
                    </w:rPr>
                  </w:pPr>
                  <w:r>
                    <w:rPr>
                      <w:color w:val="auto"/>
                      <w:szCs w:val="21"/>
                    </w:rPr>
                    <w:t>4.1</w:t>
                  </w:r>
                  <w:r>
                    <w:rPr>
                      <w:rFonts w:hint="eastAsia"/>
                      <w:color w:val="auto"/>
                      <w:szCs w:val="21"/>
                      <w:lang w:eastAsia="zh-CN"/>
                    </w:rPr>
                    <w:t>(</w:t>
                  </w:r>
                  <w:r>
                    <w:rPr>
                      <w:color w:val="auto"/>
                      <w:szCs w:val="21"/>
                    </w:rPr>
                    <w:t>h</w:t>
                  </w:r>
                  <w:r>
                    <w:rPr>
                      <w:rFonts w:hint="eastAsia"/>
                      <w:color w:val="auto"/>
                      <w:szCs w:val="21"/>
                      <w:lang w:eastAsia="zh-CN"/>
                    </w:rPr>
                    <w:t>)</w:t>
                  </w:r>
                </w:p>
              </w:tc>
              <w:tc>
                <w:tcPr>
                  <w:tcW w:w="409" w:type="pct"/>
                  <w:tcBorders>
                    <w:top w:val="single" w:color="auto" w:sz="4" w:space="0"/>
                    <w:bottom w:val="single" w:color="auto" w:sz="4" w:space="0"/>
                  </w:tcBorders>
                  <w:shd w:val="clear" w:color="auto" w:fill="auto"/>
                  <w:vAlign w:val="center"/>
                </w:tcPr>
                <w:p w14:paraId="36120D21">
                  <w:pPr>
                    <w:adjustRightInd w:val="0"/>
                    <w:snapToGrid w:val="0"/>
                    <w:jc w:val="center"/>
                    <w:rPr>
                      <w:color w:val="auto"/>
                      <w:szCs w:val="21"/>
                    </w:rPr>
                  </w:pPr>
                  <w:r>
                    <w:rPr>
                      <w:color w:val="auto"/>
                      <w:szCs w:val="21"/>
                    </w:rPr>
                    <w:t>/</w:t>
                  </w:r>
                </w:p>
              </w:tc>
            </w:tr>
            <w:tr w14:paraId="5D85B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top w:val="single" w:color="auto" w:sz="4" w:space="0"/>
                  </w:tcBorders>
                  <w:shd w:val="clear" w:color="auto" w:fill="auto"/>
                  <w:vAlign w:val="center"/>
                </w:tcPr>
                <w:p w14:paraId="7F485327">
                  <w:pPr>
                    <w:adjustRightInd w:val="0"/>
                    <w:snapToGrid w:val="0"/>
                    <w:jc w:val="center"/>
                    <w:rPr>
                      <w:rFonts w:hint="default" w:eastAsia="宋体"/>
                      <w:color w:val="auto"/>
                      <w:szCs w:val="21"/>
                      <w:lang w:val="en-US" w:eastAsia="zh-CN"/>
                    </w:rPr>
                  </w:pPr>
                  <w:r>
                    <w:rPr>
                      <w:rFonts w:hint="eastAsia"/>
                      <w:color w:val="auto"/>
                      <w:szCs w:val="21"/>
                      <w:lang w:val="en-US" w:eastAsia="zh-CN"/>
                    </w:rPr>
                    <w:t>4</w:t>
                  </w:r>
                </w:p>
              </w:tc>
              <w:tc>
                <w:tcPr>
                  <w:tcW w:w="848" w:type="pct"/>
                  <w:tcBorders>
                    <w:top w:val="single" w:color="auto" w:sz="4" w:space="0"/>
                  </w:tcBorders>
                  <w:shd w:val="clear" w:color="auto" w:fill="auto"/>
                  <w:vAlign w:val="center"/>
                </w:tcPr>
                <w:p w14:paraId="17BE2083">
                  <w:pPr>
                    <w:overflowPunct w:val="0"/>
                    <w:adjustRightInd w:val="0"/>
                    <w:snapToGrid w:val="0"/>
                    <w:jc w:val="center"/>
                    <w:textAlignment w:val="baseline"/>
                    <w:rPr>
                      <w:color w:val="auto"/>
                      <w:szCs w:val="21"/>
                      <w:lang w:val="zh-CN"/>
                    </w:rPr>
                  </w:pPr>
                  <w:r>
                    <w:rPr>
                      <w:color w:val="auto"/>
                      <w:szCs w:val="21"/>
                      <w:lang w:val="zh-CN"/>
                    </w:rPr>
                    <w:t>职工生活垃圾</w:t>
                  </w:r>
                </w:p>
              </w:tc>
              <w:tc>
                <w:tcPr>
                  <w:tcW w:w="600" w:type="pct"/>
                  <w:tcBorders>
                    <w:top w:val="single" w:color="auto" w:sz="4" w:space="0"/>
                  </w:tcBorders>
                  <w:shd w:val="clear" w:color="auto" w:fill="auto"/>
                  <w:vAlign w:val="center"/>
                </w:tcPr>
                <w:p w14:paraId="6DBF8E19">
                  <w:pPr>
                    <w:overflowPunct w:val="0"/>
                    <w:adjustRightInd w:val="0"/>
                    <w:snapToGrid w:val="0"/>
                    <w:jc w:val="center"/>
                    <w:textAlignment w:val="baseline"/>
                    <w:rPr>
                      <w:color w:val="auto"/>
                      <w:szCs w:val="21"/>
                      <w:lang w:val="zh-CN"/>
                    </w:rPr>
                  </w:pPr>
                  <w:r>
                    <w:rPr>
                      <w:color w:val="auto"/>
                      <w:szCs w:val="21"/>
                      <w:lang w:val="zh-CN"/>
                    </w:rPr>
                    <w:t>生活办公</w:t>
                  </w:r>
                </w:p>
              </w:tc>
              <w:tc>
                <w:tcPr>
                  <w:tcW w:w="250" w:type="pct"/>
                  <w:tcBorders>
                    <w:top w:val="single" w:color="auto" w:sz="4" w:space="0"/>
                  </w:tcBorders>
                  <w:shd w:val="clear" w:color="auto" w:fill="auto"/>
                  <w:vAlign w:val="center"/>
                </w:tcPr>
                <w:p w14:paraId="38589087">
                  <w:pPr>
                    <w:overflowPunct w:val="0"/>
                    <w:adjustRightInd w:val="0"/>
                    <w:snapToGrid w:val="0"/>
                    <w:jc w:val="center"/>
                    <w:textAlignment w:val="baseline"/>
                    <w:rPr>
                      <w:color w:val="auto"/>
                      <w:szCs w:val="21"/>
                      <w:lang w:val="zh-CN"/>
                    </w:rPr>
                  </w:pPr>
                  <w:r>
                    <w:rPr>
                      <w:color w:val="auto"/>
                      <w:szCs w:val="21"/>
                      <w:lang w:val="zh-CN"/>
                    </w:rPr>
                    <w:t>固</w:t>
                  </w:r>
                </w:p>
              </w:tc>
              <w:tc>
                <w:tcPr>
                  <w:tcW w:w="802" w:type="pct"/>
                  <w:tcBorders>
                    <w:top w:val="single" w:color="auto" w:sz="4" w:space="0"/>
                  </w:tcBorders>
                  <w:shd w:val="clear" w:color="auto" w:fill="auto"/>
                  <w:vAlign w:val="center"/>
                </w:tcPr>
                <w:p w14:paraId="2C721E08">
                  <w:pPr>
                    <w:overflowPunct w:val="0"/>
                    <w:adjustRightInd w:val="0"/>
                    <w:snapToGrid w:val="0"/>
                    <w:jc w:val="center"/>
                    <w:textAlignment w:val="baseline"/>
                    <w:rPr>
                      <w:color w:val="auto"/>
                      <w:szCs w:val="21"/>
                      <w:lang w:val="zh-CN"/>
                    </w:rPr>
                  </w:pPr>
                  <w:r>
                    <w:rPr>
                      <w:color w:val="auto"/>
                      <w:szCs w:val="21"/>
                      <w:lang w:val="zh-CN"/>
                    </w:rPr>
                    <w:t>果皮、纸壳</w:t>
                  </w:r>
                </w:p>
              </w:tc>
              <w:tc>
                <w:tcPr>
                  <w:tcW w:w="500" w:type="pct"/>
                  <w:tcBorders>
                    <w:top w:val="single" w:color="auto" w:sz="4" w:space="0"/>
                  </w:tcBorders>
                  <w:shd w:val="clear" w:color="auto" w:fill="auto"/>
                  <w:vAlign w:val="center"/>
                </w:tcPr>
                <w:p w14:paraId="4C20C519">
                  <w:pPr>
                    <w:adjustRightInd w:val="0"/>
                    <w:snapToGrid w:val="0"/>
                    <w:jc w:val="center"/>
                    <w:rPr>
                      <w:rFonts w:hint="eastAsia" w:eastAsia="宋体"/>
                      <w:color w:val="auto"/>
                      <w:szCs w:val="21"/>
                      <w:lang w:eastAsia="zh-CN"/>
                    </w:rPr>
                  </w:pPr>
                  <w:r>
                    <w:rPr>
                      <w:rFonts w:hint="eastAsia"/>
                      <w:color w:val="auto"/>
                      <w:szCs w:val="21"/>
                      <w:lang w:val="en-US" w:eastAsia="zh-CN"/>
                    </w:rPr>
                    <w:t>3</w:t>
                  </w:r>
                </w:p>
              </w:tc>
              <w:tc>
                <w:tcPr>
                  <w:tcW w:w="400" w:type="pct"/>
                  <w:tcBorders>
                    <w:top w:val="single" w:color="auto" w:sz="4" w:space="0"/>
                  </w:tcBorders>
                  <w:shd w:val="clear" w:color="auto" w:fill="auto"/>
                  <w:vAlign w:val="center"/>
                </w:tcPr>
                <w:p w14:paraId="011590CA">
                  <w:pPr>
                    <w:overflowPunct w:val="0"/>
                    <w:adjustRightInd w:val="0"/>
                    <w:snapToGrid w:val="0"/>
                    <w:jc w:val="center"/>
                    <w:textAlignment w:val="baseline"/>
                    <w:rPr>
                      <w:color w:val="auto"/>
                      <w:szCs w:val="21"/>
                      <w:lang w:val="zh-CN"/>
                    </w:rPr>
                  </w:pPr>
                  <w:r>
                    <w:rPr>
                      <w:color w:val="auto"/>
                      <w:szCs w:val="21"/>
                      <w:lang w:val="zh-CN"/>
                    </w:rPr>
                    <w:t>√</w:t>
                  </w:r>
                </w:p>
              </w:tc>
              <w:tc>
                <w:tcPr>
                  <w:tcW w:w="300" w:type="pct"/>
                  <w:tcBorders>
                    <w:top w:val="single" w:color="auto" w:sz="4" w:space="0"/>
                  </w:tcBorders>
                  <w:shd w:val="clear" w:color="auto" w:fill="auto"/>
                  <w:vAlign w:val="center"/>
                </w:tcPr>
                <w:p w14:paraId="023E1B76">
                  <w:pPr>
                    <w:adjustRightInd w:val="0"/>
                    <w:snapToGrid w:val="0"/>
                    <w:jc w:val="center"/>
                    <w:rPr>
                      <w:color w:val="auto"/>
                      <w:szCs w:val="21"/>
                    </w:rPr>
                  </w:pPr>
                  <w:r>
                    <w:rPr>
                      <w:color w:val="auto"/>
                      <w:szCs w:val="21"/>
                    </w:rPr>
                    <w:t>/</w:t>
                  </w:r>
                </w:p>
              </w:tc>
              <w:tc>
                <w:tcPr>
                  <w:tcW w:w="652" w:type="pct"/>
                  <w:tcBorders>
                    <w:top w:val="single" w:color="auto" w:sz="4" w:space="0"/>
                  </w:tcBorders>
                  <w:shd w:val="clear" w:color="auto" w:fill="auto"/>
                  <w:vAlign w:val="center"/>
                </w:tcPr>
                <w:p w14:paraId="64B358C4">
                  <w:pPr>
                    <w:adjustRightInd w:val="0"/>
                    <w:snapToGrid w:val="0"/>
                    <w:jc w:val="center"/>
                    <w:rPr>
                      <w:color w:val="auto"/>
                      <w:szCs w:val="21"/>
                    </w:rPr>
                  </w:pPr>
                  <w:r>
                    <w:rPr>
                      <w:color w:val="auto"/>
                      <w:szCs w:val="21"/>
                    </w:rPr>
                    <w:t>4.1</w:t>
                  </w:r>
                  <w:r>
                    <w:rPr>
                      <w:rFonts w:hint="eastAsia"/>
                      <w:color w:val="auto"/>
                      <w:szCs w:val="21"/>
                      <w:lang w:eastAsia="zh-CN"/>
                    </w:rPr>
                    <w:t>(</w:t>
                  </w:r>
                  <w:r>
                    <w:rPr>
                      <w:color w:val="auto"/>
                      <w:szCs w:val="21"/>
                    </w:rPr>
                    <w:t>h</w:t>
                  </w:r>
                  <w:r>
                    <w:rPr>
                      <w:rFonts w:hint="eastAsia"/>
                      <w:color w:val="auto"/>
                      <w:szCs w:val="21"/>
                      <w:lang w:eastAsia="zh-CN"/>
                    </w:rPr>
                    <w:t>)</w:t>
                  </w:r>
                </w:p>
              </w:tc>
              <w:tc>
                <w:tcPr>
                  <w:tcW w:w="409" w:type="pct"/>
                  <w:tcBorders>
                    <w:top w:val="single" w:color="auto" w:sz="4" w:space="0"/>
                  </w:tcBorders>
                  <w:shd w:val="clear" w:color="auto" w:fill="auto"/>
                  <w:vAlign w:val="center"/>
                </w:tcPr>
                <w:p w14:paraId="7FC31A4C">
                  <w:pPr>
                    <w:adjustRightInd w:val="0"/>
                    <w:snapToGrid w:val="0"/>
                    <w:jc w:val="center"/>
                    <w:rPr>
                      <w:color w:val="auto"/>
                      <w:szCs w:val="21"/>
                    </w:rPr>
                  </w:pPr>
                  <w:r>
                    <w:rPr>
                      <w:color w:val="auto"/>
                      <w:szCs w:val="21"/>
                    </w:rPr>
                    <w:t>/</w:t>
                  </w:r>
                </w:p>
              </w:tc>
            </w:tr>
          </w:tbl>
          <w:p w14:paraId="354BEEF2">
            <w:pPr>
              <w:adjustRightInd w:val="0"/>
              <w:snapToGrid w:val="0"/>
              <w:spacing w:line="360" w:lineRule="auto"/>
              <w:ind w:firstLine="360" w:firstLineChars="200"/>
              <w:rPr>
                <w:color w:val="auto"/>
                <w:sz w:val="24"/>
              </w:rPr>
            </w:pPr>
            <w:r>
              <w:rPr>
                <w:color w:val="auto"/>
                <w:sz w:val="18"/>
                <w:szCs w:val="18"/>
              </w:rPr>
              <w:t>*：</w:t>
            </w:r>
            <w:r>
              <w:rPr>
                <w:rFonts w:hint="eastAsia" w:ascii="宋体" w:hAnsi="宋体" w:cs="宋体"/>
                <w:color w:val="auto"/>
                <w:sz w:val="18"/>
                <w:szCs w:val="18"/>
              </w:rPr>
              <w:t>①</w:t>
            </w:r>
            <w:r>
              <w:rPr>
                <w:color w:val="auto"/>
                <w:sz w:val="18"/>
                <w:szCs w:val="18"/>
              </w:rPr>
              <w:t>上表中来源鉴别根据《固体废物鉴别标准通则》（GB34330-2017），4.3（e）表示：</w:t>
            </w:r>
            <w:r>
              <w:rPr>
                <w:rFonts w:hint="eastAsia"/>
                <w:color w:val="auto"/>
                <w:sz w:val="18"/>
                <w:szCs w:val="18"/>
              </w:rPr>
              <w:t>水净化和废水处理产生的污泥及其他废弃物质</w:t>
            </w:r>
            <w:r>
              <w:rPr>
                <w:color w:val="auto"/>
                <w:sz w:val="18"/>
                <w:szCs w:val="18"/>
              </w:rPr>
              <w:t>；4.1（h）表示：因丧失原有功能而无法继续使用的物质；4.3（n）表示：</w:t>
            </w:r>
            <w:r>
              <w:rPr>
                <w:rFonts w:hint="eastAsia"/>
                <w:color w:val="auto"/>
                <w:sz w:val="18"/>
                <w:szCs w:val="18"/>
              </w:rPr>
              <w:t>在其他环境治理和污染修复过程中产生的各类物质</w:t>
            </w:r>
            <w:r>
              <w:rPr>
                <w:color w:val="auto"/>
                <w:sz w:val="18"/>
                <w:szCs w:val="18"/>
              </w:rPr>
              <w:t>。</w:t>
            </w:r>
          </w:p>
          <w:p w14:paraId="5AB6C2C1">
            <w:pPr>
              <w:widowControl/>
              <w:autoSpaceDE w:val="0"/>
              <w:autoSpaceDN w:val="0"/>
              <w:adjustRightInd w:val="0"/>
              <w:snapToGrid w:val="0"/>
              <w:spacing w:beforeLines="50" w:line="360" w:lineRule="auto"/>
              <w:ind w:firstLine="482" w:firstLineChars="200"/>
              <w:jc w:val="left"/>
              <w:rPr>
                <w:b/>
                <w:color w:val="auto"/>
                <w:kern w:val="0"/>
                <w:sz w:val="24"/>
              </w:rPr>
            </w:pPr>
            <w:r>
              <w:rPr>
                <w:rFonts w:hint="eastAsia"/>
                <w:b/>
                <w:color w:val="auto"/>
                <w:kern w:val="0"/>
                <w:sz w:val="24"/>
                <w:lang w:val="en-US" w:eastAsia="zh-CN"/>
              </w:rPr>
              <w:t>4.2</w:t>
            </w:r>
            <w:r>
              <w:rPr>
                <w:b/>
                <w:color w:val="auto"/>
                <w:kern w:val="0"/>
                <w:sz w:val="24"/>
              </w:rPr>
              <w:t>污染源强核算过程简述</w:t>
            </w:r>
          </w:p>
          <w:p w14:paraId="417F9718">
            <w:pPr>
              <w:adjustRightInd w:val="0"/>
              <w:snapToGrid w:val="0"/>
              <w:spacing w:line="360" w:lineRule="auto"/>
              <w:ind w:firstLine="480" w:firstLineChars="200"/>
              <w:rPr>
                <w:rFonts w:hint="eastAsia" w:eastAsia="宋体"/>
                <w:color w:val="auto"/>
                <w:sz w:val="24"/>
                <w:lang w:eastAsia="zh-CN"/>
              </w:rPr>
            </w:pPr>
            <w:r>
              <w:rPr>
                <w:color w:val="auto"/>
                <w:sz w:val="24"/>
              </w:rPr>
              <w:t>（1）</w:t>
            </w:r>
            <w:r>
              <w:rPr>
                <w:rFonts w:hint="eastAsia"/>
                <w:color w:val="auto"/>
                <w:sz w:val="24"/>
              </w:rPr>
              <w:t>废</w:t>
            </w:r>
            <w:r>
              <w:rPr>
                <w:rFonts w:hint="eastAsia"/>
                <w:color w:val="auto"/>
                <w:sz w:val="24"/>
                <w:lang w:eastAsia="zh-CN"/>
              </w:rPr>
              <w:t>杂物</w:t>
            </w:r>
          </w:p>
          <w:p w14:paraId="3981D105">
            <w:pPr>
              <w:keepNext/>
              <w:adjustRightInd w:val="0"/>
              <w:snapToGrid w:val="0"/>
              <w:spacing w:line="360" w:lineRule="auto"/>
              <w:ind w:firstLine="480" w:firstLineChars="200"/>
              <w:rPr>
                <w:rFonts w:hint="eastAsia"/>
                <w:color w:val="auto"/>
                <w:sz w:val="24"/>
              </w:rPr>
            </w:pPr>
            <w:r>
              <w:rPr>
                <w:color w:val="auto"/>
                <w:sz w:val="24"/>
              </w:rPr>
              <w:t>本项目</w:t>
            </w:r>
            <w:r>
              <w:rPr>
                <w:rFonts w:hint="eastAsia"/>
                <w:color w:val="auto"/>
                <w:sz w:val="24"/>
              </w:rPr>
              <w:t>在</w:t>
            </w:r>
            <w:r>
              <w:rPr>
                <w:rFonts w:hint="eastAsia"/>
                <w:color w:val="auto"/>
                <w:sz w:val="24"/>
                <w:lang w:eastAsia="zh-CN"/>
              </w:rPr>
              <w:t>除杂</w:t>
            </w:r>
            <w:r>
              <w:rPr>
                <w:rFonts w:hint="eastAsia"/>
                <w:color w:val="auto"/>
                <w:sz w:val="24"/>
              </w:rPr>
              <w:t>工序中会产生一定量的废</w:t>
            </w:r>
            <w:r>
              <w:rPr>
                <w:rFonts w:hint="eastAsia"/>
                <w:color w:val="auto"/>
                <w:sz w:val="24"/>
                <w:lang w:eastAsia="zh-CN"/>
              </w:rPr>
              <w:t>原料鱼皮、裙带菜杂质等</w:t>
            </w:r>
            <w:r>
              <w:rPr>
                <w:rFonts w:hint="eastAsia"/>
                <w:color w:val="auto"/>
                <w:sz w:val="24"/>
              </w:rPr>
              <w:t>，</w:t>
            </w:r>
            <w:r>
              <w:rPr>
                <w:rFonts w:hint="eastAsia"/>
                <w:color w:val="auto"/>
                <w:sz w:val="24"/>
                <w:lang w:eastAsia="zh-CN"/>
              </w:rPr>
              <w:t>类比同类行业</w:t>
            </w:r>
            <w:r>
              <w:rPr>
                <w:rFonts w:hint="eastAsia"/>
                <w:color w:val="auto"/>
                <w:sz w:val="24"/>
              </w:rPr>
              <w:t>，</w:t>
            </w:r>
            <w:r>
              <w:rPr>
                <w:rFonts w:hint="eastAsia"/>
                <w:color w:val="auto"/>
                <w:sz w:val="24"/>
                <w:lang w:eastAsia="zh-CN"/>
              </w:rPr>
              <w:t>鱼皮、盐渍裙带菜的使用量</w:t>
            </w:r>
            <w:r>
              <w:rPr>
                <w:rFonts w:hint="eastAsia"/>
                <w:color w:val="auto"/>
                <w:sz w:val="24"/>
                <w:lang w:val="en-US" w:eastAsia="zh-CN"/>
              </w:rPr>
              <w:t>1450吨，</w:t>
            </w:r>
            <w:r>
              <w:rPr>
                <w:rFonts w:hint="eastAsia"/>
                <w:color w:val="auto"/>
                <w:sz w:val="24"/>
              </w:rPr>
              <w:t>则产生的废</w:t>
            </w:r>
            <w:r>
              <w:rPr>
                <w:rFonts w:hint="eastAsia"/>
                <w:color w:val="auto"/>
                <w:sz w:val="24"/>
                <w:lang w:eastAsia="zh-CN"/>
              </w:rPr>
              <w:t>杂物</w:t>
            </w:r>
            <w:r>
              <w:rPr>
                <w:rFonts w:hint="eastAsia"/>
                <w:color w:val="auto"/>
                <w:sz w:val="24"/>
              </w:rPr>
              <w:t>为</w:t>
            </w:r>
            <w:r>
              <w:rPr>
                <w:rFonts w:hint="eastAsia"/>
                <w:color w:val="auto"/>
                <w:sz w:val="24"/>
                <w:lang w:val="en-US" w:eastAsia="zh-CN"/>
              </w:rPr>
              <w:t>1.5</w:t>
            </w:r>
            <w:r>
              <w:rPr>
                <w:color w:val="auto"/>
                <w:sz w:val="24"/>
              </w:rPr>
              <w:t>t</w:t>
            </w:r>
            <w:r>
              <w:rPr>
                <w:rFonts w:hint="eastAsia"/>
                <w:color w:val="auto"/>
                <w:sz w:val="24"/>
              </w:rPr>
              <w:t>/</w:t>
            </w:r>
            <w:r>
              <w:rPr>
                <w:color w:val="auto"/>
                <w:sz w:val="24"/>
              </w:rPr>
              <w:t>a</w:t>
            </w:r>
            <w:r>
              <w:rPr>
                <w:rFonts w:hint="eastAsia"/>
                <w:color w:val="auto"/>
                <w:sz w:val="24"/>
              </w:rPr>
              <w:t>。收集后</w:t>
            </w:r>
            <w:r>
              <w:rPr>
                <w:color w:val="auto"/>
                <w:sz w:val="24"/>
              </w:rPr>
              <w:t>委托当地环卫部门统一清运处理</w:t>
            </w:r>
            <w:r>
              <w:rPr>
                <w:rFonts w:hint="eastAsia"/>
                <w:color w:val="auto"/>
                <w:sz w:val="24"/>
              </w:rPr>
              <w:t>。</w:t>
            </w:r>
          </w:p>
          <w:p w14:paraId="08AEC2CB">
            <w:pPr>
              <w:keepNext/>
              <w:numPr>
                <w:ilvl w:val="0"/>
                <w:numId w:val="6"/>
              </w:numPr>
              <w:adjustRightInd w:val="0"/>
              <w:snapToGrid w:val="0"/>
              <w:spacing w:line="360" w:lineRule="auto"/>
              <w:ind w:left="1200" w:leftChars="0" w:hanging="720" w:firstLineChars="0"/>
              <w:rPr>
                <w:rFonts w:hint="eastAsia"/>
                <w:color w:val="auto"/>
                <w:sz w:val="24"/>
                <w:lang w:eastAsia="zh-CN"/>
              </w:rPr>
            </w:pPr>
            <w:r>
              <w:rPr>
                <w:rFonts w:hint="eastAsia"/>
                <w:color w:val="auto"/>
                <w:sz w:val="24"/>
                <w:lang w:eastAsia="zh-CN"/>
              </w:rPr>
              <w:t>不合格品</w:t>
            </w:r>
          </w:p>
          <w:p w14:paraId="385E6EB2">
            <w:pPr>
              <w:keepNext/>
              <w:adjustRightInd w:val="0"/>
              <w:snapToGrid w:val="0"/>
              <w:spacing w:line="360" w:lineRule="auto"/>
              <w:ind w:firstLine="480" w:firstLineChars="200"/>
              <w:rPr>
                <w:rFonts w:hint="default"/>
                <w:color w:val="auto"/>
                <w:sz w:val="24"/>
                <w:lang w:val="en-US" w:eastAsia="zh-CN"/>
              </w:rPr>
            </w:pPr>
            <w:r>
              <w:rPr>
                <w:rFonts w:hint="eastAsia"/>
                <w:color w:val="auto"/>
                <w:sz w:val="24"/>
                <w:lang w:eastAsia="zh-CN"/>
              </w:rPr>
              <w:t>本项目在内包装、外包装检测工序会产生一定量的不合格品，类比同类行业</w:t>
            </w:r>
            <w:r>
              <w:rPr>
                <w:rFonts w:hint="eastAsia"/>
                <w:color w:val="auto"/>
                <w:sz w:val="24"/>
              </w:rPr>
              <w:t>，</w:t>
            </w:r>
            <w:r>
              <w:rPr>
                <w:rFonts w:hint="eastAsia"/>
                <w:color w:val="auto"/>
                <w:sz w:val="24"/>
                <w:lang w:eastAsia="zh-CN"/>
              </w:rPr>
              <w:t>鱼皮、盐渍裙带菜的产能为</w:t>
            </w:r>
            <w:r>
              <w:rPr>
                <w:rFonts w:hint="eastAsia"/>
                <w:color w:val="auto"/>
                <w:sz w:val="24"/>
                <w:lang w:val="en-US" w:eastAsia="zh-CN"/>
              </w:rPr>
              <w:t>3000吨，不合格约为0.03%，则产生的不合格品约为0.9吨。</w:t>
            </w:r>
            <w:r>
              <w:rPr>
                <w:rFonts w:hint="eastAsia"/>
                <w:color w:val="auto"/>
                <w:sz w:val="24"/>
                <w:lang w:eastAsia="zh-CN"/>
              </w:rPr>
              <w:t>此类不合格品企业将异物挑拣后重新进行检测，检测合格后，重新进入生产包装</w:t>
            </w:r>
            <w:r>
              <w:rPr>
                <w:rFonts w:hint="eastAsia"/>
                <w:color w:val="auto"/>
                <w:sz w:val="24"/>
              </w:rPr>
              <w:t>。</w:t>
            </w:r>
          </w:p>
          <w:p w14:paraId="648EF071">
            <w:pPr>
              <w:adjustRightInd w:val="0"/>
              <w:snapToGrid w:val="0"/>
              <w:spacing w:line="360" w:lineRule="auto"/>
              <w:ind w:firstLine="480" w:firstLineChars="200"/>
              <w:rPr>
                <w:color w:val="auto"/>
                <w:sz w:val="24"/>
              </w:rPr>
            </w:pPr>
            <w:r>
              <w:rPr>
                <w:color w:val="auto"/>
                <w:sz w:val="24"/>
              </w:rPr>
              <w:t>（2）</w:t>
            </w:r>
            <w:r>
              <w:rPr>
                <w:rFonts w:hint="eastAsia"/>
                <w:color w:val="auto"/>
                <w:sz w:val="24"/>
              </w:rPr>
              <w:t>废包装材料</w:t>
            </w:r>
          </w:p>
          <w:p w14:paraId="24C2A1C8">
            <w:pPr>
              <w:adjustRightInd w:val="0"/>
              <w:snapToGrid w:val="0"/>
              <w:spacing w:line="360" w:lineRule="auto"/>
              <w:ind w:firstLine="480" w:firstLineChars="200"/>
              <w:rPr>
                <w:color w:val="auto"/>
                <w:sz w:val="24"/>
              </w:rPr>
            </w:pPr>
            <w:r>
              <w:rPr>
                <w:rFonts w:hint="eastAsia"/>
                <w:color w:val="auto"/>
                <w:sz w:val="24"/>
              </w:rPr>
              <w:t>原辅材料会产生废包装材料，主要成分是塑料和纸，每年的产生量为</w:t>
            </w:r>
            <w:r>
              <w:rPr>
                <w:rFonts w:hint="eastAsia"/>
                <w:color w:val="auto"/>
                <w:sz w:val="24"/>
                <w:lang w:val="en-US" w:eastAsia="zh-CN"/>
              </w:rPr>
              <w:t>2</w:t>
            </w:r>
            <w:r>
              <w:rPr>
                <w:color w:val="auto"/>
                <w:sz w:val="24"/>
              </w:rPr>
              <w:t>t</w:t>
            </w:r>
            <w:r>
              <w:rPr>
                <w:rFonts w:hint="eastAsia"/>
                <w:color w:val="auto"/>
                <w:sz w:val="24"/>
              </w:rPr>
              <w:t>/</w:t>
            </w:r>
            <w:r>
              <w:rPr>
                <w:color w:val="auto"/>
                <w:sz w:val="24"/>
              </w:rPr>
              <w:t>a</w:t>
            </w:r>
            <w:r>
              <w:rPr>
                <w:rFonts w:hint="eastAsia"/>
                <w:color w:val="auto"/>
                <w:sz w:val="24"/>
              </w:rPr>
              <w:t>，收集后外售。</w:t>
            </w:r>
          </w:p>
          <w:p w14:paraId="44F40571">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3</w:t>
            </w:r>
            <w:r>
              <w:rPr>
                <w:color w:val="auto"/>
                <w:sz w:val="24"/>
              </w:rPr>
              <w:t>）</w:t>
            </w:r>
            <w:r>
              <w:rPr>
                <w:rFonts w:hint="eastAsia"/>
                <w:color w:val="auto"/>
                <w:sz w:val="24"/>
              </w:rPr>
              <w:t>生活垃圾</w:t>
            </w:r>
          </w:p>
          <w:p w14:paraId="284A2D15">
            <w:pPr>
              <w:adjustRightInd w:val="0"/>
              <w:snapToGrid w:val="0"/>
              <w:spacing w:line="360" w:lineRule="auto"/>
              <w:ind w:firstLine="480" w:firstLineChars="200"/>
              <w:rPr>
                <w:bCs/>
                <w:color w:val="auto"/>
                <w:spacing w:val="-10"/>
                <w:sz w:val="32"/>
                <w:szCs w:val="21"/>
              </w:rPr>
            </w:pPr>
            <w:r>
              <w:rPr>
                <w:color w:val="auto"/>
                <w:sz w:val="24"/>
              </w:rPr>
              <w:t>本项目定员</w:t>
            </w:r>
            <w:r>
              <w:rPr>
                <w:rFonts w:hint="eastAsia"/>
                <w:color w:val="auto"/>
                <w:sz w:val="24"/>
                <w:lang w:val="en-US" w:eastAsia="zh-CN"/>
              </w:rPr>
              <w:t>20</w:t>
            </w:r>
            <w:r>
              <w:rPr>
                <w:color w:val="auto"/>
                <w:sz w:val="24"/>
              </w:rPr>
              <w:t>人，年生产300天，生活垃圾产量按0.5kg/人•天计算，则年生活垃圾产量为</w:t>
            </w:r>
            <w:r>
              <w:rPr>
                <w:rFonts w:hint="eastAsia"/>
                <w:color w:val="auto"/>
                <w:sz w:val="24"/>
                <w:lang w:val="en-US" w:eastAsia="zh-CN"/>
              </w:rPr>
              <w:t>3</w:t>
            </w:r>
            <w:r>
              <w:rPr>
                <w:color w:val="auto"/>
                <w:sz w:val="24"/>
              </w:rPr>
              <w:t>t/a。委托当地环卫部门统一清运处理。</w:t>
            </w:r>
          </w:p>
          <w:p w14:paraId="03FD1768">
            <w:pPr>
              <w:pStyle w:val="40"/>
              <w:outlineLvl w:val="9"/>
              <w:rPr>
                <w:rFonts w:ascii="Times New Roman" w:hAnsi="Times New Roman" w:eastAsia="宋体" w:cs="Times New Roman"/>
                <w:color w:val="auto"/>
              </w:rPr>
            </w:pPr>
          </w:p>
          <w:p w14:paraId="598F53B1">
            <w:pPr>
              <w:pStyle w:val="40"/>
              <w:outlineLvl w:val="9"/>
              <w:rPr>
                <w:rFonts w:ascii="Times New Roman" w:hAnsi="Times New Roman" w:eastAsia="宋体" w:cs="Times New Roman"/>
                <w:color w:val="auto"/>
              </w:rPr>
            </w:pPr>
          </w:p>
          <w:p w14:paraId="47AB1E50">
            <w:pPr>
              <w:pStyle w:val="40"/>
              <w:outlineLvl w:val="9"/>
              <w:rPr>
                <w:rFonts w:ascii="Times New Roman" w:hAnsi="Times New Roman" w:eastAsia="宋体" w:cs="Times New Roman"/>
                <w:color w:val="auto"/>
              </w:rPr>
            </w:pPr>
          </w:p>
          <w:p w14:paraId="1669598E">
            <w:pPr>
              <w:widowControl/>
              <w:autoSpaceDE w:val="0"/>
              <w:autoSpaceDN w:val="0"/>
              <w:adjustRightInd w:val="0"/>
              <w:snapToGrid w:val="0"/>
              <w:jc w:val="left"/>
              <w:rPr>
                <w:color w:val="auto"/>
                <w:kern w:val="0"/>
                <w:sz w:val="18"/>
                <w:szCs w:val="18"/>
              </w:rPr>
            </w:pPr>
          </w:p>
        </w:tc>
      </w:tr>
    </w:tbl>
    <w:p w14:paraId="7CE7B977">
      <w:pPr>
        <w:adjustRightInd w:val="0"/>
        <w:snapToGrid w:val="0"/>
        <w:jc w:val="center"/>
        <w:rPr>
          <w:b/>
          <w:bCs/>
          <w:color w:val="auto"/>
          <w:sz w:val="24"/>
        </w:rPr>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7"/>
        <w:gridCol w:w="8684"/>
      </w:tblGrid>
      <w:tr w14:paraId="16772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601" w:hRule="atLeast"/>
          <w:jc w:val="center"/>
        </w:trPr>
        <w:tc>
          <w:tcPr>
            <w:tcW w:w="295" w:type="dxa"/>
            <w:tcMar>
              <w:left w:w="28" w:type="dxa"/>
              <w:right w:w="28" w:type="dxa"/>
            </w:tcMar>
            <w:vAlign w:val="center"/>
          </w:tcPr>
          <w:p w14:paraId="3D4AC6CB">
            <w:pPr>
              <w:adjustRightInd w:val="0"/>
              <w:snapToGrid w:val="0"/>
              <w:jc w:val="center"/>
              <w:rPr>
                <w:b/>
                <w:bCs/>
                <w:color w:val="auto"/>
                <w:sz w:val="24"/>
              </w:rPr>
            </w:pPr>
            <w:r>
              <w:rPr>
                <w:rFonts w:hAnsi="宋体"/>
                <w:b/>
                <w:bCs/>
                <w:color w:val="auto"/>
                <w:sz w:val="24"/>
              </w:rPr>
              <w:t>运营</w:t>
            </w:r>
          </w:p>
          <w:p w14:paraId="59EB8BC3">
            <w:pPr>
              <w:adjustRightInd w:val="0"/>
              <w:snapToGrid w:val="0"/>
              <w:jc w:val="center"/>
              <w:rPr>
                <w:b/>
                <w:bCs/>
                <w:color w:val="auto"/>
                <w:sz w:val="24"/>
              </w:rPr>
            </w:pPr>
            <w:r>
              <w:rPr>
                <w:rFonts w:hAnsi="宋体"/>
                <w:b/>
                <w:bCs/>
                <w:color w:val="auto"/>
                <w:sz w:val="24"/>
              </w:rPr>
              <w:t>期环</w:t>
            </w:r>
          </w:p>
          <w:p w14:paraId="67FBA84C">
            <w:pPr>
              <w:adjustRightInd w:val="0"/>
              <w:snapToGrid w:val="0"/>
              <w:jc w:val="center"/>
              <w:rPr>
                <w:b/>
                <w:bCs/>
                <w:color w:val="auto"/>
                <w:sz w:val="24"/>
              </w:rPr>
            </w:pPr>
            <w:r>
              <w:rPr>
                <w:rFonts w:hAnsi="宋体"/>
                <w:b/>
                <w:bCs/>
                <w:color w:val="auto"/>
                <w:sz w:val="24"/>
              </w:rPr>
              <w:t>境影</w:t>
            </w:r>
          </w:p>
          <w:p w14:paraId="05F2E7DF">
            <w:pPr>
              <w:adjustRightInd w:val="0"/>
              <w:snapToGrid w:val="0"/>
              <w:jc w:val="center"/>
              <w:rPr>
                <w:b/>
                <w:bCs/>
                <w:color w:val="auto"/>
                <w:sz w:val="24"/>
              </w:rPr>
            </w:pPr>
            <w:r>
              <w:rPr>
                <w:rFonts w:hAnsi="宋体"/>
                <w:b/>
                <w:bCs/>
                <w:color w:val="auto"/>
                <w:sz w:val="24"/>
              </w:rPr>
              <w:t>响和</w:t>
            </w:r>
          </w:p>
          <w:p w14:paraId="03A372F3">
            <w:pPr>
              <w:adjustRightInd w:val="0"/>
              <w:snapToGrid w:val="0"/>
              <w:jc w:val="center"/>
              <w:rPr>
                <w:b/>
                <w:bCs/>
                <w:color w:val="auto"/>
                <w:sz w:val="24"/>
              </w:rPr>
            </w:pPr>
            <w:r>
              <w:rPr>
                <w:rFonts w:hAnsi="宋体"/>
                <w:b/>
                <w:bCs/>
                <w:color w:val="auto"/>
                <w:sz w:val="24"/>
              </w:rPr>
              <w:t>保护</w:t>
            </w:r>
          </w:p>
          <w:p w14:paraId="218CC090">
            <w:pPr>
              <w:adjustRightInd w:val="0"/>
              <w:snapToGrid w:val="0"/>
              <w:jc w:val="center"/>
              <w:rPr>
                <w:b/>
                <w:bCs/>
                <w:color w:val="auto"/>
                <w:sz w:val="24"/>
              </w:rPr>
            </w:pPr>
            <w:r>
              <w:rPr>
                <w:rFonts w:hAnsi="宋体"/>
                <w:b/>
                <w:bCs/>
                <w:color w:val="auto"/>
                <w:sz w:val="24"/>
              </w:rPr>
              <w:t>措施</w:t>
            </w:r>
          </w:p>
        </w:tc>
        <w:tc>
          <w:tcPr>
            <w:tcW w:w="8686" w:type="dxa"/>
            <w:vAlign w:val="center"/>
          </w:tcPr>
          <w:p w14:paraId="457056BA">
            <w:pPr>
              <w:autoSpaceDE w:val="0"/>
              <w:autoSpaceDN w:val="0"/>
              <w:adjustRightInd w:val="0"/>
              <w:snapToGrid w:val="0"/>
              <w:spacing w:line="360" w:lineRule="auto"/>
              <w:ind w:firstLine="442" w:firstLineChars="200"/>
              <w:rPr>
                <w:rFonts w:eastAsiaTheme="minorEastAsia"/>
                <w:b/>
                <w:bCs/>
                <w:color w:val="auto"/>
                <w:spacing w:val="-10"/>
                <w:sz w:val="24"/>
              </w:rPr>
            </w:pPr>
            <w:r>
              <w:rPr>
                <w:rFonts w:eastAsiaTheme="minorEastAsia"/>
                <w:b/>
                <w:bCs/>
                <w:color w:val="auto"/>
                <w:spacing w:val="-10"/>
                <w:sz w:val="24"/>
              </w:rPr>
              <w:t>4.</w:t>
            </w:r>
            <w:r>
              <w:rPr>
                <w:rFonts w:hint="eastAsia" w:eastAsiaTheme="minorEastAsia"/>
                <w:b/>
                <w:bCs/>
                <w:color w:val="auto"/>
                <w:spacing w:val="-10"/>
                <w:sz w:val="24"/>
                <w:lang w:val="en-US" w:eastAsia="zh-CN"/>
              </w:rPr>
              <w:t>3</w:t>
            </w:r>
            <w:r>
              <w:rPr>
                <w:rFonts w:hAnsiTheme="minorEastAsia" w:eastAsiaTheme="minorEastAsia"/>
                <w:b/>
                <w:bCs/>
                <w:color w:val="auto"/>
                <w:spacing w:val="-10"/>
                <w:sz w:val="24"/>
              </w:rPr>
              <w:t>环境管理要求</w:t>
            </w:r>
          </w:p>
          <w:p w14:paraId="2F6716C9">
            <w:pPr>
              <w:adjustRightInd w:val="0"/>
              <w:snapToGrid w:val="0"/>
              <w:spacing w:line="360" w:lineRule="auto"/>
              <w:ind w:firstLine="480" w:firstLineChars="200"/>
              <w:rPr>
                <w:color w:val="auto"/>
                <w:sz w:val="24"/>
              </w:rPr>
            </w:pPr>
            <w:r>
              <w:rPr>
                <w:color w:val="auto"/>
                <w:sz w:val="24"/>
              </w:rPr>
              <w:t>（1）包装及贮存场所防治措施</w:t>
            </w:r>
          </w:p>
          <w:p w14:paraId="5964CC50">
            <w:pPr>
              <w:adjustRightInd w:val="0"/>
              <w:snapToGrid w:val="0"/>
              <w:spacing w:line="360" w:lineRule="auto"/>
              <w:ind w:firstLine="480" w:firstLineChars="200"/>
              <w:rPr>
                <w:color w:val="auto"/>
                <w:sz w:val="24"/>
              </w:rPr>
            </w:pPr>
            <w:r>
              <w:rPr>
                <w:color w:val="auto"/>
                <w:sz w:val="24"/>
              </w:rPr>
              <w:t>根据《一般工业固体废物贮存和填埋污染控制标准》（GB18599-2020）、《环境保护图形标志—固体废物贮存（处置场）》（GB15562.2-1995）等规定要求，各类固体废物按照相关要求分类收集贮存。包装容器符合相关规定，与固体废物无任何反应，对固废无影响。</w:t>
            </w:r>
          </w:p>
          <w:p w14:paraId="0D89A057">
            <w:pPr>
              <w:adjustRightInd w:val="0"/>
              <w:snapToGrid w:val="0"/>
              <w:spacing w:line="360" w:lineRule="auto"/>
              <w:ind w:firstLine="480" w:firstLineChars="200"/>
              <w:rPr>
                <w:color w:val="auto"/>
                <w:sz w:val="24"/>
              </w:rPr>
            </w:pPr>
            <w:r>
              <w:rPr>
                <w:color w:val="auto"/>
                <w:sz w:val="24"/>
              </w:rPr>
              <w:t>一般固废暂存具体要求如下：</w:t>
            </w:r>
          </w:p>
          <w:p w14:paraId="261D2696">
            <w:pPr>
              <w:adjustRightInd w:val="0"/>
              <w:snapToGrid w:val="0"/>
              <w:spacing w:line="360" w:lineRule="auto"/>
              <w:ind w:firstLine="480" w:firstLineChars="200"/>
              <w:rPr>
                <w:color w:val="auto"/>
                <w:sz w:val="24"/>
              </w:rPr>
            </w:pPr>
            <w:r>
              <w:rPr>
                <w:color w:val="auto"/>
                <w:sz w:val="24"/>
              </w:rPr>
              <w:t>a.贮存、处置场的建设类型必须与将要堆放的一般工业固体废物的类别一致。</w:t>
            </w:r>
          </w:p>
          <w:p w14:paraId="2BFEE3D3">
            <w:pPr>
              <w:adjustRightInd w:val="0"/>
              <w:snapToGrid w:val="0"/>
              <w:spacing w:line="360" w:lineRule="auto"/>
              <w:ind w:firstLine="480" w:firstLineChars="200"/>
              <w:rPr>
                <w:color w:val="auto"/>
                <w:sz w:val="24"/>
              </w:rPr>
            </w:pPr>
            <w:r>
              <w:rPr>
                <w:color w:val="auto"/>
                <w:sz w:val="24"/>
              </w:rPr>
              <w:t>b.加强监督管理，采取防火、防扬散、防雨、防流失措施，贮存、处置场应按GB1552.2设置环境保护图形标志。</w:t>
            </w:r>
          </w:p>
          <w:p w14:paraId="6D78AD56">
            <w:pPr>
              <w:adjustRightInd w:val="0"/>
              <w:snapToGrid w:val="0"/>
              <w:spacing w:line="360" w:lineRule="auto"/>
              <w:ind w:firstLine="480" w:firstLineChars="200"/>
              <w:rPr>
                <w:color w:val="auto"/>
              </w:rPr>
            </w:pPr>
            <w:r>
              <w:rPr>
                <w:color w:val="auto"/>
                <w:sz w:val="24"/>
                <w:lang w:val="zh-CN"/>
              </w:rPr>
              <w:t>因此，本项目固体废物贮存场所建设能够达到国家相关标准规定要求。</w:t>
            </w:r>
          </w:p>
          <w:p w14:paraId="2D3B44B8">
            <w:pPr>
              <w:adjustRightInd w:val="0"/>
              <w:snapToGrid w:val="0"/>
              <w:spacing w:line="360" w:lineRule="auto"/>
              <w:ind w:firstLine="480" w:firstLineChars="200"/>
              <w:rPr>
                <w:color w:val="auto"/>
                <w:sz w:val="24"/>
              </w:rPr>
            </w:pPr>
            <w:r>
              <w:rPr>
                <w:color w:val="auto"/>
                <w:sz w:val="24"/>
              </w:rPr>
              <w:t>（2）固体废物自行利用、处置分析</w:t>
            </w:r>
          </w:p>
          <w:p w14:paraId="3D3EBEFD">
            <w:pPr>
              <w:adjustRightInd w:val="0"/>
              <w:snapToGrid w:val="0"/>
              <w:spacing w:line="360" w:lineRule="auto"/>
              <w:ind w:firstLine="480" w:firstLineChars="200"/>
              <w:rPr>
                <w:color w:val="auto"/>
                <w:sz w:val="24"/>
              </w:rPr>
            </w:pPr>
            <w:r>
              <w:rPr>
                <w:color w:val="auto"/>
                <w:sz w:val="24"/>
              </w:rPr>
              <w:t>本项目产生的固体废物无自行利用和处置的情况。</w:t>
            </w:r>
          </w:p>
          <w:p w14:paraId="257FB293">
            <w:pPr>
              <w:adjustRightInd w:val="0"/>
              <w:snapToGrid w:val="0"/>
              <w:spacing w:line="360" w:lineRule="auto"/>
              <w:ind w:firstLine="480" w:firstLineChars="200"/>
              <w:rPr>
                <w:color w:val="auto"/>
                <w:sz w:val="24"/>
              </w:rPr>
            </w:pPr>
            <w:r>
              <w:rPr>
                <w:color w:val="auto"/>
                <w:sz w:val="24"/>
              </w:rPr>
              <w:t>（3）固体废物委托处置分析</w:t>
            </w:r>
          </w:p>
          <w:p w14:paraId="45009960">
            <w:pPr>
              <w:autoSpaceDE w:val="0"/>
              <w:autoSpaceDN w:val="0"/>
              <w:adjustRightInd w:val="0"/>
              <w:spacing w:line="360" w:lineRule="auto"/>
              <w:ind w:firstLine="480" w:firstLineChars="200"/>
              <w:rPr>
                <w:color w:val="auto"/>
                <w:sz w:val="24"/>
              </w:rPr>
            </w:pPr>
            <w:r>
              <w:rPr>
                <w:color w:val="auto"/>
                <w:sz w:val="24"/>
              </w:rPr>
              <w:t>本项目</w:t>
            </w:r>
            <w:r>
              <w:rPr>
                <w:rFonts w:hint="eastAsia"/>
                <w:color w:val="auto"/>
                <w:sz w:val="24"/>
              </w:rPr>
              <w:t>不产生危险废物，无需委托处置。</w:t>
            </w:r>
          </w:p>
          <w:p w14:paraId="21DCF390">
            <w:pPr>
              <w:adjustRightInd w:val="0"/>
              <w:snapToGrid w:val="0"/>
              <w:spacing w:line="360" w:lineRule="auto"/>
              <w:ind w:firstLine="482" w:firstLineChars="200"/>
              <w:rPr>
                <w:b/>
                <w:color w:val="auto"/>
                <w:sz w:val="24"/>
              </w:rPr>
            </w:pPr>
            <w:r>
              <w:rPr>
                <w:b/>
                <w:color w:val="auto"/>
                <w:sz w:val="24"/>
              </w:rPr>
              <w:t>固体废物管理措施</w:t>
            </w:r>
          </w:p>
          <w:p w14:paraId="61A5FAD2">
            <w:pPr>
              <w:autoSpaceDE w:val="0"/>
              <w:autoSpaceDN w:val="0"/>
              <w:adjustRightInd w:val="0"/>
              <w:spacing w:line="360" w:lineRule="auto"/>
              <w:ind w:firstLine="480" w:firstLineChars="200"/>
              <w:rPr>
                <w:color w:val="auto"/>
                <w:sz w:val="24"/>
              </w:rPr>
            </w:pPr>
            <w:r>
              <w:rPr>
                <w:color w:val="auto"/>
                <w:sz w:val="24"/>
              </w:rPr>
              <w:t>项目建设单位根据《中华人民共和国固体废物污染环境防治法》（2020年4月修订）中有关规定，对其固废收集、贮存、运输和处置做好妥善处理。同时场地应严格执行《一般工业固体废物贮存和填埋污染控制标准》（GB18599-2020）有关规定，设置防雨、防扬散、防流失、防渗透等措施。本项目设置144m</w:t>
            </w:r>
            <w:r>
              <w:rPr>
                <w:color w:val="auto"/>
                <w:sz w:val="24"/>
                <w:vertAlign w:val="superscript"/>
              </w:rPr>
              <w:t>2</w:t>
            </w:r>
            <w:r>
              <w:rPr>
                <w:color w:val="auto"/>
                <w:sz w:val="24"/>
              </w:rPr>
              <w:t>一般固体废物仓库一座。</w:t>
            </w:r>
          </w:p>
          <w:p w14:paraId="537CFC18">
            <w:pPr>
              <w:wordWrap w:val="0"/>
              <w:spacing w:line="360" w:lineRule="auto"/>
              <w:ind w:firstLine="480" w:firstLineChars="200"/>
              <w:rPr>
                <w:color w:val="auto"/>
                <w:sz w:val="24"/>
              </w:rPr>
            </w:pPr>
            <w:r>
              <w:rPr>
                <w:color w:val="auto"/>
                <w:sz w:val="24"/>
              </w:rPr>
              <w:t>（1）分类收集</w:t>
            </w:r>
          </w:p>
          <w:p w14:paraId="0D4FB767">
            <w:pPr>
              <w:spacing w:line="360" w:lineRule="auto"/>
              <w:ind w:firstLine="480" w:firstLineChars="200"/>
              <w:rPr>
                <w:color w:val="auto"/>
                <w:sz w:val="24"/>
              </w:rPr>
            </w:pPr>
            <w:r>
              <w:rPr>
                <w:color w:val="auto"/>
                <w:sz w:val="24"/>
                <w:szCs w:val="28"/>
              </w:rPr>
              <w:t>本</w:t>
            </w:r>
            <w:r>
              <w:rPr>
                <w:rFonts w:hint="eastAsia"/>
                <w:color w:val="auto"/>
                <w:sz w:val="24"/>
                <w:szCs w:val="28"/>
                <w:lang w:eastAsia="zh-CN"/>
              </w:rPr>
              <w:t>项目</w:t>
            </w:r>
            <w:r>
              <w:rPr>
                <w:color w:val="auto"/>
                <w:sz w:val="24"/>
                <w:szCs w:val="28"/>
              </w:rPr>
              <w:t>产生的一般工业固废包括</w:t>
            </w:r>
            <w:r>
              <w:rPr>
                <w:rFonts w:hint="eastAsia"/>
                <w:color w:val="auto"/>
                <w:sz w:val="24"/>
                <w:szCs w:val="28"/>
              </w:rPr>
              <w:t>废</w:t>
            </w:r>
            <w:r>
              <w:rPr>
                <w:rFonts w:hint="eastAsia"/>
                <w:color w:val="auto"/>
                <w:sz w:val="24"/>
                <w:szCs w:val="28"/>
                <w:lang w:eastAsia="zh-CN"/>
              </w:rPr>
              <w:t>原料</w:t>
            </w:r>
            <w:r>
              <w:rPr>
                <w:rFonts w:hint="eastAsia"/>
                <w:color w:val="auto"/>
                <w:sz w:val="24"/>
                <w:szCs w:val="28"/>
              </w:rPr>
              <w:t>、废包装材</w:t>
            </w:r>
            <w:r>
              <w:rPr>
                <w:rFonts w:hint="eastAsia"/>
                <w:color w:val="auto"/>
                <w:sz w:val="24"/>
                <w:szCs w:val="28"/>
                <w:lang w:eastAsia="zh-CN"/>
              </w:rPr>
              <w:t>料</w:t>
            </w:r>
            <w:r>
              <w:rPr>
                <w:color w:val="auto"/>
                <w:sz w:val="24"/>
              </w:rPr>
              <w:t>分类收集，</w:t>
            </w:r>
            <w:r>
              <w:rPr>
                <w:rFonts w:hint="eastAsia"/>
                <w:color w:val="auto"/>
                <w:sz w:val="24"/>
              </w:rPr>
              <w:t>废包装材料</w:t>
            </w:r>
            <w:r>
              <w:rPr>
                <w:rFonts w:hint="eastAsia"/>
                <w:color w:val="auto"/>
                <w:sz w:val="24"/>
                <w:lang w:eastAsia="zh-CN"/>
              </w:rPr>
              <w:t>外</w:t>
            </w:r>
            <w:r>
              <w:rPr>
                <w:color w:val="auto"/>
                <w:sz w:val="24"/>
              </w:rPr>
              <w:t>售综合利用，</w:t>
            </w:r>
            <w:r>
              <w:rPr>
                <w:rFonts w:hint="eastAsia"/>
                <w:color w:val="auto"/>
                <w:sz w:val="24"/>
              </w:rPr>
              <w:t>废</w:t>
            </w:r>
            <w:r>
              <w:rPr>
                <w:rFonts w:hint="eastAsia"/>
                <w:color w:val="auto"/>
                <w:sz w:val="24"/>
                <w:lang w:eastAsia="zh-CN"/>
              </w:rPr>
              <w:t>原料和</w:t>
            </w:r>
            <w:r>
              <w:rPr>
                <w:color w:val="auto"/>
                <w:sz w:val="24"/>
              </w:rPr>
              <w:t>生活垃圾则由环卫部门定期收集处理。</w:t>
            </w:r>
          </w:p>
          <w:p w14:paraId="6DAF5013">
            <w:pPr>
              <w:spacing w:line="360" w:lineRule="auto"/>
              <w:ind w:firstLine="480" w:firstLineChars="200"/>
              <w:rPr>
                <w:b/>
                <w:color w:val="auto"/>
                <w:sz w:val="24"/>
              </w:rPr>
            </w:pPr>
            <w:r>
              <w:rPr>
                <w:color w:val="auto"/>
                <w:sz w:val="24"/>
              </w:rPr>
              <w:t>（2）一般固废处置可行性分析</w:t>
            </w:r>
          </w:p>
          <w:p w14:paraId="441DC943">
            <w:pPr>
              <w:spacing w:line="360" w:lineRule="auto"/>
              <w:ind w:firstLine="480" w:firstLineChars="200"/>
              <w:rPr>
                <w:bCs/>
                <w:color w:val="auto"/>
                <w:sz w:val="24"/>
              </w:rPr>
            </w:pPr>
            <w:r>
              <w:rPr>
                <w:rFonts w:hint="eastAsia"/>
                <w:bCs/>
                <w:color w:val="auto"/>
                <w:sz w:val="24"/>
                <w:lang w:eastAsia="zh-CN"/>
              </w:rPr>
              <w:t>扩建项目一般固废产生量为</w:t>
            </w:r>
            <w:r>
              <w:rPr>
                <w:rFonts w:hint="eastAsia"/>
                <w:bCs/>
                <w:color w:val="auto"/>
                <w:sz w:val="24"/>
                <w:lang w:val="en-US" w:eastAsia="zh-CN"/>
              </w:rPr>
              <w:t>4.4t/a，现有</w:t>
            </w:r>
            <w:r>
              <w:rPr>
                <w:bCs/>
                <w:color w:val="auto"/>
                <w:sz w:val="24"/>
              </w:rPr>
              <w:t>项目一般固废产生量为</w:t>
            </w:r>
            <w:r>
              <w:rPr>
                <w:rFonts w:hint="eastAsia"/>
                <w:bCs/>
                <w:color w:val="auto"/>
                <w:sz w:val="24"/>
                <w:lang w:val="en-US" w:eastAsia="zh-CN"/>
              </w:rPr>
              <w:t>2962.9602</w:t>
            </w:r>
            <w:r>
              <w:rPr>
                <w:bCs/>
                <w:color w:val="auto"/>
                <w:sz w:val="24"/>
              </w:rPr>
              <w:t>t/a，</w:t>
            </w:r>
            <w:r>
              <w:rPr>
                <w:rFonts w:hint="eastAsia"/>
                <w:bCs/>
                <w:color w:val="auto"/>
                <w:sz w:val="24"/>
                <w:lang w:eastAsia="zh-CN"/>
              </w:rPr>
              <w:t>合计</w:t>
            </w:r>
            <w:r>
              <w:rPr>
                <w:rFonts w:hint="eastAsia"/>
                <w:bCs/>
                <w:color w:val="auto"/>
                <w:sz w:val="24"/>
                <w:lang w:val="en-US" w:eastAsia="zh-CN"/>
              </w:rPr>
              <w:t>2967.3602t/a。</w:t>
            </w:r>
            <w:r>
              <w:rPr>
                <w:bCs/>
                <w:color w:val="auto"/>
                <w:sz w:val="24"/>
              </w:rPr>
              <w:t>统一收集后出售</w:t>
            </w:r>
            <w:r>
              <w:rPr>
                <w:rFonts w:hint="eastAsia"/>
                <w:bCs/>
                <w:color w:val="auto"/>
                <w:sz w:val="24"/>
              </w:rPr>
              <w:t>或环卫清运</w:t>
            </w:r>
            <w:r>
              <w:rPr>
                <w:bCs/>
                <w:color w:val="auto"/>
                <w:sz w:val="24"/>
              </w:rPr>
              <w:t>，周转周期为每周一次。本项目一般固废仓库为144m</w:t>
            </w:r>
            <w:r>
              <w:rPr>
                <w:bCs/>
                <w:color w:val="auto"/>
                <w:sz w:val="24"/>
                <w:vertAlign w:val="superscript"/>
              </w:rPr>
              <w:t>2</w:t>
            </w:r>
            <w:r>
              <w:rPr>
                <w:bCs/>
                <w:color w:val="auto"/>
                <w:sz w:val="24"/>
              </w:rPr>
              <w:t>，可以满足固废堆放需要，因此本项目一般固废仓库面积满足需求，是可行的。</w:t>
            </w:r>
          </w:p>
          <w:p w14:paraId="0E6D170B">
            <w:pPr>
              <w:adjustRightInd w:val="0"/>
              <w:snapToGrid w:val="0"/>
              <w:spacing w:line="360" w:lineRule="auto"/>
              <w:ind w:firstLine="480" w:firstLineChars="200"/>
              <w:rPr>
                <w:color w:val="auto"/>
                <w:sz w:val="32"/>
              </w:rPr>
            </w:pPr>
            <w:r>
              <w:rPr>
                <w:bCs/>
                <w:color w:val="auto"/>
                <w:sz w:val="24"/>
              </w:rPr>
              <w:t>一般固废暂存具体要求如下：</w:t>
            </w:r>
          </w:p>
          <w:p w14:paraId="2612FC1A">
            <w:pPr>
              <w:spacing w:line="360" w:lineRule="auto"/>
              <w:ind w:firstLine="480" w:firstLineChars="200"/>
              <w:rPr>
                <w:bCs/>
                <w:color w:val="auto"/>
                <w:sz w:val="24"/>
              </w:rPr>
            </w:pPr>
            <w:r>
              <w:rPr>
                <w:bCs/>
                <w:color w:val="auto"/>
                <w:sz w:val="24"/>
              </w:rPr>
              <w:fldChar w:fldCharType="begin"/>
            </w:r>
            <w:r>
              <w:rPr>
                <w:bCs/>
                <w:color w:val="auto"/>
                <w:sz w:val="24"/>
              </w:rPr>
              <w:instrText xml:space="preserve"> = 1 \* GB3 </w:instrText>
            </w:r>
            <w:r>
              <w:rPr>
                <w:bCs/>
                <w:color w:val="auto"/>
                <w:sz w:val="24"/>
              </w:rPr>
              <w:fldChar w:fldCharType="separate"/>
            </w:r>
            <w:r>
              <w:rPr>
                <w:rFonts w:hint="eastAsia" w:ascii="宋体" w:hAnsi="宋体" w:cs="宋体"/>
                <w:bCs/>
                <w:color w:val="auto"/>
                <w:sz w:val="24"/>
              </w:rPr>
              <w:t>①</w:t>
            </w:r>
            <w:r>
              <w:rPr>
                <w:bCs/>
                <w:color w:val="auto"/>
                <w:sz w:val="24"/>
              </w:rPr>
              <w:fldChar w:fldCharType="end"/>
            </w:r>
            <w:r>
              <w:rPr>
                <w:bCs/>
                <w:color w:val="auto"/>
                <w:sz w:val="24"/>
              </w:rPr>
              <w:t>贮存、处置场的建设类型必须与将要堆放的一般工业固体废物的类别一致。</w:t>
            </w:r>
          </w:p>
          <w:p w14:paraId="009366C2">
            <w:pPr>
              <w:spacing w:line="360" w:lineRule="auto"/>
              <w:ind w:firstLine="480" w:firstLineChars="200"/>
              <w:rPr>
                <w:bCs/>
                <w:color w:val="auto"/>
                <w:sz w:val="24"/>
              </w:rPr>
            </w:pPr>
            <w:r>
              <w:rPr>
                <w:bCs/>
                <w:color w:val="auto"/>
                <w:sz w:val="24"/>
              </w:rPr>
              <w:fldChar w:fldCharType="begin"/>
            </w:r>
            <w:r>
              <w:rPr>
                <w:bCs/>
                <w:color w:val="auto"/>
                <w:sz w:val="24"/>
              </w:rPr>
              <w:instrText xml:space="preserve"> = 2 \* GB3 </w:instrText>
            </w:r>
            <w:r>
              <w:rPr>
                <w:bCs/>
                <w:color w:val="auto"/>
                <w:sz w:val="24"/>
              </w:rPr>
              <w:fldChar w:fldCharType="separate"/>
            </w:r>
            <w:r>
              <w:rPr>
                <w:rFonts w:hint="eastAsia" w:ascii="宋体" w:hAnsi="宋体" w:cs="宋体"/>
                <w:bCs/>
                <w:color w:val="auto"/>
                <w:sz w:val="24"/>
              </w:rPr>
              <w:t>②</w:t>
            </w:r>
            <w:r>
              <w:rPr>
                <w:bCs/>
                <w:color w:val="auto"/>
                <w:sz w:val="24"/>
              </w:rPr>
              <w:fldChar w:fldCharType="end"/>
            </w:r>
            <w:r>
              <w:rPr>
                <w:bCs/>
                <w:color w:val="auto"/>
                <w:sz w:val="24"/>
              </w:rPr>
              <w:t>加强监督管理，采取防火、防扬散、防雨、防流失措施，贮存、处置场应按GB1552.2设置环境保护图形标志。</w:t>
            </w:r>
          </w:p>
          <w:p w14:paraId="7501A58E">
            <w:pPr>
              <w:adjustRightInd w:val="0"/>
              <w:snapToGrid w:val="0"/>
              <w:spacing w:line="360" w:lineRule="auto"/>
              <w:ind w:firstLine="480" w:firstLineChars="200"/>
              <w:rPr>
                <w:bCs/>
                <w:color w:val="auto"/>
                <w:sz w:val="24"/>
              </w:rPr>
            </w:pPr>
            <w:r>
              <w:rPr>
                <w:bCs/>
                <w:color w:val="auto"/>
                <w:sz w:val="24"/>
              </w:rPr>
              <w:t>综上所述，本项目一般固废处理措施是切实可行的，能够使一般固废得到妥善处置，不会对周边环境产生二次污染。</w:t>
            </w:r>
          </w:p>
          <w:p w14:paraId="085D42DD">
            <w:pPr>
              <w:adjustRightInd w:val="0"/>
              <w:snapToGrid w:val="0"/>
              <w:spacing w:line="360" w:lineRule="auto"/>
              <w:ind w:firstLine="482" w:firstLineChars="200"/>
              <w:rPr>
                <w:b/>
                <w:color w:val="auto"/>
                <w:sz w:val="24"/>
              </w:rPr>
            </w:pPr>
            <w:r>
              <w:rPr>
                <w:rFonts w:hint="eastAsia"/>
                <w:b/>
                <w:color w:val="auto"/>
                <w:sz w:val="24"/>
                <w:lang w:val="en-US" w:eastAsia="zh-CN"/>
              </w:rPr>
              <w:t>4.4</w:t>
            </w:r>
            <w:r>
              <w:rPr>
                <w:b/>
                <w:color w:val="auto"/>
                <w:sz w:val="24"/>
              </w:rPr>
              <w:t>结论与建议</w:t>
            </w:r>
          </w:p>
          <w:p w14:paraId="1C7C40FA">
            <w:pPr>
              <w:adjustRightInd w:val="0"/>
              <w:snapToGrid w:val="0"/>
              <w:spacing w:line="360" w:lineRule="auto"/>
              <w:ind w:firstLine="480" w:firstLineChars="200"/>
              <w:rPr>
                <w:color w:val="auto"/>
                <w:sz w:val="32"/>
              </w:rPr>
            </w:pPr>
            <w:r>
              <w:rPr>
                <w:color w:val="auto"/>
                <w:sz w:val="24"/>
              </w:rPr>
              <w:t>综上所述，本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w:t>
            </w:r>
            <w:r>
              <w:rPr>
                <w:rFonts w:hint="eastAsia"/>
                <w:color w:val="auto"/>
                <w:sz w:val="24"/>
                <w:lang w:eastAsia="zh-CN"/>
              </w:rPr>
              <w:t>最低程度</w:t>
            </w:r>
            <w:r>
              <w:rPr>
                <w:color w:val="auto"/>
                <w:sz w:val="24"/>
              </w:rPr>
              <w:t>。</w:t>
            </w:r>
          </w:p>
          <w:p w14:paraId="3BDB6762">
            <w:pPr>
              <w:widowControl/>
              <w:autoSpaceDE w:val="0"/>
              <w:autoSpaceDN w:val="0"/>
              <w:adjustRightInd w:val="0"/>
              <w:snapToGrid w:val="0"/>
              <w:spacing w:line="360" w:lineRule="auto"/>
              <w:ind w:firstLine="482" w:firstLineChars="200"/>
              <w:jc w:val="left"/>
              <w:rPr>
                <w:b/>
                <w:color w:val="auto"/>
                <w:kern w:val="0"/>
                <w:sz w:val="24"/>
              </w:rPr>
            </w:pPr>
            <w:r>
              <w:rPr>
                <w:rFonts w:hint="eastAsia"/>
                <w:b/>
                <w:color w:val="auto"/>
                <w:kern w:val="0"/>
                <w:sz w:val="24"/>
                <w:lang w:val="en-US" w:eastAsia="zh-CN"/>
              </w:rPr>
              <w:t>5</w:t>
            </w:r>
            <w:r>
              <w:rPr>
                <w:rFonts w:hAnsi="宋体"/>
                <w:b/>
                <w:color w:val="auto"/>
                <w:kern w:val="0"/>
                <w:sz w:val="24"/>
              </w:rPr>
              <w:t>地下水、土壤</w:t>
            </w:r>
          </w:p>
          <w:p w14:paraId="477244ED">
            <w:pPr>
              <w:adjustRightInd w:val="0"/>
              <w:snapToGrid w:val="0"/>
              <w:spacing w:line="360" w:lineRule="auto"/>
              <w:ind w:firstLine="482" w:firstLineChars="200"/>
              <w:rPr>
                <w:b/>
                <w:color w:val="auto"/>
                <w:sz w:val="24"/>
              </w:rPr>
            </w:pPr>
            <w:r>
              <w:rPr>
                <w:rFonts w:hint="eastAsia"/>
                <w:b/>
                <w:color w:val="auto"/>
                <w:sz w:val="24"/>
                <w:lang w:val="en-US" w:eastAsia="zh-CN"/>
              </w:rPr>
              <w:t>5.</w:t>
            </w:r>
            <w:r>
              <w:rPr>
                <w:b/>
                <w:color w:val="auto"/>
                <w:sz w:val="24"/>
              </w:rPr>
              <w:t>1</w:t>
            </w:r>
            <w:r>
              <w:rPr>
                <w:rFonts w:hAnsi="宋体"/>
                <w:b/>
                <w:color w:val="auto"/>
                <w:sz w:val="24"/>
              </w:rPr>
              <w:t>地下水、土壤环境影响分析</w:t>
            </w:r>
          </w:p>
          <w:p w14:paraId="52B3AFBA">
            <w:pPr>
              <w:wordWrap w:val="0"/>
              <w:adjustRightInd w:val="0"/>
              <w:snapToGrid w:val="0"/>
              <w:spacing w:line="360" w:lineRule="auto"/>
              <w:ind w:firstLine="480" w:firstLineChars="200"/>
              <w:rPr>
                <w:color w:val="auto"/>
                <w:sz w:val="24"/>
                <w:szCs w:val="28"/>
              </w:rPr>
            </w:pPr>
            <w:r>
              <w:rPr>
                <w:color w:val="auto"/>
                <w:sz w:val="24"/>
                <w:szCs w:val="28"/>
              </w:rPr>
              <w:t>根据项目工程分析可知，</w:t>
            </w:r>
            <w:r>
              <w:rPr>
                <w:rFonts w:hint="eastAsia"/>
                <w:color w:val="auto"/>
                <w:sz w:val="24"/>
                <w:szCs w:val="28"/>
              </w:rPr>
              <w:t>本</w:t>
            </w:r>
            <w:r>
              <w:rPr>
                <w:color w:val="auto"/>
                <w:sz w:val="24"/>
                <w:szCs w:val="28"/>
              </w:rPr>
              <w:t>项目</w:t>
            </w:r>
            <w:r>
              <w:rPr>
                <w:rFonts w:hint="eastAsia"/>
                <w:color w:val="auto"/>
                <w:sz w:val="24"/>
                <w:szCs w:val="28"/>
              </w:rPr>
              <w:t>污染影响途径主要为大气沉降、垂直入渗。</w:t>
            </w:r>
          </w:p>
          <w:p w14:paraId="07A62106">
            <w:pPr>
              <w:autoSpaceDE w:val="0"/>
              <w:autoSpaceDN w:val="0"/>
              <w:adjustRightInd w:val="0"/>
              <w:spacing w:line="360" w:lineRule="auto"/>
              <w:ind w:firstLine="480" w:firstLineChars="200"/>
              <w:rPr>
                <w:color w:val="auto"/>
                <w:sz w:val="24"/>
              </w:rPr>
            </w:pPr>
            <w:r>
              <w:rPr>
                <w:color w:val="auto"/>
                <w:sz w:val="24"/>
              </w:rPr>
              <w:t>（</w:t>
            </w:r>
            <w:r>
              <w:rPr>
                <w:rFonts w:hint="eastAsia"/>
                <w:color w:val="auto"/>
                <w:sz w:val="24"/>
                <w:lang w:val="en-US" w:eastAsia="zh-CN"/>
              </w:rPr>
              <w:t>1</w:t>
            </w:r>
            <w:r>
              <w:rPr>
                <w:color w:val="auto"/>
                <w:sz w:val="24"/>
              </w:rPr>
              <w:t>）废水</w:t>
            </w:r>
          </w:p>
          <w:p w14:paraId="57284879">
            <w:pPr>
              <w:autoSpaceDE w:val="0"/>
              <w:autoSpaceDN w:val="0"/>
              <w:adjustRightInd w:val="0"/>
              <w:spacing w:line="360" w:lineRule="auto"/>
              <w:ind w:firstLine="480" w:firstLineChars="200"/>
              <w:rPr>
                <w:color w:val="auto"/>
                <w:sz w:val="24"/>
              </w:rPr>
            </w:pPr>
            <w:r>
              <w:rPr>
                <w:color w:val="auto"/>
                <w:sz w:val="24"/>
              </w:rPr>
              <w:t>本项目</w:t>
            </w:r>
            <w:r>
              <w:rPr>
                <w:rFonts w:hint="eastAsia"/>
                <w:color w:val="auto"/>
                <w:sz w:val="24"/>
                <w:lang w:eastAsia="zh-CN"/>
              </w:rPr>
              <w:t>不涉及新建</w:t>
            </w:r>
            <w:r>
              <w:rPr>
                <w:rFonts w:hint="eastAsia"/>
                <w:color w:val="auto"/>
                <w:sz w:val="24"/>
              </w:rPr>
              <w:t>危险品库</w:t>
            </w:r>
            <w:r>
              <w:rPr>
                <w:rFonts w:hint="eastAsia"/>
                <w:color w:val="auto"/>
                <w:sz w:val="24"/>
                <w:lang w:eastAsia="zh-CN"/>
              </w:rPr>
              <w:t>，扩建项目不涉及</w:t>
            </w:r>
            <w:r>
              <w:rPr>
                <w:rFonts w:hint="eastAsia"/>
                <w:color w:val="auto"/>
                <w:sz w:val="24"/>
              </w:rPr>
              <w:t>重点防渗区</w:t>
            </w:r>
            <w:r>
              <w:rPr>
                <w:rFonts w:hint="eastAsia"/>
                <w:color w:val="auto"/>
                <w:sz w:val="24"/>
                <w:lang w:eastAsia="zh-CN"/>
              </w:rPr>
              <w:t>。</w:t>
            </w:r>
          </w:p>
          <w:p w14:paraId="1BEDC470">
            <w:pPr>
              <w:adjustRightInd w:val="0"/>
              <w:snapToGrid w:val="0"/>
              <w:spacing w:line="360" w:lineRule="auto"/>
              <w:ind w:firstLine="480" w:firstLineChars="200"/>
              <w:rPr>
                <w:rFonts w:hAnsi="宋体"/>
                <w:b/>
                <w:color w:val="auto"/>
                <w:sz w:val="24"/>
              </w:rPr>
            </w:pPr>
            <w:r>
              <w:rPr>
                <w:rFonts w:hAnsi="宋体"/>
                <w:color w:val="auto"/>
                <w:sz w:val="24"/>
              </w:rPr>
              <w:t>本项目建成后运营过程中涉及的地下水、土壤环境影响途径主要为危险</w:t>
            </w:r>
            <w:r>
              <w:rPr>
                <w:rFonts w:hint="eastAsia" w:hAnsi="宋体"/>
                <w:color w:val="auto"/>
                <w:sz w:val="24"/>
                <w:lang w:eastAsia="zh-CN"/>
              </w:rPr>
              <w:t>品仓库</w:t>
            </w:r>
            <w:r>
              <w:rPr>
                <w:rFonts w:hAnsi="宋体"/>
                <w:color w:val="auto"/>
                <w:sz w:val="24"/>
              </w:rPr>
              <w:t>。</w:t>
            </w:r>
          </w:p>
          <w:p w14:paraId="1819D91A">
            <w:pPr>
              <w:adjustRightInd w:val="0"/>
              <w:snapToGrid w:val="0"/>
              <w:jc w:val="center"/>
              <w:rPr>
                <w:color w:val="auto"/>
                <w:sz w:val="24"/>
              </w:rPr>
            </w:pPr>
            <w:r>
              <w:rPr>
                <w:rFonts w:hAnsi="宋体"/>
                <w:b/>
                <w:color w:val="auto"/>
                <w:sz w:val="24"/>
              </w:rPr>
              <w:t>表</w:t>
            </w:r>
            <w:r>
              <w:rPr>
                <w:rFonts w:hint="eastAsia"/>
                <w:b/>
                <w:bCs/>
                <w:color w:val="auto"/>
                <w:sz w:val="24"/>
                <w:lang w:val="en-US" w:eastAsia="zh-CN" w:bidi="en-US"/>
              </w:rPr>
              <w:t>4-22</w:t>
            </w:r>
            <w:r>
              <w:rPr>
                <w:rFonts w:hint="eastAsia" w:hAnsi="宋体"/>
                <w:b/>
                <w:color w:val="auto"/>
                <w:kern w:val="0"/>
                <w:sz w:val="24"/>
                <w:szCs w:val="20"/>
                <w:lang w:eastAsia="zh-CN"/>
              </w:rPr>
              <w:t>扩建项</w:t>
            </w:r>
            <w:r>
              <w:rPr>
                <w:rFonts w:hAnsi="宋体"/>
                <w:b/>
                <w:color w:val="auto"/>
                <w:sz w:val="24"/>
              </w:rPr>
              <w:t>目分区防控措施一览表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107"/>
              <w:gridCol w:w="1644"/>
              <w:gridCol w:w="956"/>
              <w:gridCol w:w="956"/>
              <w:gridCol w:w="687"/>
              <w:gridCol w:w="1641"/>
              <w:gridCol w:w="1477"/>
            </w:tblGrid>
            <w:tr w14:paraId="73ECBE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07" w:type="dxa"/>
                  <w:tcBorders>
                    <w:top w:val="single" w:color="auto" w:sz="12" w:space="0"/>
                    <w:bottom w:val="single" w:color="auto" w:sz="12" w:space="0"/>
                  </w:tcBorders>
                  <w:vAlign w:val="center"/>
                </w:tcPr>
                <w:p w14:paraId="3883B26D">
                  <w:pPr>
                    <w:pStyle w:val="122"/>
                    <w:adjustRightInd w:val="0"/>
                    <w:snapToGrid w:val="0"/>
                    <w:rPr>
                      <w:b/>
                      <w:color w:val="auto"/>
                      <w:sz w:val="21"/>
                      <w:szCs w:val="21"/>
                    </w:rPr>
                  </w:pPr>
                  <w:r>
                    <w:rPr>
                      <w:b/>
                      <w:color w:val="auto"/>
                      <w:sz w:val="21"/>
                      <w:szCs w:val="21"/>
                    </w:rPr>
                    <w:t>防渗分区</w:t>
                  </w:r>
                </w:p>
              </w:tc>
              <w:tc>
                <w:tcPr>
                  <w:tcW w:w="1644" w:type="dxa"/>
                  <w:tcBorders>
                    <w:top w:val="single" w:color="auto" w:sz="12" w:space="0"/>
                    <w:bottom w:val="single" w:color="auto" w:sz="12" w:space="0"/>
                  </w:tcBorders>
                  <w:vAlign w:val="center"/>
                </w:tcPr>
                <w:p w14:paraId="212434A4">
                  <w:pPr>
                    <w:pStyle w:val="122"/>
                    <w:adjustRightInd w:val="0"/>
                    <w:snapToGrid w:val="0"/>
                    <w:rPr>
                      <w:b/>
                      <w:color w:val="auto"/>
                      <w:sz w:val="21"/>
                      <w:szCs w:val="21"/>
                    </w:rPr>
                  </w:pPr>
                  <w:r>
                    <w:rPr>
                      <w:b/>
                      <w:color w:val="auto"/>
                      <w:sz w:val="21"/>
                      <w:szCs w:val="21"/>
                    </w:rPr>
                    <w:t>定义</w:t>
                  </w:r>
                </w:p>
              </w:tc>
              <w:tc>
                <w:tcPr>
                  <w:tcW w:w="956" w:type="dxa"/>
                  <w:tcBorders>
                    <w:top w:val="single" w:color="auto" w:sz="12" w:space="0"/>
                    <w:bottom w:val="single" w:color="auto" w:sz="12" w:space="0"/>
                  </w:tcBorders>
                  <w:vAlign w:val="center"/>
                </w:tcPr>
                <w:p w14:paraId="7AF2222A">
                  <w:pPr>
                    <w:pStyle w:val="122"/>
                    <w:adjustRightInd w:val="0"/>
                    <w:snapToGrid w:val="0"/>
                    <w:rPr>
                      <w:b/>
                      <w:color w:val="auto"/>
                      <w:sz w:val="21"/>
                      <w:szCs w:val="21"/>
                    </w:rPr>
                  </w:pPr>
                  <w:r>
                    <w:rPr>
                      <w:b/>
                      <w:color w:val="auto"/>
                      <w:sz w:val="21"/>
                      <w:szCs w:val="21"/>
                    </w:rPr>
                    <w:t>包气带防污性能</w:t>
                  </w:r>
                </w:p>
              </w:tc>
              <w:tc>
                <w:tcPr>
                  <w:tcW w:w="956" w:type="dxa"/>
                  <w:tcBorders>
                    <w:top w:val="single" w:color="auto" w:sz="12" w:space="0"/>
                    <w:bottom w:val="single" w:color="auto" w:sz="12" w:space="0"/>
                  </w:tcBorders>
                  <w:vAlign w:val="center"/>
                </w:tcPr>
                <w:p w14:paraId="05AB6E35">
                  <w:pPr>
                    <w:pStyle w:val="122"/>
                    <w:adjustRightInd w:val="0"/>
                    <w:snapToGrid w:val="0"/>
                    <w:rPr>
                      <w:b/>
                      <w:color w:val="auto"/>
                      <w:sz w:val="21"/>
                      <w:szCs w:val="21"/>
                    </w:rPr>
                  </w:pPr>
                  <w:r>
                    <w:rPr>
                      <w:b/>
                      <w:color w:val="auto"/>
                      <w:sz w:val="21"/>
                      <w:szCs w:val="21"/>
                    </w:rPr>
                    <w:t>污染控制难易程度</w:t>
                  </w:r>
                </w:p>
              </w:tc>
              <w:tc>
                <w:tcPr>
                  <w:tcW w:w="687" w:type="dxa"/>
                  <w:tcBorders>
                    <w:top w:val="single" w:color="auto" w:sz="12" w:space="0"/>
                    <w:bottom w:val="single" w:color="auto" w:sz="12" w:space="0"/>
                  </w:tcBorders>
                  <w:vAlign w:val="center"/>
                </w:tcPr>
                <w:p w14:paraId="1EA05BE6">
                  <w:pPr>
                    <w:pStyle w:val="122"/>
                    <w:adjustRightInd w:val="0"/>
                    <w:snapToGrid w:val="0"/>
                    <w:rPr>
                      <w:b/>
                      <w:color w:val="auto"/>
                      <w:sz w:val="21"/>
                      <w:szCs w:val="21"/>
                    </w:rPr>
                  </w:pPr>
                  <w:r>
                    <w:rPr>
                      <w:b/>
                      <w:color w:val="auto"/>
                      <w:sz w:val="21"/>
                      <w:szCs w:val="21"/>
                    </w:rPr>
                    <w:t>污染物类型</w:t>
                  </w:r>
                </w:p>
              </w:tc>
              <w:tc>
                <w:tcPr>
                  <w:tcW w:w="1641" w:type="dxa"/>
                  <w:tcBorders>
                    <w:top w:val="single" w:color="auto" w:sz="12" w:space="0"/>
                    <w:bottom w:val="single" w:color="auto" w:sz="12" w:space="0"/>
                  </w:tcBorders>
                  <w:vAlign w:val="center"/>
                </w:tcPr>
                <w:p w14:paraId="4F8671B4">
                  <w:pPr>
                    <w:pStyle w:val="122"/>
                    <w:adjustRightInd w:val="0"/>
                    <w:snapToGrid w:val="0"/>
                    <w:rPr>
                      <w:b/>
                      <w:color w:val="auto"/>
                      <w:sz w:val="21"/>
                      <w:szCs w:val="21"/>
                    </w:rPr>
                  </w:pPr>
                  <w:r>
                    <w:rPr>
                      <w:b/>
                      <w:color w:val="auto"/>
                      <w:sz w:val="21"/>
                      <w:szCs w:val="21"/>
                    </w:rPr>
                    <w:t>厂内分区</w:t>
                  </w:r>
                </w:p>
              </w:tc>
              <w:tc>
                <w:tcPr>
                  <w:tcW w:w="1477" w:type="dxa"/>
                  <w:tcBorders>
                    <w:top w:val="single" w:color="auto" w:sz="12" w:space="0"/>
                    <w:bottom w:val="single" w:color="auto" w:sz="12" w:space="0"/>
                  </w:tcBorders>
                  <w:vAlign w:val="center"/>
                </w:tcPr>
                <w:p w14:paraId="2A7A498A">
                  <w:pPr>
                    <w:pStyle w:val="122"/>
                    <w:adjustRightInd w:val="0"/>
                    <w:snapToGrid w:val="0"/>
                    <w:rPr>
                      <w:b/>
                      <w:color w:val="auto"/>
                      <w:sz w:val="21"/>
                      <w:szCs w:val="21"/>
                    </w:rPr>
                  </w:pPr>
                  <w:r>
                    <w:rPr>
                      <w:b/>
                      <w:color w:val="auto"/>
                      <w:sz w:val="21"/>
                      <w:szCs w:val="21"/>
                    </w:rPr>
                    <w:t>防渗技术要求</w:t>
                  </w:r>
                </w:p>
              </w:tc>
            </w:tr>
            <w:tr w14:paraId="2CF31A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07" w:type="dxa"/>
                  <w:vAlign w:val="center"/>
                </w:tcPr>
                <w:p w14:paraId="1683DE5B">
                  <w:pPr>
                    <w:pStyle w:val="122"/>
                    <w:adjustRightInd w:val="0"/>
                    <w:snapToGrid w:val="0"/>
                    <w:rPr>
                      <w:color w:val="auto"/>
                      <w:sz w:val="21"/>
                      <w:szCs w:val="21"/>
                    </w:rPr>
                  </w:pPr>
                  <w:r>
                    <w:rPr>
                      <w:color w:val="auto"/>
                      <w:sz w:val="21"/>
                      <w:szCs w:val="21"/>
                    </w:rPr>
                    <w:t>一般防渗区</w:t>
                  </w:r>
                </w:p>
              </w:tc>
              <w:tc>
                <w:tcPr>
                  <w:tcW w:w="1644" w:type="dxa"/>
                  <w:vAlign w:val="center"/>
                </w:tcPr>
                <w:p w14:paraId="762C5A41">
                  <w:pPr>
                    <w:pStyle w:val="122"/>
                    <w:adjustRightInd w:val="0"/>
                    <w:snapToGrid w:val="0"/>
                    <w:rPr>
                      <w:color w:val="auto"/>
                      <w:sz w:val="21"/>
                      <w:szCs w:val="21"/>
                    </w:rPr>
                  </w:pPr>
                  <w:r>
                    <w:rPr>
                      <w:color w:val="auto"/>
                      <w:sz w:val="21"/>
                      <w:szCs w:val="21"/>
                    </w:rPr>
                    <w:t>无毒性或毒性小的生产装置区、装置区外管廊区</w:t>
                  </w:r>
                </w:p>
              </w:tc>
              <w:tc>
                <w:tcPr>
                  <w:tcW w:w="956" w:type="dxa"/>
                  <w:vAlign w:val="center"/>
                </w:tcPr>
                <w:p w14:paraId="3800EC05">
                  <w:pPr>
                    <w:pStyle w:val="122"/>
                    <w:adjustRightInd w:val="0"/>
                    <w:snapToGrid w:val="0"/>
                    <w:rPr>
                      <w:color w:val="auto"/>
                      <w:sz w:val="21"/>
                      <w:szCs w:val="21"/>
                    </w:rPr>
                  </w:pPr>
                  <w:r>
                    <w:rPr>
                      <w:color w:val="auto"/>
                      <w:sz w:val="21"/>
                      <w:szCs w:val="21"/>
                    </w:rPr>
                    <w:t>弱</w:t>
                  </w:r>
                </w:p>
              </w:tc>
              <w:tc>
                <w:tcPr>
                  <w:tcW w:w="956" w:type="dxa"/>
                  <w:vAlign w:val="center"/>
                </w:tcPr>
                <w:p w14:paraId="71530861">
                  <w:pPr>
                    <w:pStyle w:val="122"/>
                    <w:adjustRightInd w:val="0"/>
                    <w:snapToGrid w:val="0"/>
                    <w:rPr>
                      <w:color w:val="auto"/>
                      <w:sz w:val="21"/>
                      <w:szCs w:val="21"/>
                    </w:rPr>
                  </w:pPr>
                  <w:r>
                    <w:rPr>
                      <w:color w:val="auto"/>
                      <w:sz w:val="21"/>
                      <w:szCs w:val="21"/>
                    </w:rPr>
                    <w:t>易</w:t>
                  </w:r>
                </w:p>
              </w:tc>
              <w:tc>
                <w:tcPr>
                  <w:tcW w:w="687" w:type="dxa"/>
                  <w:vAlign w:val="center"/>
                </w:tcPr>
                <w:p w14:paraId="0449ACEC">
                  <w:pPr>
                    <w:pStyle w:val="122"/>
                    <w:adjustRightInd w:val="0"/>
                    <w:snapToGrid w:val="0"/>
                    <w:rPr>
                      <w:color w:val="auto"/>
                      <w:sz w:val="21"/>
                      <w:szCs w:val="21"/>
                    </w:rPr>
                  </w:pPr>
                  <w:r>
                    <w:rPr>
                      <w:color w:val="auto"/>
                      <w:sz w:val="21"/>
                      <w:szCs w:val="21"/>
                    </w:rPr>
                    <w:t>其他类型</w:t>
                  </w:r>
                </w:p>
              </w:tc>
              <w:tc>
                <w:tcPr>
                  <w:tcW w:w="1641" w:type="dxa"/>
                  <w:vAlign w:val="center"/>
                </w:tcPr>
                <w:p w14:paraId="4022EA7E">
                  <w:pPr>
                    <w:pStyle w:val="122"/>
                    <w:adjustRightInd w:val="0"/>
                    <w:snapToGrid w:val="0"/>
                    <w:rPr>
                      <w:color w:val="auto"/>
                      <w:sz w:val="21"/>
                      <w:szCs w:val="21"/>
                    </w:rPr>
                  </w:pPr>
                  <w:r>
                    <w:rPr>
                      <w:rFonts w:hint="eastAsia"/>
                      <w:color w:val="auto"/>
                      <w:sz w:val="21"/>
                      <w:szCs w:val="21"/>
                    </w:rPr>
                    <w:t>生产厂房、冷冻仓库、</w:t>
                  </w:r>
                  <w:r>
                    <w:rPr>
                      <w:color w:val="auto"/>
                      <w:sz w:val="21"/>
                      <w:szCs w:val="21"/>
                    </w:rPr>
                    <w:t>一般固废仓库</w:t>
                  </w:r>
                </w:p>
              </w:tc>
              <w:tc>
                <w:tcPr>
                  <w:tcW w:w="1477" w:type="dxa"/>
                  <w:vAlign w:val="center"/>
                </w:tcPr>
                <w:p w14:paraId="2957A8E6">
                  <w:pPr>
                    <w:pStyle w:val="122"/>
                    <w:adjustRightInd w:val="0"/>
                    <w:snapToGrid w:val="0"/>
                    <w:rPr>
                      <w:color w:val="auto"/>
                      <w:sz w:val="21"/>
                      <w:szCs w:val="21"/>
                    </w:rPr>
                  </w:pPr>
                  <w:r>
                    <w:rPr>
                      <w:color w:val="auto"/>
                      <w:sz w:val="21"/>
                      <w:szCs w:val="21"/>
                    </w:rPr>
                    <w:t>等效黏土防渗层Mb≥1.5m，K≤1×10</w:t>
                  </w:r>
                  <w:r>
                    <w:rPr>
                      <w:rFonts w:hint="eastAsia"/>
                      <w:color w:val="auto"/>
                      <w:sz w:val="21"/>
                      <w:szCs w:val="21"/>
                      <w:lang w:eastAsia="zh-CN"/>
                    </w:rPr>
                    <w:t>～</w:t>
                  </w:r>
                  <w:r>
                    <w:rPr>
                      <w:color w:val="auto"/>
                      <w:sz w:val="21"/>
                      <w:szCs w:val="21"/>
                      <w:vertAlign w:val="superscript"/>
                    </w:rPr>
                    <w:t>7</w:t>
                  </w:r>
                  <w:r>
                    <w:rPr>
                      <w:color w:val="auto"/>
                      <w:sz w:val="21"/>
                      <w:szCs w:val="21"/>
                    </w:rPr>
                    <w:t>cm/s；或参照GB18598执行</w:t>
                  </w:r>
                </w:p>
              </w:tc>
            </w:tr>
            <w:tr w14:paraId="2AA2CF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07" w:type="dxa"/>
                  <w:vAlign w:val="center"/>
                </w:tcPr>
                <w:p w14:paraId="65CB1B4D">
                  <w:pPr>
                    <w:pStyle w:val="122"/>
                    <w:adjustRightInd w:val="0"/>
                    <w:snapToGrid w:val="0"/>
                    <w:rPr>
                      <w:color w:val="auto"/>
                      <w:sz w:val="21"/>
                      <w:szCs w:val="21"/>
                    </w:rPr>
                  </w:pPr>
                  <w:r>
                    <w:rPr>
                      <w:color w:val="auto"/>
                      <w:sz w:val="21"/>
                      <w:szCs w:val="21"/>
                    </w:rPr>
                    <w:t>简单防渗区</w:t>
                  </w:r>
                </w:p>
              </w:tc>
              <w:tc>
                <w:tcPr>
                  <w:tcW w:w="1644" w:type="dxa"/>
                  <w:vAlign w:val="center"/>
                </w:tcPr>
                <w:p w14:paraId="1BF2078B">
                  <w:pPr>
                    <w:pStyle w:val="122"/>
                    <w:adjustRightInd w:val="0"/>
                    <w:snapToGrid w:val="0"/>
                    <w:rPr>
                      <w:color w:val="auto"/>
                      <w:sz w:val="21"/>
                      <w:szCs w:val="21"/>
                    </w:rPr>
                  </w:pPr>
                  <w:r>
                    <w:rPr>
                      <w:color w:val="auto"/>
                      <w:sz w:val="21"/>
                      <w:szCs w:val="21"/>
                    </w:rPr>
                    <w:t>除污染区的其余区域</w:t>
                  </w:r>
                </w:p>
              </w:tc>
              <w:tc>
                <w:tcPr>
                  <w:tcW w:w="956" w:type="dxa"/>
                  <w:vAlign w:val="center"/>
                </w:tcPr>
                <w:p w14:paraId="0251681E">
                  <w:pPr>
                    <w:pStyle w:val="122"/>
                    <w:adjustRightInd w:val="0"/>
                    <w:snapToGrid w:val="0"/>
                    <w:rPr>
                      <w:color w:val="auto"/>
                      <w:sz w:val="21"/>
                      <w:szCs w:val="21"/>
                    </w:rPr>
                  </w:pPr>
                  <w:r>
                    <w:rPr>
                      <w:color w:val="auto"/>
                      <w:sz w:val="21"/>
                      <w:szCs w:val="21"/>
                    </w:rPr>
                    <w:t>弱</w:t>
                  </w:r>
                </w:p>
              </w:tc>
              <w:tc>
                <w:tcPr>
                  <w:tcW w:w="956" w:type="dxa"/>
                  <w:vAlign w:val="center"/>
                </w:tcPr>
                <w:p w14:paraId="0A05185C">
                  <w:pPr>
                    <w:pStyle w:val="122"/>
                    <w:adjustRightInd w:val="0"/>
                    <w:snapToGrid w:val="0"/>
                    <w:rPr>
                      <w:color w:val="auto"/>
                      <w:sz w:val="21"/>
                      <w:szCs w:val="21"/>
                    </w:rPr>
                  </w:pPr>
                  <w:r>
                    <w:rPr>
                      <w:color w:val="auto"/>
                      <w:sz w:val="21"/>
                      <w:szCs w:val="21"/>
                    </w:rPr>
                    <w:t>易</w:t>
                  </w:r>
                </w:p>
              </w:tc>
              <w:tc>
                <w:tcPr>
                  <w:tcW w:w="687" w:type="dxa"/>
                  <w:vAlign w:val="center"/>
                </w:tcPr>
                <w:p w14:paraId="013281F5">
                  <w:pPr>
                    <w:pStyle w:val="122"/>
                    <w:adjustRightInd w:val="0"/>
                    <w:snapToGrid w:val="0"/>
                    <w:rPr>
                      <w:color w:val="auto"/>
                      <w:sz w:val="21"/>
                      <w:szCs w:val="21"/>
                    </w:rPr>
                  </w:pPr>
                  <w:r>
                    <w:rPr>
                      <w:color w:val="auto"/>
                      <w:sz w:val="21"/>
                      <w:szCs w:val="21"/>
                    </w:rPr>
                    <w:t>其他类型</w:t>
                  </w:r>
                </w:p>
              </w:tc>
              <w:tc>
                <w:tcPr>
                  <w:tcW w:w="1641" w:type="dxa"/>
                  <w:vAlign w:val="center"/>
                </w:tcPr>
                <w:p w14:paraId="1C214332">
                  <w:pPr>
                    <w:pStyle w:val="122"/>
                    <w:adjustRightInd w:val="0"/>
                    <w:snapToGrid w:val="0"/>
                    <w:rPr>
                      <w:color w:val="auto"/>
                      <w:sz w:val="21"/>
                      <w:szCs w:val="21"/>
                    </w:rPr>
                  </w:pPr>
                  <w:r>
                    <w:rPr>
                      <w:color w:val="auto"/>
                      <w:sz w:val="21"/>
                      <w:szCs w:val="21"/>
                    </w:rPr>
                    <w:t>办公楼</w:t>
                  </w:r>
                  <w:r>
                    <w:rPr>
                      <w:rFonts w:hint="eastAsia"/>
                      <w:color w:val="auto"/>
                      <w:sz w:val="21"/>
                      <w:szCs w:val="21"/>
                    </w:rPr>
                    <w:t>、</w:t>
                  </w:r>
                  <w:r>
                    <w:rPr>
                      <w:color w:val="auto"/>
                      <w:sz w:val="21"/>
                      <w:szCs w:val="21"/>
                    </w:rPr>
                    <w:t>门卫等</w:t>
                  </w:r>
                  <w:r>
                    <w:rPr>
                      <w:rFonts w:hint="eastAsia"/>
                      <w:color w:val="auto"/>
                      <w:sz w:val="21"/>
                      <w:szCs w:val="21"/>
                      <w:lang w:eastAsia="zh-CN"/>
                    </w:rPr>
                    <w:t>其他</w:t>
                  </w:r>
                  <w:r>
                    <w:rPr>
                      <w:color w:val="auto"/>
                      <w:sz w:val="21"/>
                      <w:szCs w:val="21"/>
                    </w:rPr>
                    <w:t>区域</w:t>
                  </w:r>
                </w:p>
              </w:tc>
              <w:tc>
                <w:tcPr>
                  <w:tcW w:w="1477" w:type="dxa"/>
                  <w:vAlign w:val="center"/>
                </w:tcPr>
                <w:p w14:paraId="6C212231">
                  <w:pPr>
                    <w:pStyle w:val="122"/>
                    <w:adjustRightInd w:val="0"/>
                    <w:snapToGrid w:val="0"/>
                    <w:rPr>
                      <w:color w:val="auto"/>
                      <w:sz w:val="21"/>
                      <w:szCs w:val="21"/>
                    </w:rPr>
                  </w:pPr>
                  <w:r>
                    <w:rPr>
                      <w:color w:val="auto"/>
                      <w:sz w:val="21"/>
                      <w:szCs w:val="21"/>
                    </w:rPr>
                    <w:t>一般地面硬化</w:t>
                  </w:r>
                </w:p>
              </w:tc>
            </w:tr>
          </w:tbl>
          <w:p w14:paraId="5891571F">
            <w:pPr>
              <w:widowControl/>
              <w:autoSpaceDE w:val="0"/>
              <w:autoSpaceDN w:val="0"/>
              <w:adjustRightInd w:val="0"/>
              <w:snapToGrid w:val="0"/>
              <w:spacing w:before="120" w:beforeLines="50" w:line="360" w:lineRule="auto"/>
              <w:ind w:firstLine="482" w:firstLineChars="200"/>
              <w:jc w:val="left"/>
              <w:rPr>
                <w:b/>
                <w:color w:val="auto"/>
                <w:kern w:val="0"/>
                <w:sz w:val="24"/>
              </w:rPr>
            </w:pPr>
            <w:r>
              <w:rPr>
                <w:b/>
                <w:color w:val="auto"/>
                <w:kern w:val="0"/>
                <w:sz w:val="24"/>
              </w:rPr>
              <w:t>5.2</w:t>
            </w:r>
            <w:r>
              <w:rPr>
                <w:rFonts w:hAnsi="宋体"/>
                <w:b/>
                <w:color w:val="auto"/>
                <w:kern w:val="0"/>
                <w:sz w:val="24"/>
              </w:rPr>
              <w:t>跟踪监测计划</w:t>
            </w:r>
          </w:p>
          <w:p w14:paraId="35389F3D">
            <w:pPr>
              <w:widowControl/>
              <w:autoSpaceDE w:val="0"/>
              <w:autoSpaceDN w:val="0"/>
              <w:adjustRightInd w:val="0"/>
              <w:snapToGrid w:val="0"/>
              <w:spacing w:line="360" w:lineRule="auto"/>
              <w:ind w:left="181" w:leftChars="86" w:firstLine="480" w:firstLineChars="200"/>
              <w:jc w:val="left"/>
              <w:rPr>
                <w:b/>
                <w:color w:val="auto"/>
                <w:kern w:val="0"/>
                <w:sz w:val="24"/>
              </w:rPr>
            </w:pPr>
            <w:r>
              <w:rPr>
                <w:rFonts w:hint="eastAsia"/>
                <w:color w:val="auto"/>
                <w:sz w:val="24"/>
                <w:lang w:val="en-US" w:eastAsia="zh-CN"/>
              </w:rPr>
              <w:t>扩建</w:t>
            </w:r>
            <w:r>
              <w:rPr>
                <w:color w:val="auto"/>
                <w:sz w:val="24"/>
              </w:rPr>
              <w:t>项目</w:t>
            </w:r>
            <w:r>
              <w:rPr>
                <w:rFonts w:hint="eastAsia"/>
                <w:color w:val="auto"/>
                <w:sz w:val="24"/>
                <w:lang w:eastAsia="zh-CN"/>
              </w:rPr>
              <w:t>不新建化学品仓库，依托现有项目化学品仓库</w:t>
            </w:r>
            <w:r>
              <w:rPr>
                <w:rFonts w:hint="eastAsia" w:ascii="宋体" w:hAnsi="宋体"/>
                <w:color w:val="auto"/>
                <w:kern w:val="0"/>
                <w:sz w:val="24"/>
                <w:lang w:eastAsia="zh-CN"/>
              </w:rPr>
              <w:t>。</w:t>
            </w:r>
            <w:r>
              <w:rPr>
                <w:rFonts w:ascii="宋体" w:hAnsi="宋体"/>
                <w:color w:val="auto"/>
                <w:kern w:val="0"/>
                <w:sz w:val="24"/>
              </w:rPr>
              <w:t>发生泄漏事故的概率较小，</w:t>
            </w:r>
            <w:r>
              <w:rPr>
                <w:rFonts w:hint="eastAsia" w:ascii="宋体" w:hAnsi="宋体"/>
                <w:color w:val="auto"/>
                <w:kern w:val="0"/>
                <w:sz w:val="24"/>
                <w:lang w:val="en-US" w:eastAsia="zh-CN"/>
              </w:rPr>
              <w:t>综上，企业</w:t>
            </w:r>
            <w:r>
              <w:rPr>
                <w:rFonts w:ascii="宋体" w:hAnsi="宋体"/>
                <w:color w:val="auto"/>
                <w:kern w:val="0"/>
                <w:sz w:val="24"/>
              </w:rPr>
              <w:t>不易污染地下水及土壤。因此企业无需进行地下水、土壤跟踪监测</w:t>
            </w:r>
            <w:r>
              <w:rPr>
                <w:color w:val="auto"/>
                <w:kern w:val="0"/>
                <w:sz w:val="24"/>
                <w:szCs w:val="20"/>
              </w:rPr>
              <w:t>。</w:t>
            </w:r>
          </w:p>
          <w:p w14:paraId="20C70E25">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6.</w:t>
            </w:r>
            <w:r>
              <w:rPr>
                <w:rFonts w:hAnsi="宋体"/>
                <w:b/>
                <w:color w:val="auto"/>
                <w:kern w:val="0"/>
                <w:sz w:val="24"/>
              </w:rPr>
              <w:t>生态</w:t>
            </w:r>
          </w:p>
          <w:p w14:paraId="5BA90C56">
            <w:pPr>
              <w:adjustRightInd w:val="0"/>
              <w:snapToGrid w:val="0"/>
              <w:spacing w:line="360" w:lineRule="auto"/>
              <w:ind w:firstLine="480" w:firstLineChars="200"/>
              <w:rPr>
                <w:color w:val="auto"/>
                <w:sz w:val="24"/>
              </w:rPr>
            </w:pPr>
            <w:r>
              <w:rPr>
                <w:rFonts w:hAnsi="宋体"/>
                <w:color w:val="auto"/>
                <w:sz w:val="24"/>
              </w:rPr>
              <w:t>建设项目位于江苏涟水经济开发区西区，在现有厂区内进行，且用地范围不涉及生态环境保护目标，对生态环境影响较小。</w:t>
            </w:r>
          </w:p>
          <w:p w14:paraId="741B35C4">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7.</w:t>
            </w:r>
            <w:r>
              <w:rPr>
                <w:rFonts w:hAnsi="宋体"/>
                <w:b/>
                <w:color w:val="auto"/>
                <w:kern w:val="0"/>
                <w:sz w:val="24"/>
              </w:rPr>
              <w:t>环境风险</w:t>
            </w:r>
          </w:p>
          <w:p w14:paraId="60AB493D">
            <w:pPr>
              <w:widowControl/>
              <w:autoSpaceDE w:val="0"/>
              <w:autoSpaceDN w:val="0"/>
              <w:adjustRightInd w:val="0"/>
              <w:snapToGrid w:val="0"/>
              <w:spacing w:line="360" w:lineRule="auto"/>
              <w:ind w:firstLine="482" w:firstLineChars="200"/>
              <w:rPr>
                <w:b/>
                <w:color w:val="auto"/>
                <w:kern w:val="0"/>
                <w:sz w:val="24"/>
              </w:rPr>
            </w:pPr>
            <w:r>
              <w:rPr>
                <w:b/>
                <w:color w:val="auto"/>
                <w:kern w:val="0"/>
                <w:sz w:val="24"/>
              </w:rPr>
              <w:t>7.1</w:t>
            </w:r>
            <w:r>
              <w:rPr>
                <w:rFonts w:hAnsi="宋体"/>
                <w:b/>
                <w:color w:val="auto"/>
                <w:kern w:val="0"/>
                <w:sz w:val="24"/>
              </w:rPr>
              <w:t>风险源调查</w:t>
            </w:r>
          </w:p>
          <w:p w14:paraId="548FDCA2">
            <w:pPr>
              <w:widowControl/>
              <w:autoSpaceDE w:val="0"/>
              <w:autoSpaceDN w:val="0"/>
              <w:adjustRightInd w:val="0"/>
              <w:snapToGrid w:val="0"/>
              <w:spacing w:line="360" w:lineRule="auto"/>
              <w:ind w:firstLine="480" w:firstLineChars="200"/>
              <w:jc w:val="left"/>
              <w:rPr>
                <w:color w:val="auto"/>
                <w:kern w:val="0"/>
                <w:sz w:val="24"/>
              </w:rPr>
            </w:pPr>
            <w:r>
              <w:rPr>
                <w:rFonts w:ascii="宋体" w:hAnsi="宋体"/>
                <w:color w:val="auto"/>
                <w:kern w:val="0"/>
                <w:sz w:val="24"/>
              </w:rPr>
              <w:t>①</w:t>
            </w:r>
            <w:r>
              <w:rPr>
                <w:rFonts w:hAnsi="宋体"/>
                <w:color w:val="auto"/>
                <w:kern w:val="0"/>
                <w:sz w:val="24"/>
              </w:rPr>
              <w:t>危险物质数量及分布情况</w:t>
            </w:r>
          </w:p>
          <w:p w14:paraId="01FBC63F">
            <w:pPr>
              <w:widowControl/>
              <w:autoSpaceDE w:val="0"/>
              <w:autoSpaceDN w:val="0"/>
              <w:adjustRightInd w:val="0"/>
              <w:snapToGrid w:val="0"/>
              <w:spacing w:line="360" w:lineRule="auto"/>
              <w:ind w:firstLine="480" w:firstLineChars="200"/>
              <w:jc w:val="left"/>
              <w:rPr>
                <w:bCs/>
                <w:color w:val="auto"/>
                <w:kern w:val="0"/>
                <w:sz w:val="24"/>
              </w:rPr>
            </w:pPr>
            <w:r>
              <w:rPr>
                <w:rFonts w:hAnsi="宋体"/>
                <w:bCs/>
                <w:color w:val="auto"/>
                <w:kern w:val="0"/>
                <w:sz w:val="24"/>
              </w:rPr>
              <w:t>本次对</w:t>
            </w:r>
            <w:r>
              <w:rPr>
                <w:rFonts w:hint="eastAsia" w:hAnsi="宋体"/>
                <w:bCs/>
                <w:color w:val="auto"/>
                <w:kern w:val="0"/>
                <w:sz w:val="24"/>
                <w:lang w:eastAsia="zh-CN"/>
              </w:rPr>
              <w:t>本项目</w:t>
            </w:r>
            <w:r>
              <w:rPr>
                <w:rFonts w:hAnsi="宋体"/>
                <w:bCs/>
                <w:color w:val="auto"/>
                <w:kern w:val="0"/>
                <w:sz w:val="24"/>
              </w:rPr>
              <w:t>进行环境风险评价，见表</w:t>
            </w:r>
            <w:r>
              <w:rPr>
                <w:rFonts w:hint="eastAsia"/>
                <w:bCs/>
                <w:color w:val="auto"/>
                <w:kern w:val="0"/>
                <w:sz w:val="24"/>
                <w:lang w:val="en-US" w:eastAsia="zh-CN"/>
              </w:rPr>
              <w:t>4-23</w:t>
            </w:r>
            <w:r>
              <w:rPr>
                <w:rFonts w:hAnsi="宋体"/>
                <w:bCs/>
                <w:color w:val="auto"/>
                <w:kern w:val="0"/>
                <w:sz w:val="24"/>
              </w:rPr>
              <w:t>。</w:t>
            </w:r>
          </w:p>
          <w:p w14:paraId="42644373">
            <w:pPr>
              <w:widowControl/>
              <w:adjustRightInd w:val="0"/>
              <w:snapToGrid w:val="0"/>
              <w:ind w:firstLine="482" w:firstLineChars="200"/>
              <w:jc w:val="center"/>
              <w:rPr>
                <w:b/>
                <w:bCs/>
                <w:color w:val="auto"/>
                <w:kern w:val="0"/>
                <w:sz w:val="24"/>
              </w:rPr>
            </w:pPr>
            <w:r>
              <w:rPr>
                <w:rFonts w:hAnsi="宋体"/>
                <w:b/>
                <w:bCs/>
                <w:color w:val="auto"/>
                <w:kern w:val="0"/>
                <w:sz w:val="24"/>
              </w:rPr>
              <w:t>表</w:t>
            </w:r>
            <w:r>
              <w:rPr>
                <w:rFonts w:hint="eastAsia"/>
                <w:b/>
                <w:bCs/>
                <w:color w:val="auto"/>
                <w:kern w:val="0"/>
                <w:sz w:val="24"/>
                <w:lang w:val="en-US" w:eastAsia="zh-CN" w:bidi="en-US"/>
              </w:rPr>
              <w:t>4-23</w:t>
            </w:r>
            <w:r>
              <w:rPr>
                <w:rFonts w:hAnsi="宋体"/>
                <w:b/>
                <w:bCs/>
                <w:color w:val="auto"/>
                <w:kern w:val="0"/>
                <w:sz w:val="24"/>
              </w:rPr>
              <w:t>危险物质数量及分布情况一览表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87"/>
              <w:gridCol w:w="2145"/>
              <w:gridCol w:w="1650"/>
              <w:gridCol w:w="1860"/>
              <w:gridCol w:w="1123"/>
            </w:tblGrid>
            <w:tr w14:paraId="7949C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96" w:type="pct"/>
                  <w:vAlign w:val="center"/>
                </w:tcPr>
                <w:p w14:paraId="7FB2905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266" w:type="pct"/>
                  <w:vAlign w:val="center"/>
                </w:tcPr>
                <w:p w14:paraId="42CD079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主要规格/型号</w:t>
                  </w:r>
                </w:p>
              </w:tc>
              <w:tc>
                <w:tcPr>
                  <w:tcW w:w="974" w:type="pct"/>
                  <w:vAlign w:val="center"/>
                </w:tcPr>
                <w:p w14:paraId="41E5577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贮存周期</w:t>
                  </w:r>
                </w:p>
              </w:tc>
              <w:tc>
                <w:tcPr>
                  <w:tcW w:w="1098" w:type="pct"/>
                  <w:vAlign w:val="center"/>
                </w:tcPr>
                <w:p w14:paraId="52C9B4A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最大贮存量（吨）</w:t>
                  </w:r>
                </w:p>
              </w:tc>
              <w:tc>
                <w:tcPr>
                  <w:tcW w:w="663" w:type="pct"/>
                  <w:vAlign w:val="center"/>
                </w:tcPr>
                <w:p w14:paraId="1BB2EED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分布</w:t>
                  </w:r>
                </w:p>
              </w:tc>
            </w:tr>
            <w:tr w14:paraId="0A8B4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996" w:type="pct"/>
                  <w:vAlign w:val="center"/>
                </w:tcPr>
                <w:p w14:paraId="1E3344E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lang w:eastAsia="zh-CN"/>
                    </w:rPr>
                    <w:t>次氯酸钠</w:t>
                  </w:r>
                </w:p>
              </w:tc>
              <w:tc>
                <w:tcPr>
                  <w:tcW w:w="1266" w:type="pct"/>
                  <w:shd w:val="clear" w:color="auto" w:fill="auto"/>
                  <w:vAlign w:val="center"/>
                </w:tcPr>
                <w:p w14:paraId="6C853FA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25KG</w:t>
                  </w:r>
                  <w:r>
                    <w:rPr>
                      <w:rFonts w:hint="eastAsia"/>
                      <w:color w:val="auto"/>
                      <w:lang w:val="en-US" w:eastAsia="zh-CN"/>
                    </w:rPr>
                    <w:t>/桶装</w:t>
                  </w:r>
                </w:p>
              </w:tc>
              <w:tc>
                <w:tcPr>
                  <w:tcW w:w="974" w:type="pct"/>
                  <w:vAlign w:val="center"/>
                </w:tcPr>
                <w:p w14:paraId="4F2653E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2个月</w:t>
                  </w:r>
                </w:p>
              </w:tc>
              <w:tc>
                <w:tcPr>
                  <w:tcW w:w="1098" w:type="pct"/>
                  <w:shd w:val="clear" w:color="auto" w:fill="auto"/>
                  <w:vAlign w:val="center"/>
                </w:tcPr>
                <w:p w14:paraId="4525F8CA">
                  <w:pPr>
                    <w:widowControl/>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0.1</w:t>
                  </w:r>
                </w:p>
              </w:tc>
              <w:tc>
                <w:tcPr>
                  <w:tcW w:w="663" w:type="pct"/>
                  <w:vAlign w:val="center"/>
                </w:tcPr>
                <w:p w14:paraId="0A9BFDE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化验室</w:t>
                  </w:r>
                </w:p>
              </w:tc>
            </w:tr>
          </w:tbl>
          <w:p w14:paraId="155E765C">
            <w:pPr>
              <w:widowControl/>
              <w:autoSpaceDE w:val="0"/>
              <w:autoSpaceDN w:val="0"/>
              <w:adjustRightInd w:val="0"/>
              <w:snapToGrid w:val="0"/>
              <w:spacing w:before="120" w:beforeLines="50" w:line="360" w:lineRule="auto"/>
              <w:ind w:firstLine="480" w:firstLineChars="200"/>
              <w:jc w:val="left"/>
              <w:rPr>
                <w:color w:val="auto"/>
                <w:kern w:val="0"/>
                <w:sz w:val="24"/>
              </w:rPr>
            </w:pPr>
            <w:r>
              <w:rPr>
                <w:rFonts w:ascii="宋体" w:hAnsi="宋体"/>
                <w:color w:val="auto"/>
                <w:kern w:val="0"/>
                <w:sz w:val="24"/>
              </w:rPr>
              <w:t>②</w:t>
            </w:r>
            <w:r>
              <w:rPr>
                <w:rFonts w:hAnsi="宋体"/>
                <w:color w:val="auto"/>
                <w:kern w:val="0"/>
                <w:sz w:val="24"/>
              </w:rPr>
              <w:t>生产工艺特点</w:t>
            </w:r>
          </w:p>
          <w:p w14:paraId="7A10B8B0">
            <w:pPr>
              <w:widowControl/>
              <w:autoSpaceDE w:val="0"/>
              <w:autoSpaceDN w:val="0"/>
              <w:adjustRightInd w:val="0"/>
              <w:snapToGrid w:val="0"/>
              <w:spacing w:line="360" w:lineRule="auto"/>
              <w:ind w:firstLine="480" w:firstLineChars="200"/>
              <w:jc w:val="left"/>
              <w:rPr>
                <w:color w:val="auto"/>
                <w:kern w:val="0"/>
                <w:sz w:val="24"/>
              </w:rPr>
            </w:pPr>
            <w:r>
              <w:rPr>
                <w:rFonts w:hAnsi="宋体"/>
                <w:bCs/>
                <w:color w:val="auto"/>
                <w:kern w:val="0"/>
                <w:sz w:val="24"/>
              </w:rPr>
              <w:t>建设项目</w:t>
            </w:r>
            <w:r>
              <w:rPr>
                <w:rFonts w:hAnsi="宋体"/>
                <w:color w:val="auto"/>
                <w:kern w:val="0"/>
                <w:sz w:val="24"/>
              </w:rPr>
              <w:t>不涉及风险导则附录</w:t>
            </w:r>
            <w:r>
              <w:rPr>
                <w:color w:val="auto"/>
                <w:kern w:val="0"/>
                <w:sz w:val="24"/>
              </w:rPr>
              <w:t>C</w:t>
            </w:r>
            <w:r>
              <w:rPr>
                <w:rFonts w:hAnsi="宋体"/>
                <w:color w:val="auto"/>
                <w:kern w:val="0"/>
                <w:sz w:val="24"/>
              </w:rPr>
              <w:t>表</w:t>
            </w:r>
            <w:r>
              <w:rPr>
                <w:color w:val="auto"/>
                <w:kern w:val="0"/>
                <w:sz w:val="24"/>
              </w:rPr>
              <w:t>C.1</w:t>
            </w:r>
            <w:r>
              <w:rPr>
                <w:rFonts w:hAnsi="宋体"/>
                <w:color w:val="auto"/>
                <w:kern w:val="0"/>
                <w:sz w:val="24"/>
              </w:rPr>
              <w:t>中的危险工艺，只涉及危险物质的使用和贮存。</w:t>
            </w:r>
          </w:p>
          <w:p w14:paraId="7B809A51">
            <w:pPr>
              <w:widowControl/>
              <w:autoSpaceDE w:val="0"/>
              <w:autoSpaceDN w:val="0"/>
              <w:adjustRightInd w:val="0"/>
              <w:snapToGrid w:val="0"/>
              <w:spacing w:line="360" w:lineRule="auto"/>
              <w:ind w:firstLine="480" w:firstLineChars="200"/>
              <w:jc w:val="left"/>
              <w:rPr>
                <w:color w:val="auto"/>
                <w:kern w:val="0"/>
                <w:sz w:val="24"/>
              </w:rPr>
            </w:pPr>
            <w:r>
              <w:rPr>
                <w:rFonts w:ascii="宋体" w:hAnsi="宋体"/>
                <w:color w:val="auto"/>
                <w:kern w:val="0"/>
                <w:sz w:val="24"/>
              </w:rPr>
              <w:t>③</w:t>
            </w:r>
            <w:r>
              <w:rPr>
                <w:rFonts w:hAnsi="宋体"/>
                <w:color w:val="auto"/>
                <w:kern w:val="0"/>
                <w:sz w:val="24"/>
              </w:rPr>
              <w:t>风险潜势初判根据</w:t>
            </w:r>
            <w:r>
              <w:rPr>
                <w:rFonts w:hAnsi="宋体"/>
                <w:bCs/>
                <w:color w:val="auto"/>
                <w:kern w:val="0"/>
                <w:sz w:val="24"/>
              </w:rPr>
              <w:t>技改项目</w:t>
            </w:r>
            <w:r>
              <w:rPr>
                <w:rFonts w:hAnsi="宋体"/>
                <w:color w:val="auto"/>
                <w:kern w:val="0"/>
                <w:sz w:val="24"/>
              </w:rPr>
              <w:t>所涉及的每种危险物质在厂界内的最大存在总量与其在附录</w:t>
            </w:r>
            <w:r>
              <w:rPr>
                <w:color w:val="auto"/>
                <w:kern w:val="0"/>
                <w:sz w:val="24"/>
              </w:rPr>
              <w:t>B</w:t>
            </w:r>
            <w:r>
              <w:rPr>
                <w:rFonts w:hAnsi="宋体"/>
                <w:color w:val="auto"/>
                <w:kern w:val="0"/>
                <w:sz w:val="24"/>
              </w:rPr>
              <w:t>中对应临界量的比值计算</w:t>
            </w:r>
            <w:r>
              <w:rPr>
                <w:color w:val="auto"/>
                <w:kern w:val="0"/>
                <w:sz w:val="24"/>
              </w:rPr>
              <w:t>Q</w:t>
            </w:r>
            <w:r>
              <w:rPr>
                <w:rFonts w:hAnsi="宋体"/>
                <w:color w:val="auto"/>
                <w:kern w:val="0"/>
                <w:sz w:val="24"/>
              </w:rPr>
              <w:t>，判定情况见表</w:t>
            </w:r>
            <w:r>
              <w:rPr>
                <w:rFonts w:hint="eastAsia"/>
                <w:color w:val="auto"/>
                <w:kern w:val="0"/>
                <w:sz w:val="24"/>
                <w:lang w:val="en-US" w:eastAsia="zh-CN"/>
              </w:rPr>
              <w:t>4-24</w:t>
            </w:r>
            <w:r>
              <w:rPr>
                <w:rFonts w:hAnsi="宋体"/>
                <w:color w:val="auto"/>
                <w:kern w:val="0"/>
                <w:sz w:val="24"/>
              </w:rPr>
              <w:t>。</w:t>
            </w:r>
          </w:p>
          <w:p w14:paraId="3D5F59F5">
            <w:pPr>
              <w:widowControl/>
              <w:autoSpaceDE w:val="0"/>
              <w:autoSpaceDN w:val="0"/>
              <w:adjustRightInd w:val="0"/>
              <w:snapToGrid w:val="0"/>
              <w:jc w:val="center"/>
              <w:rPr>
                <w:b/>
                <w:bCs/>
                <w:color w:val="auto"/>
                <w:kern w:val="0"/>
                <w:sz w:val="24"/>
              </w:rPr>
            </w:pPr>
            <w:r>
              <w:rPr>
                <w:rFonts w:hAnsi="宋体"/>
                <w:b/>
                <w:bCs/>
                <w:color w:val="auto"/>
                <w:kern w:val="0"/>
                <w:sz w:val="24"/>
              </w:rPr>
              <w:t>表</w:t>
            </w:r>
            <w:r>
              <w:rPr>
                <w:rFonts w:hint="eastAsia"/>
                <w:b/>
                <w:bCs/>
                <w:color w:val="auto"/>
                <w:kern w:val="0"/>
                <w:sz w:val="24"/>
                <w:lang w:val="en-US" w:eastAsia="zh-CN"/>
              </w:rPr>
              <w:t>4-24本项目</w:t>
            </w:r>
            <w:r>
              <w:rPr>
                <w:b/>
                <w:bCs/>
                <w:color w:val="auto"/>
                <w:kern w:val="0"/>
                <w:sz w:val="24"/>
              </w:rPr>
              <w:t>Q</w:t>
            </w:r>
            <w:r>
              <w:rPr>
                <w:rFonts w:hAnsi="宋体"/>
                <w:b/>
                <w:bCs/>
                <w:color w:val="auto"/>
                <w:kern w:val="0"/>
                <w:sz w:val="24"/>
              </w:rPr>
              <w:t>值计算表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30" w:type="dxa"/>
                <w:bottom w:w="0" w:type="dxa"/>
                <w:right w:w="30" w:type="dxa"/>
              </w:tblCellMar>
            </w:tblPr>
            <w:tblGrid>
              <w:gridCol w:w="830"/>
              <w:gridCol w:w="1548"/>
              <w:gridCol w:w="1009"/>
              <w:gridCol w:w="1856"/>
              <w:gridCol w:w="1358"/>
              <w:gridCol w:w="1867"/>
            </w:tblGrid>
            <w:tr w14:paraId="1EB63726">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90" w:type="pct"/>
                  <w:tcBorders>
                    <w:top w:val="single" w:color="auto" w:sz="12" w:space="0"/>
                    <w:left w:val="nil"/>
                    <w:bottom w:val="single" w:color="auto" w:sz="12" w:space="0"/>
                    <w:right w:val="single" w:color="auto" w:sz="4" w:space="0"/>
                  </w:tcBorders>
                  <w:shd w:val="clear" w:color="auto" w:fill="auto"/>
                  <w:noWrap/>
                  <w:vAlign w:val="center"/>
                </w:tcPr>
                <w:p w14:paraId="699C45BD">
                  <w:pPr>
                    <w:pStyle w:val="147"/>
                    <w:framePr w:hSpace="0" w:wrap="auto" w:vAnchor="margin" w:hAnchor="text" w:yAlign="inline"/>
                    <w:spacing w:before="62"/>
                    <w:rPr>
                      <w:b/>
                      <w:color w:val="auto"/>
                    </w:rPr>
                  </w:pPr>
                  <w:bookmarkStart w:id="46" w:name="_Hlk1402009"/>
                  <w:r>
                    <w:rPr>
                      <w:b/>
                      <w:color w:val="auto"/>
                    </w:rPr>
                    <w:t>序号</w:t>
                  </w:r>
                </w:p>
              </w:tc>
              <w:tc>
                <w:tcPr>
                  <w:tcW w:w="914" w:type="pct"/>
                  <w:tcBorders>
                    <w:top w:val="single" w:color="auto" w:sz="12" w:space="0"/>
                    <w:left w:val="single" w:color="auto" w:sz="4" w:space="0"/>
                    <w:bottom w:val="single" w:color="auto" w:sz="12" w:space="0"/>
                    <w:right w:val="single" w:color="auto" w:sz="4" w:space="0"/>
                  </w:tcBorders>
                  <w:shd w:val="clear" w:color="auto" w:fill="auto"/>
                  <w:noWrap/>
                  <w:vAlign w:val="center"/>
                </w:tcPr>
                <w:p w14:paraId="3C04A7BF">
                  <w:pPr>
                    <w:pStyle w:val="147"/>
                    <w:framePr w:hSpace="0" w:wrap="auto" w:vAnchor="margin" w:hAnchor="text" w:yAlign="inline"/>
                    <w:spacing w:before="62"/>
                    <w:rPr>
                      <w:b/>
                      <w:color w:val="auto"/>
                    </w:rPr>
                  </w:pPr>
                  <w:r>
                    <w:rPr>
                      <w:b/>
                      <w:color w:val="auto"/>
                    </w:rPr>
                    <w:t>危险物质名称</w:t>
                  </w:r>
                </w:p>
              </w:tc>
              <w:tc>
                <w:tcPr>
                  <w:tcW w:w="596" w:type="pct"/>
                  <w:tcBorders>
                    <w:top w:val="single" w:color="auto" w:sz="12" w:space="0"/>
                    <w:left w:val="single" w:color="auto" w:sz="4" w:space="0"/>
                    <w:bottom w:val="single" w:color="auto" w:sz="12" w:space="0"/>
                    <w:right w:val="single" w:color="auto" w:sz="4" w:space="0"/>
                  </w:tcBorders>
                  <w:shd w:val="clear" w:color="auto" w:fill="auto"/>
                  <w:noWrap/>
                  <w:vAlign w:val="center"/>
                </w:tcPr>
                <w:p w14:paraId="307572B6">
                  <w:pPr>
                    <w:pStyle w:val="147"/>
                    <w:framePr w:hSpace="0" w:wrap="auto" w:vAnchor="margin" w:hAnchor="text" w:yAlign="inline"/>
                    <w:spacing w:before="62"/>
                    <w:rPr>
                      <w:b/>
                      <w:color w:val="auto"/>
                    </w:rPr>
                  </w:pPr>
                  <w:r>
                    <w:rPr>
                      <w:b/>
                      <w:color w:val="auto"/>
                    </w:rPr>
                    <w:t>CAS号</w:t>
                  </w:r>
                </w:p>
              </w:tc>
              <w:tc>
                <w:tcPr>
                  <w:tcW w:w="1096" w:type="pct"/>
                  <w:tcBorders>
                    <w:top w:val="single" w:color="auto" w:sz="12" w:space="0"/>
                    <w:left w:val="single" w:color="auto" w:sz="4" w:space="0"/>
                    <w:bottom w:val="single" w:color="auto" w:sz="12" w:space="0"/>
                    <w:right w:val="single" w:color="auto" w:sz="4" w:space="0"/>
                  </w:tcBorders>
                  <w:shd w:val="clear" w:color="auto" w:fill="auto"/>
                  <w:noWrap/>
                  <w:vAlign w:val="center"/>
                </w:tcPr>
                <w:p w14:paraId="5C85DFE2">
                  <w:pPr>
                    <w:pStyle w:val="147"/>
                    <w:framePr w:hSpace="0" w:wrap="auto" w:vAnchor="margin" w:hAnchor="text" w:yAlign="inline"/>
                    <w:spacing w:before="62"/>
                    <w:rPr>
                      <w:b/>
                      <w:color w:val="auto"/>
                    </w:rPr>
                  </w:pPr>
                  <w:r>
                    <w:rPr>
                      <w:b/>
                      <w:color w:val="auto"/>
                    </w:rPr>
                    <w:t>最大存在总量qn/t</w:t>
                  </w:r>
                </w:p>
              </w:tc>
              <w:tc>
                <w:tcPr>
                  <w:tcW w:w="802" w:type="pct"/>
                  <w:tcBorders>
                    <w:top w:val="single" w:color="auto" w:sz="12" w:space="0"/>
                    <w:left w:val="single" w:color="auto" w:sz="4" w:space="0"/>
                    <w:bottom w:val="single" w:color="auto" w:sz="12" w:space="0"/>
                    <w:right w:val="single" w:color="auto" w:sz="4" w:space="0"/>
                  </w:tcBorders>
                  <w:shd w:val="clear" w:color="auto" w:fill="auto"/>
                  <w:noWrap/>
                  <w:vAlign w:val="center"/>
                </w:tcPr>
                <w:p w14:paraId="10C2F0E2">
                  <w:pPr>
                    <w:pStyle w:val="147"/>
                    <w:framePr w:hSpace="0" w:wrap="auto" w:vAnchor="margin" w:hAnchor="text" w:yAlign="inline"/>
                    <w:spacing w:before="62"/>
                    <w:rPr>
                      <w:b/>
                      <w:color w:val="auto"/>
                    </w:rPr>
                  </w:pPr>
                  <w:r>
                    <w:rPr>
                      <w:b/>
                      <w:color w:val="auto"/>
                    </w:rPr>
                    <w:t>临界量Qn/t</w:t>
                  </w:r>
                </w:p>
              </w:tc>
              <w:tc>
                <w:tcPr>
                  <w:tcW w:w="1102" w:type="pct"/>
                  <w:tcBorders>
                    <w:top w:val="single" w:color="auto" w:sz="12" w:space="0"/>
                    <w:left w:val="single" w:color="auto" w:sz="4" w:space="0"/>
                    <w:bottom w:val="single" w:color="auto" w:sz="12" w:space="0"/>
                    <w:right w:val="nil"/>
                  </w:tcBorders>
                  <w:shd w:val="clear" w:color="auto" w:fill="auto"/>
                  <w:noWrap/>
                  <w:vAlign w:val="center"/>
                </w:tcPr>
                <w:p w14:paraId="2C98FA4C">
                  <w:pPr>
                    <w:pStyle w:val="147"/>
                    <w:framePr w:hSpace="0" w:wrap="auto" w:vAnchor="margin" w:hAnchor="text" w:yAlign="inline"/>
                    <w:spacing w:before="62"/>
                    <w:rPr>
                      <w:b/>
                      <w:color w:val="auto"/>
                    </w:rPr>
                  </w:pPr>
                  <w:r>
                    <w:rPr>
                      <w:b/>
                      <w:color w:val="auto"/>
                    </w:rPr>
                    <w:t>该种危险物质Q值</w:t>
                  </w:r>
                </w:p>
              </w:tc>
            </w:tr>
            <w:tr w14:paraId="53D15A77">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225" w:hRule="atLeast"/>
                <w:jc w:val="center"/>
              </w:trPr>
              <w:tc>
                <w:tcPr>
                  <w:tcW w:w="490" w:type="pct"/>
                  <w:tcBorders>
                    <w:bottom w:val="single" w:color="auto" w:sz="4" w:space="0"/>
                  </w:tcBorders>
                  <w:shd w:val="clear" w:color="auto" w:fill="auto"/>
                  <w:noWrap/>
                  <w:vAlign w:val="center"/>
                </w:tcPr>
                <w:p w14:paraId="7A45E8D8">
                  <w:pPr>
                    <w:pStyle w:val="147"/>
                    <w:framePr w:hSpace="0" w:wrap="auto" w:vAnchor="margin" w:hAnchor="text" w:yAlign="inline"/>
                    <w:rPr>
                      <w:color w:val="auto"/>
                    </w:rPr>
                  </w:pPr>
                  <w:r>
                    <w:rPr>
                      <w:rFonts w:hint="eastAsia"/>
                      <w:color w:val="auto"/>
                    </w:rPr>
                    <w:t>1</w:t>
                  </w:r>
                </w:p>
              </w:tc>
              <w:tc>
                <w:tcPr>
                  <w:tcW w:w="914" w:type="pct"/>
                  <w:tcBorders>
                    <w:bottom w:val="single" w:color="auto" w:sz="4" w:space="0"/>
                  </w:tcBorders>
                  <w:shd w:val="clear" w:color="auto" w:fill="auto"/>
                  <w:noWrap/>
                  <w:vAlign w:val="center"/>
                </w:tcPr>
                <w:p w14:paraId="4B0F73E6">
                  <w:pPr>
                    <w:adjustRightInd w:val="0"/>
                    <w:snapToGrid w:val="0"/>
                    <w:jc w:val="center"/>
                    <w:rPr>
                      <w:color w:val="auto"/>
                      <w:szCs w:val="21"/>
                    </w:rPr>
                  </w:pPr>
                  <w:r>
                    <w:rPr>
                      <w:rFonts w:hint="eastAsia" w:cs="Times New Roman"/>
                      <w:color w:val="auto"/>
                      <w:lang w:eastAsia="zh-CN"/>
                    </w:rPr>
                    <w:t>次氯酸钠</w:t>
                  </w:r>
                </w:p>
              </w:tc>
              <w:tc>
                <w:tcPr>
                  <w:tcW w:w="596" w:type="pct"/>
                  <w:tcBorders>
                    <w:bottom w:val="single" w:color="auto" w:sz="4" w:space="0"/>
                  </w:tcBorders>
                  <w:shd w:val="clear" w:color="auto" w:fill="auto"/>
                  <w:noWrap/>
                  <w:vAlign w:val="center"/>
                </w:tcPr>
                <w:p w14:paraId="2E01EBC0">
                  <w:pPr>
                    <w:adjustRightInd w:val="0"/>
                    <w:snapToGrid w:val="0"/>
                    <w:jc w:val="center"/>
                    <w:rPr>
                      <w:rFonts w:hint="eastAsia" w:eastAsia="宋体"/>
                      <w:color w:val="auto"/>
                      <w:szCs w:val="21"/>
                      <w:lang w:eastAsia="zh-CN"/>
                    </w:rPr>
                  </w:pPr>
                  <w:r>
                    <w:rPr>
                      <w:rFonts w:hint="eastAsia"/>
                      <w:color w:val="auto"/>
                      <w:szCs w:val="21"/>
                      <w:lang w:val="en-US" w:eastAsia="zh-CN"/>
                    </w:rPr>
                    <w:t>/</w:t>
                  </w:r>
                </w:p>
              </w:tc>
              <w:tc>
                <w:tcPr>
                  <w:tcW w:w="1096" w:type="pct"/>
                  <w:tcBorders>
                    <w:bottom w:val="single" w:color="auto" w:sz="4" w:space="0"/>
                  </w:tcBorders>
                  <w:shd w:val="clear" w:color="auto" w:fill="auto"/>
                  <w:noWrap/>
                  <w:vAlign w:val="center"/>
                </w:tcPr>
                <w:p w14:paraId="1ACCBB7F">
                  <w:pPr>
                    <w:adjustRightInd w:val="0"/>
                    <w:snapToGrid w:val="0"/>
                    <w:jc w:val="center"/>
                    <w:rPr>
                      <w:color w:val="auto"/>
                      <w:szCs w:val="21"/>
                    </w:rPr>
                  </w:pPr>
                  <w:r>
                    <w:rPr>
                      <w:rFonts w:hint="eastAsia"/>
                      <w:color w:val="auto"/>
                      <w:szCs w:val="21"/>
                    </w:rPr>
                    <w:t>0</w:t>
                  </w:r>
                  <w:r>
                    <w:rPr>
                      <w:color w:val="auto"/>
                      <w:szCs w:val="21"/>
                    </w:rPr>
                    <w:t>.</w:t>
                  </w:r>
                  <w:r>
                    <w:rPr>
                      <w:rFonts w:hint="eastAsia"/>
                      <w:color w:val="auto"/>
                      <w:szCs w:val="21"/>
                      <w:lang w:val="en-US" w:eastAsia="zh-CN"/>
                    </w:rPr>
                    <w:t>1</w:t>
                  </w:r>
                </w:p>
              </w:tc>
              <w:tc>
                <w:tcPr>
                  <w:tcW w:w="802" w:type="pct"/>
                  <w:tcBorders>
                    <w:bottom w:val="single" w:color="auto" w:sz="4" w:space="0"/>
                  </w:tcBorders>
                  <w:shd w:val="clear" w:color="auto" w:fill="auto"/>
                  <w:noWrap/>
                  <w:vAlign w:val="center"/>
                </w:tcPr>
                <w:p w14:paraId="2E95437F">
                  <w:pPr>
                    <w:adjustRightInd w:val="0"/>
                    <w:snapToGrid w:val="0"/>
                    <w:jc w:val="center"/>
                    <w:rPr>
                      <w:rFonts w:hint="eastAsia" w:eastAsia="宋体"/>
                      <w:color w:val="auto"/>
                      <w:szCs w:val="21"/>
                      <w:lang w:val="en-US" w:eastAsia="zh-CN"/>
                    </w:rPr>
                  </w:pPr>
                  <w:r>
                    <w:rPr>
                      <w:rFonts w:hint="eastAsia"/>
                      <w:color w:val="auto"/>
                      <w:lang w:val="en-US" w:eastAsia="zh-CN"/>
                    </w:rPr>
                    <w:t>5</w:t>
                  </w:r>
                </w:p>
              </w:tc>
              <w:tc>
                <w:tcPr>
                  <w:tcW w:w="1102" w:type="pct"/>
                  <w:tcBorders>
                    <w:bottom w:val="single" w:color="auto" w:sz="4" w:space="0"/>
                  </w:tcBorders>
                  <w:shd w:val="clear" w:color="auto" w:fill="auto"/>
                  <w:noWrap/>
                  <w:vAlign w:val="center"/>
                </w:tcPr>
                <w:p w14:paraId="0F5A131B">
                  <w:pPr>
                    <w:adjustRightInd w:val="0"/>
                    <w:snapToGrid w:val="0"/>
                    <w:jc w:val="center"/>
                    <w:rPr>
                      <w:rFonts w:hint="default" w:eastAsia="宋体"/>
                      <w:color w:val="auto"/>
                      <w:szCs w:val="21"/>
                      <w:lang w:val="en-US" w:eastAsia="zh-CN"/>
                    </w:rPr>
                  </w:pPr>
                  <w:r>
                    <w:rPr>
                      <w:rFonts w:hint="eastAsia"/>
                      <w:color w:val="auto"/>
                      <w:szCs w:val="21"/>
                    </w:rPr>
                    <w:t>0</w:t>
                  </w:r>
                  <w:r>
                    <w:rPr>
                      <w:color w:val="auto"/>
                      <w:szCs w:val="21"/>
                    </w:rPr>
                    <w:t>.</w:t>
                  </w:r>
                  <w:r>
                    <w:rPr>
                      <w:rFonts w:hint="eastAsia"/>
                      <w:color w:val="auto"/>
                      <w:szCs w:val="21"/>
                      <w:lang w:val="en-US" w:eastAsia="zh-CN"/>
                    </w:rPr>
                    <w:t>02</w:t>
                  </w:r>
                </w:p>
              </w:tc>
            </w:tr>
            <w:tr w14:paraId="4A77F297">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220" w:hRule="atLeast"/>
                <w:jc w:val="center"/>
              </w:trPr>
              <w:tc>
                <w:tcPr>
                  <w:tcW w:w="3898" w:type="pct"/>
                  <w:gridSpan w:val="5"/>
                  <w:tcBorders>
                    <w:top w:val="single" w:color="auto" w:sz="4" w:space="0"/>
                  </w:tcBorders>
                  <w:shd w:val="clear" w:color="auto" w:fill="auto"/>
                  <w:noWrap/>
                  <w:vAlign w:val="center"/>
                </w:tcPr>
                <w:p w14:paraId="110802D9">
                  <w:pPr>
                    <w:adjustRightInd w:val="0"/>
                    <w:snapToGrid w:val="0"/>
                    <w:jc w:val="center"/>
                    <w:rPr>
                      <w:color w:val="auto"/>
                    </w:rPr>
                  </w:pPr>
                  <w:r>
                    <w:rPr>
                      <w:color w:val="auto"/>
                      <w:szCs w:val="21"/>
                    </w:rPr>
                    <w:t>合计</w:t>
                  </w:r>
                </w:p>
              </w:tc>
              <w:tc>
                <w:tcPr>
                  <w:tcW w:w="1102" w:type="pct"/>
                  <w:tcBorders>
                    <w:top w:val="single" w:color="auto" w:sz="4" w:space="0"/>
                  </w:tcBorders>
                  <w:shd w:val="clear" w:color="auto" w:fill="auto"/>
                  <w:noWrap/>
                  <w:vAlign w:val="center"/>
                </w:tcPr>
                <w:p w14:paraId="6FCF233A">
                  <w:pPr>
                    <w:adjustRightInd w:val="0"/>
                    <w:snapToGrid w:val="0"/>
                    <w:jc w:val="center"/>
                    <w:rPr>
                      <w:rFonts w:hint="eastAsia" w:eastAsia="宋体"/>
                      <w:color w:val="auto"/>
                      <w:lang w:eastAsia="zh-CN"/>
                    </w:rPr>
                  </w:pPr>
                  <w:r>
                    <w:rPr>
                      <w:rFonts w:hint="eastAsia"/>
                      <w:color w:val="auto"/>
                      <w:szCs w:val="21"/>
                    </w:rPr>
                    <w:t>0</w:t>
                  </w:r>
                  <w:r>
                    <w:rPr>
                      <w:color w:val="auto"/>
                      <w:szCs w:val="21"/>
                    </w:rPr>
                    <w:t>.0</w:t>
                  </w:r>
                  <w:r>
                    <w:rPr>
                      <w:rFonts w:hint="eastAsia"/>
                      <w:color w:val="auto"/>
                      <w:szCs w:val="21"/>
                      <w:lang w:val="en-US" w:eastAsia="zh-CN"/>
                    </w:rPr>
                    <w:t>2</w:t>
                  </w:r>
                </w:p>
              </w:tc>
            </w:tr>
            <w:bookmarkEnd w:id="46"/>
          </w:tbl>
          <w:p w14:paraId="75DF9C52">
            <w:pPr>
              <w:widowControl/>
              <w:autoSpaceDE w:val="0"/>
              <w:autoSpaceDN w:val="0"/>
              <w:adjustRightInd w:val="0"/>
              <w:snapToGrid w:val="0"/>
              <w:spacing w:before="120" w:beforeLines="50" w:line="360" w:lineRule="auto"/>
              <w:ind w:firstLine="480" w:firstLineChars="200"/>
              <w:jc w:val="left"/>
              <w:rPr>
                <w:color w:val="auto"/>
                <w:kern w:val="0"/>
                <w:sz w:val="24"/>
              </w:rPr>
            </w:pPr>
            <w:r>
              <w:rPr>
                <w:rFonts w:hAnsi="宋体"/>
                <w:color w:val="auto"/>
                <w:kern w:val="0"/>
                <w:sz w:val="24"/>
              </w:rPr>
              <w:t>根据《建设项目环境风险评价技术导则》（</w:t>
            </w:r>
            <w:r>
              <w:rPr>
                <w:color w:val="auto"/>
                <w:kern w:val="0"/>
                <w:sz w:val="24"/>
              </w:rPr>
              <w:t>HJ169-2018</w:t>
            </w:r>
            <w:r>
              <w:rPr>
                <w:rFonts w:hAnsi="宋体"/>
                <w:color w:val="auto"/>
                <w:kern w:val="0"/>
                <w:sz w:val="24"/>
              </w:rPr>
              <w:t>）附录</w:t>
            </w:r>
            <w:r>
              <w:rPr>
                <w:color w:val="auto"/>
                <w:kern w:val="0"/>
                <w:sz w:val="24"/>
              </w:rPr>
              <w:t>C</w:t>
            </w:r>
            <w:r>
              <w:rPr>
                <w:rFonts w:hAnsi="宋体"/>
                <w:color w:val="auto"/>
                <w:kern w:val="0"/>
                <w:sz w:val="24"/>
              </w:rPr>
              <w:t>，上表中物质的</w:t>
            </w:r>
            <w:r>
              <w:rPr>
                <w:color w:val="auto"/>
                <w:kern w:val="0"/>
                <w:sz w:val="24"/>
              </w:rPr>
              <w:t>Q</w:t>
            </w:r>
            <w:r>
              <w:rPr>
                <w:rFonts w:hAnsi="宋体"/>
                <w:color w:val="auto"/>
                <w:kern w:val="0"/>
                <w:sz w:val="24"/>
              </w:rPr>
              <w:t>（</w:t>
            </w:r>
            <w:r>
              <w:rPr>
                <w:rFonts w:hint="eastAsia"/>
                <w:color w:val="auto"/>
                <w:kern w:val="0"/>
                <w:sz w:val="24"/>
                <w:lang w:val="en-US" w:eastAsia="zh-CN"/>
              </w:rPr>
              <w:t>0.02</w:t>
            </w:r>
            <w:r>
              <w:rPr>
                <w:rFonts w:hAnsi="宋体"/>
                <w:color w:val="auto"/>
                <w:kern w:val="0"/>
                <w:sz w:val="24"/>
              </w:rPr>
              <w:t>）＜</w:t>
            </w:r>
            <w:r>
              <w:rPr>
                <w:color w:val="auto"/>
                <w:kern w:val="0"/>
                <w:sz w:val="24"/>
              </w:rPr>
              <w:t>1</w:t>
            </w:r>
            <w:r>
              <w:rPr>
                <w:rFonts w:hAnsi="宋体"/>
                <w:color w:val="auto"/>
                <w:kern w:val="0"/>
                <w:sz w:val="24"/>
              </w:rPr>
              <w:t>，建设项目环境风险潜势为</w:t>
            </w:r>
            <w:r>
              <w:rPr>
                <w:color w:val="auto"/>
                <w:kern w:val="0"/>
                <w:sz w:val="24"/>
              </w:rPr>
              <w:t>Ⅰ</w:t>
            </w:r>
            <w:r>
              <w:rPr>
                <w:rFonts w:hAnsi="宋体"/>
                <w:color w:val="auto"/>
                <w:kern w:val="0"/>
                <w:sz w:val="24"/>
              </w:rPr>
              <w:t>。</w:t>
            </w:r>
          </w:p>
          <w:p w14:paraId="287CBCA4">
            <w:pPr>
              <w:widowControl/>
              <w:autoSpaceDE w:val="0"/>
              <w:autoSpaceDN w:val="0"/>
              <w:adjustRightInd w:val="0"/>
              <w:snapToGrid w:val="0"/>
              <w:spacing w:line="360" w:lineRule="auto"/>
              <w:ind w:firstLine="482" w:firstLineChars="200"/>
              <w:rPr>
                <w:b/>
                <w:color w:val="auto"/>
                <w:kern w:val="0"/>
                <w:sz w:val="24"/>
              </w:rPr>
            </w:pPr>
            <w:r>
              <w:rPr>
                <w:b/>
                <w:color w:val="auto"/>
                <w:kern w:val="0"/>
                <w:sz w:val="24"/>
              </w:rPr>
              <w:t>7.2</w:t>
            </w:r>
            <w:r>
              <w:rPr>
                <w:rFonts w:hAnsi="宋体"/>
                <w:b/>
                <w:color w:val="auto"/>
                <w:kern w:val="0"/>
                <w:sz w:val="24"/>
              </w:rPr>
              <w:t>环境风险识别</w:t>
            </w:r>
          </w:p>
          <w:p w14:paraId="17486EA7">
            <w:pPr>
              <w:widowControl/>
              <w:adjustRightInd w:val="0"/>
              <w:snapToGrid w:val="0"/>
              <w:ind w:firstLine="482" w:firstLineChars="200"/>
              <w:jc w:val="center"/>
              <w:rPr>
                <w:rFonts w:hAnsi="宋体"/>
                <w:b/>
                <w:bCs/>
                <w:color w:val="auto"/>
                <w:kern w:val="0"/>
                <w:sz w:val="24"/>
              </w:rPr>
            </w:pPr>
          </w:p>
          <w:p w14:paraId="15F3D357">
            <w:pPr>
              <w:widowControl/>
              <w:adjustRightInd w:val="0"/>
              <w:snapToGrid w:val="0"/>
              <w:ind w:firstLine="482" w:firstLineChars="200"/>
              <w:jc w:val="center"/>
              <w:rPr>
                <w:rFonts w:hAnsi="宋体"/>
                <w:b/>
                <w:bCs/>
                <w:color w:val="auto"/>
                <w:kern w:val="0"/>
                <w:sz w:val="24"/>
              </w:rPr>
            </w:pPr>
          </w:p>
          <w:p w14:paraId="03ADC0C1">
            <w:pPr>
              <w:widowControl/>
              <w:adjustRightInd w:val="0"/>
              <w:snapToGrid w:val="0"/>
              <w:ind w:firstLine="482" w:firstLineChars="200"/>
              <w:jc w:val="center"/>
              <w:rPr>
                <w:b/>
                <w:bCs/>
                <w:color w:val="auto"/>
                <w:kern w:val="0"/>
                <w:sz w:val="24"/>
              </w:rPr>
            </w:pPr>
            <w:r>
              <w:rPr>
                <w:rFonts w:hAnsi="宋体"/>
                <w:b/>
                <w:bCs/>
                <w:color w:val="auto"/>
                <w:kern w:val="0"/>
                <w:sz w:val="24"/>
              </w:rPr>
              <w:t>表</w:t>
            </w:r>
            <w:r>
              <w:rPr>
                <w:rFonts w:hint="eastAsia"/>
                <w:b/>
                <w:bCs/>
                <w:color w:val="auto"/>
                <w:kern w:val="0"/>
                <w:sz w:val="24"/>
                <w:lang w:val="en-US" w:eastAsia="zh-CN" w:bidi="en-US"/>
              </w:rPr>
              <w:t>4-25</w:t>
            </w:r>
            <w:r>
              <w:rPr>
                <w:rFonts w:hAnsi="宋体"/>
                <w:b/>
                <w:bCs/>
                <w:color w:val="auto"/>
                <w:kern w:val="0"/>
                <w:sz w:val="24"/>
              </w:rPr>
              <w:t>建设项目环境风险识别汇总表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561"/>
              <w:gridCol w:w="1910"/>
              <w:gridCol w:w="1319"/>
              <w:gridCol w:w="1502"/>
              <w:gridCol w:w="1368"/>
              <w:gridCol w:w="1808"/>
            </w:tblGrid>
            <w:tr w14:paraId="1ADC88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31" w:type="pct"/>
                  <w:vAlign w:val="center"/>
                </w:tcPr>
                <w:p w14:paraId="1B5531F2">
                  <w:pPr>
                    <w:adjustRightInd w:val="0"/>
                    <w:snapToGrid w:val="0"/>
                    <w:jc w:val="center"/>
                    <w:rPr>
                      <w:rFonts w:eastAsiaTheme="minorEastAsia"/>
                      <w:b/>
                      <w:color w:val="auto"/>
                      <w:sz w:val="21"/>
                      <w:szCs w:val="21"/>
                    </w:rPr>
                  </w:pPr>
                  <w:r>
                    <w:rPr>
                      <w:rFonts w:hAnsiTheme="minorEastAsia" w:eastAsiaTheme="minorEastAsia"/>
                      <w:b/>
                      <w:color w:val="auto"/>
                      <w:sz w:val="21"/>
                      <w:szCs w:val="21"/>
                    </w:rPr>
                    <w:t>序号</w:t>
                  </w:r>
                </w:p>
              </w:tc>
              <w:tc>
                <w:tcPr>
                  <w:tcW w:w="1127" w:type="pct"/>
                  <w:vAlign w:val="center"/>
                </w:tcPr>
                <w:p w14:paraId="33242E60">
                  <w:pPr>
                    <w:adjustRightInd w:val="0"/>
                    <w:snapToGrid w:val="0"/>
                    <w:jc w:val="center"/>
                    <w:rPr>
                      <w:rFonts w:eastAsiaTheme="minorEastAsia"/>
                      <w:b/>
                      <w:color w:val="auto"/>
                      <w:sz w:val="21"/>
                      <w:szCs w:val="21"/>
                    </w:rPr>
                  </w:pPr>
                  <w:r>
                    <w:rPr>
                      <w:rFonts w:hAnsiTheme="minorEastAsia" w:eastAsiaTheme="minorEastAsia"/>
                      <w:b/>
                      <w:color w:val="auto"/>
                      <w:sz w:val="21"/>
                      <w:szCs w:val="21"/>
                    </w:rPr>
                    <w:t>危险单元</w:t>
                  </w:r>
                </w:p>
              </w:tc>
              <w:tc>
                <w:tcPr>
                  <w:tcW w:w="778" w:type="pct"/>
                  <w:vAlign w:val="center"/>
                </w:tcPr>
                <w:p w14:paraId="43775630">
                  <w:pPr>
                    <w:adjustRightInd w:val="0"/>
                    <w:snapToGrid w:val="0"/>
                    <w:jc w:val="center"/>
                    <w:rPr>
                      <w:rFonts w:eastAsiaTheme="minorEastAsia"/>
                      <w:b/>
                      <w:color w:val="auto"/>
                      <w:sz w:val="21"/>
                      <w:szCs w:val="21"/>
                    </w:rPr>
                  </w:pPr>
                  <w:r>
                    <w:rPr>
                      <w:rFonts w:hAnsiTheme="minorEastAsia" w:eastAsiaTheme="minorEastAsia"/>
                      <w:b/>
                      <w:color w:val="auto"/>
                      <w:sz w:val="21"/>
                      <w:szCs w:val="21"/>
                    </w:rPr>
                    <w:t>主要危险</w:t>
                  </w:r>
                </w:p>
                <w:p w14:paraId="0B218A40">
                  <w:pPr>
                    <w:adjustRightInd w:val="0"/>
                    <w:snapToGrid w:val="0"/>
                    <w:jc w:val="center"/>
                    <w:rPr>
                      <w:rFonts w:eastAsiaTheme="minorEastAsia"/>
                      <w:b/>
                      <w:color w:val="auto"/>
                      <w:sz w:val="21"/>
                      <w:szCs w:val="21"/>
                    </w:rPr>
                  </w:pPr>
                  <w:r>
                    <w:rPr>
                      <w:rFonts w:hAnsiTheme="minorEastAsia" w:eastAsiaTheme="minorEastAsia"/>
                      <w:b/>
                      <w:color w:val="auto"/>
                      <w:sz w:val="21"/>
                      <w:szCs w:val="21"/>
                    </w:rPr>
                    <w:t>物质</w:t>
                  </w:r>
                </w:p>
              </w:tc>
              <w:tc>
                <w:tcPr>
                  <w:tcW w:w="886" w:type="pct"/>
                  <w:vAlign w:val="center"/>
                </w:tcPr>
                <w:p w14:paraId="16AA5242">
                  <w:pPr>
                    <w:adjustRightInd w:val="0"/>
                    <w:snapToGrid w:val="0"/>
                    <w:jc w:val="center"/>
                    <w:rPr>
                      <w:rFonts w:eastAsiaTheme="minorEastAsia"/>
                      <w:b/>
                      <w:color w:val="auto"/>
                      <w:sz w:val="21"/>
                      <w:szCs w:val="21"/>
                    </w:rPr>
                  </w:pPr>
                  <w:r>
                    <w:rPr>
                      <w:rFonts w:hAnsiTheme="minorEastAsia" w:eastAsiaTheme="minorEastAsia"/>
                      <w:b/>
                      <w:color w:val="auto"/>
                      <w:sz w:val="21"/>
                      <w:szCs w:val="21"/>
                    </w:rPr>
                    <w:t>环境风险类型</w:t>
                  </w:r>
                </w:p>
              </w:tc>
              <w:tc>
                <w:tcPr>
                  <w:tcW w:w="807" w:type="pct"/>
                  <w:vAlign w:val="center"/>
                </w:tcPr>
                <w:p w14:paraId="3701C3FA">
                  <w:pPr>
                    <w:adjustRightInd w:val="0"/>
                    <w:snapToGrid w:val="0"/>
                    <w:jc w:val="center"/>
                    <w:rPr>
                      <w:rFonts w:eastAsiaTheme="minorEastAsia"/>
                      <w:b/>
                      <w:color w:val="auto"/>
                      <w:sz w:val="21"/>
                      <w:szCs w:val="21"/>
                    </w:rPr>
                  </w:pPr>
                  <w:r>
                    <w:rPr>
                      <w:rFonts w:hAnsiTheme="minorEastAsia" w:eastAsiaTheme="minorEastAsia"/>
                      <w:b/>
                      <w:color w:val="auto"/>
                      <w:sz w:val="21"/>
                      <w:szCs w:val="21"/>
                    </w:rPr>
                    <w:t>环境影响途径</w:t>
                  </w:r>
                </w:p>
              </w:tc>
              <w:tc>
                <w:tcPr>
                  <w:tcW w:w="1066" w:type="pct"/>
                  <w:vAlign w:val="center"/>
                </w:tcPr>
                <w:p w14:paraId="66DFB09A">
                  <w:pPr>
                    <w:adjustRightInd w:val="0"/>
                    <w:snapToGrid w:val="0"/>
                    <w:jc w:val="center"/>
                    <w:rPr>
                      <w:rFonts w:eastAsiaTheme="minorEastAsia"/>
                      <w:b/>
                      <w:color w:val="auto"/>
                      <w:sz w:val="21"/>
                      <w:szCs w:val="21"/>
                    </w:rPr>
                  </w:pPr>
                  <w:r>
                    <w:rPr>
                      <w:rFonts w:hAnsiTheme="minorEastAsia" w:eastAsiaTheme="minorEastAsia"/>
                      <w:b/>
                      <w:color w:val="auto"/>
                      <w:sz w:val="21"/>
                      <w:szCs w:val="21"/>
                    </w:rPr>
                    <w:t>可能受影响的环境敏感目标</w:t>
                  </w:r>
                </w:p>
              </w:tc>
            </w:tr>
            <w:tr w14:paraId="358DB1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06" w:hRule="atLeast"/>
                <w:jc w:val="center"/>
              </w:trPr>
              <w:tc>
                <w:tcPr>
                  <w:tcW w:w="331" w:type="pct"/>
                  <w:tcBorders>
                    <w:bottom w:val="single" w:color="000000" w:sz="12" w:space="0"/>
                  </w:tcBorders>
                  <w:vAlign w:val="center"/>
                </w:tcPr>
                <w:p w14:paraId="68FE256B">
                  <w:pPr>
                    <w:adjustRightInd w:val="0"/>
                    <w:snapToGrid w:val="0"/>
                    <w:jc w:val="center"/>
                    <w:rPr>
                      <w:rFonts w:eastAsiaTheme="minorEastAsia"/>
                      <w:color w:val="auto"/>
                      <w:sz w:val="21"/>
                      <w:szCs w:val="21"/>
                    </w:rPr>
                  </w:pPr>
                  <w:r>
                    <w:rPr>
                      <w:rFonts w:eastAsiaTheme="minorEastAsia"/>
                      <w:color w:val="auto"/>
                      <w:sz w:val="21"/>
                      <w:szCs w:val="21"/>
                    </w:rPr>
                    <w:t>1</w:t>
                  </w:r>
                </w:p>
              </w:tc>
              <w:tc>
                <w:tcPr>
                  <w:tcW w:w="1127" w:type="pct"/>
                  <w:tcBorders>
                    <w:bottom w:val="single" w:color="000000" w:sz="12" w:space="0"/>
                  </w:tcBorders>
                  <w:vAlign w:val="center"/>
                </w:tcPr>
                <w:p w14:paraId="008923F3">
                  <w:pPr>
                    <w:adjustRightInd w:val="0"/>
                    <w:snapToGrid w:val="0"/>
                    <w:jc w:val="center"/>
                    <w:rPr>
                      <w:rFonts w:eastAsiaTheme="minorEastAsia"/>
                      <w:color w:val="auto"/>
                      <w:sz w:val="21"/>
                      <w:szCs w:val="21"/>
                    </w:rPr>
                  </w:pPr>
                  <w:r>
                    <w:rPr>
                      <w:rFonts w:hint="eastAsia" w:hAnsiTheme="minorEastAsia" w:eastAsiaTheme="minorEastAsia"/>
                      <w:color w:val="auto"/>
                      <w:sz w:val="21"/>
                      <w:szCs w:val="21"/>
                      <w:lang w:eastAsia="zh-CN"/>
                    </w:rPr>
                    <w:t>化学品</w:t>
                  </w:r>
                  <w:r>
                    <w:rPr>
                      <w:rFonts w:hint="eastAsia" w:hAnsiTheme="minorEastAsia" w:eastAsiaTheme="minorEastAsia"/>
                      <w:color w:val="auto"/>
                      <w:sz w:val="21"/>
                      <w:szCs w:val="21"/>
                    </w:rPr>
                    <w:t>仓库</w:t>
                  </w:r>
                </w:p>
              </w:tc>
              <w:tc>
                <w:tcPr>
                  <w:tcW w:w="778" w:type="pct"/>
                  <w:tcBorders>
                    <w:bottom w:val="single" w:color="000000" w:sz="12" w:space="0"/>
                  </w:tcBorders>
                  <w:vAlign w:val="center"/>
                </w:tcPr>
                <w:p w14:paraId="11125181">
                  <w:pPr>
                    <w:adjustRightInd w:val="0"/>
                    <w:snapToGrid w:val="0"/>
                    <w:jc w:val="center"/>
                    <w:rPr>
                      <w:rFonts w:hAnsiTheme="minorEastAsia" w:eastAsiaTheme="minorEastAsia"/>
                      <w:color w:val="auto"/>
                      <w:sz w:val="21"/>
                      <w:szCs w:val="21"/>
                    </w:rPr>
                  </w:pPr>
                  <w:r>
                    <w:rPr>
                      <w:rFonts w:hint="eastAsia" w:cs="Times New Roman"/>
                      <w:color w:val="auto"/>
                      <w:lang w:eastAsia="zh-CN"/>
                    </w:rPr>
                    <w:t>次氯酸钠</w:t>
                  </w:r>
                </w:p>
              </w:tc>
              <w:tc>
                <w:tcPr>
                  <w:tcW w:w="886" w:type="pct"/>
                  <w:tcBorders>
                    <w:bottom w:val="single" w:color="000000" w:sz="12" w:space="0"/>
                  </w:tcBorders>
                  <w:vAlign w:val="center"/>
                </w:tcPr>
                <w:p w14:paraId="5AF5C708">
                  <w:pPr>
                    <w:adjustRightInd w:val="0"/>
                    <w:snapToGrid w:val="0"/>
                    <w:jc w:val="center"/>
                    <w:rPr>
                      <w:rFonts w:eastAsiaTheme="minorEastAsia"/>
                      <w:color w:val="auto"/>
                      <w:sz w:val="21"/>
                      <w:szCs w:val="21"/>
                    </w:rPr>
                  </w:pPr>
                  <w:r>
                    <w:rPr>
                      <w:rFonts w:hAnsiTheme="minorEastAsia" w:eastAsiaTheme="minorEastAsia"/>
                      <w:color w:val="auto"/>
                      <w:sz w:val="21"/>
                      <w:szCs w:val="21"/>
                    </w:rPr>
                    <w:t>泄漏、火灾</w:t>
                  </w:r>
                </w:p>
              </w:tc>
              <w:tc>
                <w:tcPr>
                  <w:tcW w:w="807" w:type="pct"/>
                  <w:tcBorders>
                    <w:bottom w:val="single" w:color="000000" w:sz="12" w:space="0"/>
                  </w:tcBorders>
                  <w:vAlign w:val="center"/>
                </w:tcPr>
                <w:p w14:paraId="7F8F312F">
                  <w:pPr>
                    <w:adjustRightInd w:val="0"/>
                    <w:snapToGrid w:val="0"/>
                    <w:jc w:val="center"/>
                    <w:rPr>
                      <w:rFonts w:eastAsiaTheme="minorEastAsia"/>
                      <w:color w:val="auto"/>
                      <w:sz w:val="21"/>
                      <w:szCs w:val="21"/>
                    </w:rPr>
                  </w:pPr>
                  <w:r>
                    <w:rPr>
                      <w:rFonts w:hAnsiTheme="minorEastAsia" w:eastAsiaTheme="minorEastAsia"/>
                      <w:color w:val="auto"/>
                      <w:sz w:val="21"/>
                      <w:szCs w:val="21"/>
                    </w:rPr>
                    <w:t>大气、地表水、土壤、地下水</w:t>
                  </w:r>
                </w:p>
              </w:tc>
              <w:tc>
                <w:tcPr>
                  <w:tcW w:w="1066" w:type="pct"/>
                  <w:tcBorders>
                    <w:bottom w:val="single" w:color="000000" w:sz="12" w:space="0"/>
                  </w:tcBorders>
                  <w:vAlign w:val="center"/>
                </w:tcPr>
                <w:p w14:paraId="24067705">
                  <w:pPr>
                    <w:adjustRightInd w:val="0"/>
                    <w:snapToGrid w:val="0"/>
                    <w:jc w:val="center"/>
                    <w:rPr>
                      <w:rFonts w:eastAsiaTheme="minorEastAsia"/>
                      <w:color w:val="auto"/>
                      <w:sz w:val="21"/>
                      <w:szCs w:val="21"/>
                    </w:rPr>
                  </w:pPr>
                  <w:r>
                    <w:rPr>
                      <w:rFonts w:hAnsiTheme="minorEastAsia" w:eastAsiaTheme="minorEastAsia"/>
                      <w:color w:val="auto"/>
                      <w:sz w:val="21"/>
                      <w:szCs w:val="21"/>
                    </w:rPr>
                    <w:t>居民区、土壤及地下水、附近水体</w:t>
                  </w:r>
                </w:p>
              </w:tc>
            </w:tr>
          </w:tbl>
          <w:p w14:paraId="5BB97CE6">
            <w:pPr>
              <w:widowControl/>
              <w:autoSpaceDE w:val="0"/>
              <w:autoSpaceDN w:val="0"/>
              <w:adjustRightInd w:val="0"/>
              <w:snapToGrid w:val="0"/>
              <w:spacing w:before="120" w:beforeLines="50" w:line="360" w:lineRule="auto"/>
              <w:ind w:firstLine="482" w:firstLineChars="200"/>
              <w:jc w:val="left"/>
              <w:rPr>
                <w:b/>
                <w:color w:val="auto"/>
                <w:kern w:val="0"/>
                <w:sz w:val="24"/>
              </w:rPr>
            </w:pPr>
            <w:r>
              <w:rPr>
                <w:b/>
                <w:color w:val="auto"/>
                <w:kern w:val="0"/>
                <w:sz w:val="24"/>
              </w:rPr>
              <w:t>7.3</w:t>
            </w:r>
            <w:r>
              <w:rPr>
                <w:rFonts w:hAnsi="宋体"/>
                <w:b/>
                <w:color w:val="auto"/>
                <w:kern w:val="0"/>
                <w:sz w:val="24"/>
              </w:rPr>
              <w:t>环境风险防范措施</w:t>
            </w:r>
          </w:p>
          <w:p w14:paraId="5422E80C">
            <w:pPr>
              <w:spacing w:line="360" w:lineRule="auto"/>
              <w:ind w:firstLine="480" w:firstLineChars="200"/>
              <w:rPr>
                <w:color w:val="auto"/>
                <w:sz w:val="24"/>
              </w:rPr>
            </w:pPr>
            <w:r>
              <w:rPr>
                <w:color w:val="auto"/>
                <w:sz w:val="24"/>
              </w:rPr>
              <w:t>（1）企业依托</w:t>
            </w:r>
            <w:r>
              <w:rPr>
                <w:rFonts w:hint="eastAsia"/>
                <w:color w:val="auto"/>
                <w:sz w:val="24"/>
                <w:lang w:eastAsia="zh-CN"/>
              </w:rPr>
              <w:t>厂</w:t>
            </w:r>
            <w:r>
              <w:rPr>
                <w:color w:val="auto"/>
                <w:sz w:val="24"/>
              </w:rPr>
              <w:t>区设置与生产、储存、运输的物料和操作条件相适应的消防设施，供专职消防人员和岗位操作人员使用；厂区内</w:t>
            </w:r>
            <w:r>
              <w:rPr>
                <w:rFonts w:hint="eastAsia"/>
                <w:color w:val="auto"/>
                <w:sz w:val="24"/>
                <w:lang w:eastAsia="zh-CN"/>
              </w:rPr>
              <w:t>已</w:t>
            </w:r>
            <w:r>
              <w:rPr>
                <w:color w:val="auto"/>
                <w:sz w:val="24"/>
              </w:rPr>
              <w:t>设置</w:t>
            </w:r>
            <w:r>
              <w:rPr>
                <w:rFonts w:hint="eastAsia"/>
                <w:color w:val="auto"/>
                <w:sz w:val="24"/>
                <w:lang w:val="en-US" w:eastAsia="zh-CN"/>
              </w:rPr>
              <w:t>513</w:t>
            </w:r>
            <w:r>
              <w:rPr>
                <w:color w:val="auto"/>
                <w:sz w:val="24"/>
              </w:rPr>
              <w:t>m</w:t>
            </w:r>
            <w:r>
              <w:rPr>
                <w:color w:val="auto"/>
                <w:sz w:val="24"/>
                <w:vertAlign w:val="superscript"/>
              </w:rPr>
              <w:t>3</w:t>
            </w:r>
            <w:r>
              <w:rPr>
                <w:color w:val="auto"/>
                <w:sz w:val="24"/>
              </w:rPr>
              <w:t>的应急事故池。</w:t>
            </w:r>
          </w:p>
          <w:p w14:paraId="0CFD9E59">
            <w:pPr>
              <w:spacing w:line="360" w:lineRule="auto"/>
              <w:ind w:firstLine="480" w:firstLineChars="200"/>
              <w:rPr>
                <w:color w:val="auto"/>
                <w:sz w:val="24"/>
              </w:rPr>
            </w:pPr>
            <w:r>
              <w:rPr>
                <w:color w:val="auto"/>
                <w:sz w:val="24"/>
              </w:rPr>
              <w:t>（2）设立安全与环保专员，负责全厂的安全运营，建立完善的安全生产管理制度，加强安全生产的宣传和教育，确保安全生产落实到生产中的每一个环节，禁止职工人员在车间内吸烟等。</w:t>
            </w:r>
          </w:p>
          <w:p w14:paraId="3E566120">
            <w:pPr>
              <w:spacing w:line="360" w:lineRule="auto"/>
              <w:ind w:firstLine="480" w:firstLineChars="200"/>
              <w:rPr>
                <w:color w:val="auto"/>
                <w:sz w:val="24"/>
              </w:rPr>
            </w:pPr>
            <w:r>
              <w:rPr>
                <w:color w:val="auto"/>
                <w:sz w:val="24"/>
              </w:rPr>
              <w:t>（3）严格按照《建筑设计防火规范》合理布置总图，各生产和辅助装置按功能分别布置，并充分考虑消防和疏散通道等问题，消防隔离带及消防通道要求参照消防有关要求建设、布置，消防通道和建筑物耐火等级应满足消防要求，在危险物品存放区设立警告牌（严禁烟火）。</w:t>
            </w:r>
          </w:p>
          <w:p w14:paraId="0FCAAFD8">
            <w:pPr>
              <w:spacing w:line="360" w:lineRule="auto"/>
              <w:ind w:firstLine="480" w:firstLineChars="200"/>
              <w:rPr>
                <w:color w:val="auto"/>
                <w:sz w:val="24"/>
              </w:rPr>
            </w:pPr>
            <w:r>
              <w:rPr>
                <w:color w:val="auto"/>
                <w:sz w:val="24"/>
              </w:rPr>
              <w:t>（4）本项目生产区等火灾危险场所设置火灾自动报警系统和火灾电话报警。火灾自动报警系统设计符合现行国家标准《火灾自动报警系统设计规范》GB50116的规定。</w:t>
            </w:r>
          </w:p>
          <w:p w14:paraId="50AFB5CE">
            <w:pPr>
              <w:spacing w:line="360" w:lineRule="auto"/>
              <w:ind w:firstLine="480" w:firstLineChars="200"/>
              <w:rPr>
                <w:rFonts w:hint="eastAsia"/>
                <w:color w:val="auto"/>
                <w:sz w:val="24"/>
                <w:lang w:eastAsia="zh-CN"/>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）次氯酸钠泄漏应急措施</w:t>
            </w:r>
          </w:p>
          <w:p w14:paraId="3A2BEA66">
            <w:pPr>
              <w:spacing w:line="360" w:lineRule="auto"/>
              <w:ind w:firstLine="480" w:firstLineChars="200"/>
              <w:rPr>
                <w:color w:val="auto"/>
                <w:sz w:val="24"/>
              </w:rPr>
            </w:pPr>
            <w:r>
              <w:rPr>
                <w:rFonts w:hint="eastAsia"/>
                <w:color w:val="auto"/>
                <w:sz w:val="24"/>
                <w:lang w:eastAsia="zh-CN"/>
              </w:rPr>
              <w:t>一、</w:t>
            </w:r>
            <w:r>
              <w:rPr>
                <w:rFonts w:hint="default"/>
                <w:color w:val="auto"/>
                <w:sz w:val="24"/>
              </w:rPr>
              <w:t>立即响应与个人防护</w:t>
            </w:r>
          </w:p>
          <w:p w14:paraId="39398694">
            <w:pPr>
              <w:spacing w:line="360" w:lineRule="auto"/>
              <w:ind w:firstLine="480" w:firstLineChars="200"/>
              <w:rPr>
                <w:color w:val="auto"/>
                <w:sz w:val="24"/>
              </w:rPr>
            </w:pPr>
            <w:r>
              <w:rPr>
                <w:rFonts w:hint="default"/>
                <w:color w:val="auto"/>
                <w:sz w:val="24"/>
              </w:rPr>
              <w:t>报警与疏散：立即向现场负责人报告，并根据应急预案启动警报。疏散泄漏污染区人员至安全区域，特别是上风向区域。设置警戒线，限制无关人员进入。</w:t>
            </w:r>
          </w:p>
          <w:p w14:paraId="123138F1">
            <w:pPr>
              <w:spacing w:line="360" w:lineRule="auto"/>
              <w:ind w:firstLine="480" w:firstLineChars="200"/>
              <w:rPr>
                <w:color w:val="auto"/>
                <w:sz w:val="24"/>
              </w:rPr>
            </w:pPr>
            <w:r>
              <w:rPr>
                <w:rFonts w:hint="default"/>
                <w:color w:val="auto"/>
                <w:sz w:val="24"/>
              </w:rPr>
              <w:t>个人防护（PPE）：处置人员必须佩戴齐全的个人防护装备：</w:t>
            </w:r>
          </w:p>
          <w:p w14:paraId="49AFBF52">
            <w:pPr>
              <w:spacing w:line="360" w:lineRule="auto"/>
              <w:ind w:firstLine="480" w:firstLineChars="200"/>
              <w:rPr>
                <w:color w:val="auto"/>
                <w:sz w:val="24"/>
              </w:rPr>
            </w:pPr>
            <w:r>
              <w:rPr>
                <w:rFonts w:hint="default"/>
                <w:color w:val="auto"/>
                <w:sz w:val="24"/>
              </w:rPr>
              <w:t>呼吸系统：对于小泄漏，可使用防毒面具（配备适合酸性气体和颗粒物的滤毒罐）。对于大泄漏或高浓度蒸气环境，必须使用正压自给式空气呼吸器。</w:t>
            </w:r>
          </w:p>
          <w:p w14:paraId="28521390">
            <w:pPr>
              <w:spacing w:line="360" w:lineRule="auto"/>
              <w:ind w:firstLine="480" w:firstLineChars="200"/>
              <w:rPr>
                <w:color w:val="auto"/>
                <w:sz w:val="24"/>
              </w:rPr>
            </w:pPr>
            <w:r>
              <w:rPr>
                <w:rFonts w:hint="default"/>
                <w:color w:val="auto"/>
                <w:sz w:val="24"/>
              </w:rPr>
              <w:t>身体：穿防酸碱服（橡胶或PVC材质）、戴橡胶耐酸碱手套、穿橡胶耐酸碱靴。</w:t>
            </w:r>
          </w:p>
          <w:p w14:paraId="62EE6248">
            <w:pPr>
              <w:spacing w:line="360" w:lineRule="auto"/>
              <w:ind w:firstLine="480" w:firstLineChars="200"/>
              <w:rPr>
                <w:color w:val="auto"/>
                <w:sz w:val="24"/>
              </w:rPr>
            </w:pPr>
            <w:r>
              <w:rPr>
                <w:rFonts w:hint="default"/>
                <w:color w:val="auto"/>
                <w:sz w:val="24"/>
              </w:rPr>
              <w:t>眼睛：佩戴化学防溅护目镜或全面罩。</w:t>
            </w:r>
          </w:p>
          <w:p w14:paraId="07536E06">
            <w:pPr>
              <w:spacing w:line="360" w:lineRule="auto"/>
              <w:ind w:firstLine="480" w:firstLineChars="200"/>
              <w:rPr>
                <w:rFonts w:hint="default"/>
                <w:color w:val="auto"/>
                <w:sz w:val="24"/>
              </w:rPr>
            </w:pPr>
            <w:r>
              <w:rPr>
                <w:rFonts w:hint="default"/>
                <w:color w:val="auto"/>
                <w:sz w:val="24"/>
              </w:rPr>
              <w:t>二、泄漏应急处理步骤</w:t>
            </w:r>
          </w:p>
          <w:p w14:paraId="6E6C65B2">
            <w:pPr>
              <w:spacing w:line="360" w:lineRule="auto"/>
              <w:ind w:firstLine="480" w:firstLineChars="200"/>
              <w:rPr>
                <w:rFonts w:hint="default"/>
                <w:color w:val="auto"/>
                <w:sz w:val="24"/>
              </w:rPr>
            </w:pPr>
            <w:r>
              <w:rPr>
                <w:rFonts w:hint="default"/>
                <w:color w:val="auto"/>
                <w:sz w:val="24"/>
              </w:rPr>
              <w:t>A.小规模泄漏（例如：几升到几十升）</w:t>
            </w:r>
          </w:p>
          <w:p w14:paraId="63206185">
            <w:pPr>
              <w:spacing w:line="360" w:lineRule="auto"/>
              <w:ind w:firstLine="480" w:firstLineChars="200"/>
              <w:rPr>
                <w:color w:val="auto"/>
                <w:sz w:val="24"/>
              </w:rPr>
            </w:pPr>
            <w:r>
              <w:rPr>
                <w:rFonts w:hint="default"/>
                <w:color w:val="auto"/>
                <w:sz w:val="24"/>
              </w:rPr>
              <w:t>切断源：如果可能，在不冒险的情况下切断泄漏源（如关闭阀门、堵漏）。</w:t>
            </w:r>
          </w:p>
          <w:p w14:paraId="6BE66576">
            <w:pPr>
              <w:spacing w:line="360" w:lineRule="auto"/>
              <w:ind w:firstLine="480" w:firstLineChars="200"/>
              <w:rPr>
                <w:color w:val="auto"/>
                <w:sz w:val="24"/>
              </w:rPr>
            </w:pPr>
            <w:r>
              <w:rPr>
                <w:rFonts w:hint="default"/>
                <w:color w:val="auto"/>
                <w:sz w:val="24"/>
              </w:rPr>
              <w:t>吸收和中和：</w:t>
            </w:r>
          </w:p>
          <w:p w14:paraId="377E2887">
            <w:pPr>
              <w:spacing w:line="360" w:lineRule="auto"/>
              <w:ind w:firstLine="480" w:firstLineChars="200"/>
              <w:rPr>
                <w:color w:val="auto"/>
                <w:sz w:val="24"/>
              </w:rPr>
            </w:pPr>
            <w:r>
              <w:rPr>
                <w:rFonts w:hint="default"/>
                <w:color w:val="auto"/>
                <w:sz w:val="24"/>
              </w:rPr>
              <w:t>切勿使用可燃物质（如锯末） 作为吸收物。</w:t>
            </w:r>
          </w:p>
          <w:p w14:paraId="6756BCB5">
            <w:pPr>
              <w:spacing w:line="360" w:lineRule="auto"/>
              <w:ind w:firstLine="480" w:firstLineChars="200"/>
              <w:rPr>
                <w:color w:val="auto"/>
                <w:sz w:val="24"/>
              </w:rPr>
            </w:pPr>
            <w:r>
              <w:rPr>
                <w:rFonts w:hint="default"/>
                <w:color w:val="auto"/>
                <w:sz w:val="24"/>
              </w:rPr>
              <w:t>使用惰性吸附材料（如沙子、泥土、硅藻土、蛭石）或专用吸酸棉 覆盖并吸收泄漏物。</w:t>
            </w:r>
          </w:p>
          <w:p w14:paraId="7C56AC9B">
            <w:pPr>
              <w:spacing w:line="360" w:lineRule="auto"/>
              <w:ind w:firstLine="480" w:firstLineChars="200"/>
              <w:rPr>
                <w:color w:val="auto"/>
                <w:sz w:val="24"/>
              </w:rPr>
            </w:pPr>
            <w:r>
              <w:rPr>
                <w:rFonts w:hint="default"/>
                <w:color w:val="auto"/>
                <w:sz w:val="24"/>
              </w:rPr>
              <w:t>中和处理（推荐）：在吸附材料上或吸收后，缓慢撒上碳酸钠（纯碱）或硫代硫酸钠进行中和。中和会产生热量和少量气体，需缓慢操作并保持通风。也可用大量水稀释：但对于小泄漏，中和比稀释更安全环保。</w:t>
            </w:r>
          </w:p>
          <w:p w14:paraId="4A6987AD">
            <w:pPr>
              <w:spacing w:line="360" w:lineRule="auto"/>
              <w:ind w:firstLine="480" w:firstLineChars="200"/>
              <w:rPr>
                <w:color w:val="auto"/>
                <w:sz w:val="24"/>
              </w:rPr>
            </w:pPr>
            <w:r>
              <w:rPr>
                <w:rFonts w:hint="default"/>
                <w:color w:val="auto"/>
                <w:sz w:val="24"/>
              </w:rPr>
              <w:t>收集清理：将吸附后的物质小心扫起或铲入防泄漏容器（如塑料桶）中。</w:t>
            </w:r>
          </w:p>
          <w:p w14:paraId="55E44263">
            <w:pPr>
              <w:spacing w:line="360" w:lineRule="auto"/>
              <w:ind w:firstLine="480" w:firstLineChars="200"/>
              <w:rPr>
                <w:color w:val="auto"/>
                <w:sz w:val="24"/>
              </w:rPr>
            </w:pPr>
            <w:r>
              <w:rPr>
                <w:rFonts w:hint="default"/>
                <w:color w:val="auto"/>
                <w:sz w:val="24"/>
              </w:rPr>
              <w:t>冲洗：用大量水冲洗泄漏区域，冲洗水应纳入废水处理系统。</w:t>
            </w:r>
          </w:p>
          <w:p w14:paraId="6B3ACF7A">
            <w:pPr>
              <w:spacing w:line="360" w:lineRule="auto"/>
              <w:ind w:firstLine="480" w:firstLineChars="200"/>
              <w:rPr>
                <w:rFonts w:hint="default"/>
                <w:color w:val="auto"/>
                <w:sz w:val="24"/>
              </w:rPr>
            </w:pPr>
            <w:r>
              <w:rPr>
                <w:rFonts w:hint="default"/>
                <w:color w:val="auto"/>
                <w:sz w:val="24"/>
              </w:rPr>
              <w:t>B.大规模泄漏（例如：桶装、罐体泄漏）</w:t>
            </w:r>
          </w:p>
          <w:p w14:paraId="6A36D94B">
            <w:pPr>
              <w:spacing w:line="360" w:lineRule="auto"/>
              <w:ind w:firstLine="480" w:firstLineChars="200"/>
              <w:rPr>
                <w:color w:val="auto"/>
                <w:sz w:val="24"/>
              </w:rPr>
            </w:pPr>
            <w:r>
              <w:rPr>
                <w:rFonts w:hint="default"/>
                <w:color w:val="auto"/>
                <w:sz w:val="24"/>
              </w:rPr>
              <w:t>专业处置：立即联系消防和环保等专业应急部门，切勿擅自处理。</w:t>
            </w:r>
          </w:p>
          <w:p w14:paraId="2A34FEEF">
            <w:pPr>
              <w:spacing w:line="360" w:lineRule="auto"/>
              <w:ind w:firstLine="480" w:firstLineChars="200"/>
              <w:rPr>
                <w:color w:val="auto"/>
                <w:sz w:val="24"/>
              </w:rPr>
            </w:pPr>
            <w:r>
              <w:rPr>
                <w:rFonts w:hint="default"/>
                <w:color w:val="auto"/>
                <w:sz w:val="24"/>
              </w:rPr>
              <w:t>筑堤围堵：在泄漏点下游用沙土或其他惰性材料筑堤，防止泄漏物扩散，特别是防止流入下水道、排水沟或任何水体。</w:t>
            </w:r>
          </w:p>
          <w:p w14:paraId="34D2927E">
            <w:pPr>
              <w:spacing w:line="360" w:lineRule="auto"/>
              <w:ind w:firstLine="480" w:firstLineChars="200"/>
              <w:rPr>
                <w:color w:val="auto"/>
                <w:sz w:val="24"/>
              </w:rPr>
            </w:pPr>
            <w:r>
              <w:rPr>
                <w:rFonts w:hint="default"/>
                <w:color w:val="auto"/>
                <w:sz w:val="24"/>
              </w:rPr>
              <w:t>稀释：在专业人员指导下，用雾状水（避免直流水，防止飞溅）稀释溶解蒸气，并降低其浓度。但要注意防止冲洗水造成二次污染。</w:t>
            </w:r>
          </w:p>
          <w:p w14:paraId="03A8D7C5">
            <w:pPr>
              <w:spacing w:line="360" w:lineRule="auto"/>
              <w:ind w:firstLine="480" w:firstLineChars="200"/>
              <w:rPr>
                <w:color w:val="auto"/>
                <w:sz w:val="24"/>
              </w:rPr>
            </w:pPr>
            <w:r>
              <w:rPr>
                <w:rFonts w:hint="default"/>
                <w:color w:val="auto"/>
                <w:sz w:val="24"/>
              </w:rPr>
              <w:t>转移：如果安全可行，将泄漏容器移至安全区域。</w:t>
            </w:r>
          </w:p>
          <w:p w14:paraId="1625DAE5">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8.</w:t>
            </w:r>
            <w:r>
              <w:rPr>
                <w:rFonts w:hAnsi="宋体"/>
                <w:b/>
                <w:color w:val="auto"/>
                <w:kern w:val="0"/>
                <w:sz w:val="24"/>
              </w:rPr>
              <w:t>电磁辐射</w:t>
            </w:r>
          </w:p>
          <w:p w14:paraId="351DA556">
            <w:pPr>
              <w:widowControl/>
              <w:autoSpaceDE w:val="0"/>
              <w:autoSpaceDN w:val="0"/>
              <w:adjustRightInd w:val="0"/>
              <w:snapToGrid w:val="0"/>
              <w:spacing w:line="360" w:lineRule="auto"/>
              <w:ind w:firstLine="480" w:firstLineChars="200"/>
              <w:jc w:val="left"/>
              <w:rPr>
                <w:color w:val="auto"/>
                <w:kern w:val="0"/>
                <w:sz w:val="24"/>
              </w:rPr>
            </w:pPr>
            <w:r>
              <w:rPr>
                <w:rFonts w:hint="eastAsia" w:hAnsi="宋体"/>
                <w:color w:val="auto"/>
                <w:kern w:val="0"/>
                <w:sz w:val="24"/>
                <w:lang w:eastAsia="zh-CN"/>
              </w:rPr>
              <w:t>技改</w:t>
            </w:r>
            <w:r>
              <w:rPr>
                <w:rFonts w:hAnsi="宋体"/>
                <w:color w:val="auto"/>
                <w:kern w:val="0"/>
                <w:sz w:val="24"/>
              </w:rPr>
              <w:t>项目不涉及电磁辐射环境影响。</w:t>
            </w:r>
          </w:p>
        </w:tc>
      </w:tr>
    </w:tbl>
    <w:p w14:paraId="34D062B4">
      <w:pPr>
        <w:widowControl/>
        <w:jc w:val="left"/>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04901F43">
      <w:pPr>
        <w:pStyle w:val="29"/>
        <w:spacing w:before="0" w:beforeAutospacing="0" w:after="0" w:afterAutospacing="0"/>
        <w:jc w:val="both"/>
        <w:outlineLvl w:val="0"/>
        <w:rPr>
          <w:rFonts w:ascii="Times New Roman" w:hAnsi="Times New Roman"/>
          <w:b/>
          <w:snapToGrid w:val="0"/>
          <w:color w:val="auto"/>
          <w:sz w:val="30"/>
          <w:szCs w:val="30"/>
        </w:rPr>
      </w:pPr>
      <w:r>
        <w:rPr>
          <w:rFonts w:hint="eastAsia" w:ascii="Times New Roman"/>
          <w:b/>
          <w:snapToGrid w:val="0"/>
          <w:color w:val="auto"/>
          <w:sz w:val="30"/>
          <w:szCs w:val="30"/>
          <w:lang w:val="en-US" w:eastAsia="zh-CN"/>
        </w:rPr>
        <w:t xml:space="preserve"> </w:t>
      </w:r>
      <w:bookmarkStart w:id="47" w:name="_Toc2191"/>
      <w:r>
        <w:rPr>
          <w:rFonts w:ascii="Times New Roman"/>
          <w:b/>
          <w:snapToGrid w:val="0"/>
          <w:color w:val="auto"/>
          <w:sz w:val="30"/>
          <w:szCs w:val="30"/>
        </w:rPr>
        <w:t>五、</w:t>
      </w:r>
      <w:bookmarkStart w:id="48" w:name="_Hlk54167917"/>
      <w:r>
        <w:rPr>
          <w:rFonts w:ascii="Times New Roman"/>
          <w:b/>
          <w:snapToGrid w:val="0"/>
          <w:color w:val="auto"/>
          <w:sz w:val="30"/>
          <w:szCs w:val="30"/>
        </w:rPr>
        <w:t>环境保护措施监督检查清单</w:t>
      </w:r>
      <w:bookmarkEnd w:id="47"/>
      <w:bookmarkEnd w:id="48"/>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41"/>
        <w:gridCol w:w="1146"/>
        <w:gridCol w:w="1803"/>
        <w:gridCol w:w="1449"/>
        <w:gridCol w:w="3407"/>
      </w:tblGrid>
      <w:tr w14:paraId="12E7A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tcBorders>
              <w:tl2br w:val="single" w:color="auto" w:sz="4" w:space="0"/>
            </w:tcBorders>
          </w:tcPr>
          <w:p w14:paraId="5A6A0DE4">
            <w:pPr>
              <w:adjustRightInd w:val="0"/>
              <w:snapToGrid w:val="0"/>
              <w:ind w:firstLine="708" w:firstLineChars="294"/>
              <w:rPr>
                <w:rFonts w:eastAsiaTheme="minorEastAsia"/>
                <w:b/>
                <w:color w:val="auto"/>
                <w:sz w:val="24"/>
                <w:szCs w:val="24"/>
              </w:rPr>
            </w:pPr>
            <w:r>
              <w:rPr>
                <w:rFonts w:hAnsiTheme="minorEastAsia" w:eastAsiaTheme="minorEastAsia"/>
                <w:b/>
                <w:color w:val="auto"/>
                <w:sz w:val="24"/>
                <w:szCs w:val="24"/>
              </w:rPr>
              <w:t>内容</w:t>
            </w:r>
          </w:p>
          <w:p w14:paraId="37EFBA53">
            <w:pPr>
              <w:adjustRightInd w:val="0"/>
              <w:snapToGrid w:val="0"/>
              <w:ind w:firstLine="118" w:firstLineChars="49"/>
              <w:rPr>
                <w:rFonts w:eastAsiaTheme="minorEastAsia"/>
                <w:b/>
                <w:color w:val="auto"/>
                <w:sz w:val="24"/>
                <w:szCs w:val="24"/>
              </w:rPr>
            </w:pPr>
            <w:r>
              <w:rPr>
                <w:rFonts w:hAnsiTheme="minorEastAsia" w:eastAsiaTheme="minorEastAsia"/>
                <w:b/>
                <w:color w:val="auto"/>
                <w:sz w:val="24"/>
                <w:szCs w:val="24"/>
              </w:rPr>
              <w:t>要素</w:t>
            </w:r>
          </w:p>
        </w:tc>
        <w:tc>
          <w:tcPr>
            <w:tcW w:w="1146" w:type="dxa"/>
            <w:vAlign w:val="center"/>
          </w:tcPr>
          <w:p w14:paraId="6CACB3EA">
            <w:pPr>
              <w:adjustRightInd w:val="0"/>
              <w:snapToGrid w:val="0"/>
              <w:jc w:val="center"/>
              <w:rPr>
                <w:rFonts w:eastAsiaTheme="minorEastAsia"/>
                <w:b/>
                <w:color w:val="auto"/>
                <w:sz w:val="24"/>
                <w:szCs w:val="24"/>
              </w:rPr>
            </w:pPr>
            <w:r>
              <w:rPr>
                <w:rFonts w:hAnsiTheme="minorEastAsia" w:eastAsiaTheme="minorEastAsia"/>
                <w:b/>
                <w:color w:val="auto"/>
                <w:sz w:val="24"/>
                <w:szCs w:val="24"/>
              </w:rPr>
              <w:t>排放口</w:t>
            </w:r>
            <w:r>
              <w:rPr>
                <w:rFonts w:hint="eastAsia" w:hAnsiTheme="minorEastAsia" w:eastAsiaTheme="minorEastAsia"/>
                <w:b/>
                <w:color w:val="auto"/>
                <w:sz w:val="24"/>
                <w:szCs w:val="24"/>
                <w:lang w:eastAsia="zh-CN"/>
              </w:rPr>
              <w:t>（</w:t>
            </w:r>
            <w:r>
              <w:rPr>
                <w:rFonts w:hAnsiTheme="minorEastAsia" w:eastAsiaTheme="minorEastAsia"/>
                <w:b/>
                <w:color w:val="auto"/>
                <w:sz w:val="24"/>
                <w:szCs w:val="24"/>
              </w:rPr>
              <w:t>编号、名称</w:t>
            </w:r>
            <w:r>
              <w:rPr>
                <w:rFonts w:hint="eastAsia" w:hAnsiTheme="minorEastAsia" w:eastAsiaTheme="minorEastAsia"/>
                <w:b/>
                <w:color w:val="auto"/>
                <w:sz w:val="24"/>
                <w:szCs w:val="24"/>
                <w:lang w:eastAsia="zh-CN"/>
              </w:rPr>
              <w:t>）</w:t>
            </w:r>
            <w:r>
              <w:rPr>
                <w:rFonts w:eastAsiaTheme="minorEastAsia"/>
                <w:b/>
                <w:color w:val="auto"/>
                <w:sz w:val="24"/>
                <w:szCs w:val="24"/>
              </w:rPr>
              <w:t>/</w:t>
            </w:r>
            <w:r>
              <w:rPr>
                <w:rFonts w:hAnsiTheme="minorEastAsia" w:eastAsiaTheme="minorEastAsia"/>
                <w:b/>
                <w:color w:val="auto"/>
                <w:sz w:val="24"/>
                <w:szCs w:val="24"/>
              </w:rPr>
              <w:t>污染源</w:t>
            </w:r>
          </w:p>
        </w:tc>
        <w:tc>
          <w:tcPr>
            <w:tcW w:w="1803" w:type="dxa"/>
            <w:vAlign w:val="center"/>
          </w:tcPr>
          <w:p w14:paraId="52429127">
            <w:pPr>
              <w:adjustRightInd w:val="0"/>
              <w:snapToGrid w:val="0"/>
              <w:jc w:val="center"/>
              <w:rPr>
                <w:rFonts w:eastAsiaTheme="minorEastAsia"/>
                <w:b/>
                <w:color w:val="auto"/>
                <w:sz w:val="24"/>
                <w:szCs w:val="24"/>
              </w:rPr>
            </w:pPr>
            <w:r>
              <w:rPr>
                <w:rFonts w:hAnsiTheme="minorEastAsia" w:eastAsiaTheme="minorEastAsia"/>
                <w:b/>
                <w:color w:val="auto"/>
                <w:sz w:val="24"/>
                <w:szCs w:val="24"/>
              </w:rPr>
              <w:t>污染物项目</w:t>
            </w:r>
          </w:p>
        </w:tc>
        <w:tc>
          <w:tcPr>
            <w:tcW w:w="1449" w:type="dxa"/>
            <w:vAlign w:val="center"/>
          </w:tcPr>
          <w:p w14:paraId="4C348AE1">
            <w:pPr>
              <w:adjustRightInd w:val="0"/>
              <w:snapToGrid w:val="0"/>
              <w:jc w:val="center"/>
              <w:rPr>
                <w:rFonts w:eastAsiaTheme="minorEastAsia"/>
                <w:b/>
                <w:color w:val="auto"/>
                <w:sz w:val="24"/>
                <w:szCs w:val="24"/>
              </w:rPr>
            </w:pPr>
            <w:r>
              <w:rPr>
                <w:rFonts w:hAnsiTheme="minorEastAsia" w:eastAsiaTheme="minorEastAsia"/>
                <w:b/>
                <w:color w:val="auto"/>
                <w:sz w:val="24"/>
                <w:szCs w:val="24"/>
              </w:rPr>
              <w:t>环境保护措施</w:t>
            </w:r>
          </w:p>
        </w:tc>
        <w:tc>
          <w:tcPr>
            <w:tcW w:w="3407" w:type="dxa"/>
            <w:vAlign w:val="center"/>
          </w:tcPr>
          <w:p w14:paraId="227A7B89">
            <w:pPr>
              <w:adjustRightInd w:val="0"/>
              <w:snapToGrid w:val="0"/>
              <w:jc w:val="center"/>
              <w:rPr>
                <w:rFonts w:eastAsiaTheme="minorEastAsia"/>
                <w:b/>
                <w:color w:val="auto"/>
                <w:sz w:val="24"/>
                <w:szCs w:val="24"/>
              </w:rPr>
            </w:pPr>
            <w:r>
              <w:rPr>
                <w:rFonts w:hAnsiTheme="minorEastAsia" w:eastAsiaTheme="minorEastAsia"/>
                <w:b/>
                <w:color w:val="auto"/>
                <w:sz w:val="24"/>
                <w:szCs w:val="24"/>
              </w:rPr>
              <w:t>执行标准</w:t>
            </w:r>
          </w:p>
        </w:tc>
      </w:tr>
      <w:tr w14:paraId="02322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028F9C7D">
            <w:pPr>
              <w:adjustRightInd w:val="0"/>
              <w:snapToGrid w:val="0"/>
              <w:jc w:val="center"/>
              <w:rPr>
                <w:rFonts w:eastAsiaTheme="minorEastAsia"/>
                <w:b/>
                <w:color w:val="auto"/>
                <w:sz w:val="24"/>
                <w:szCs w:val="24"/>
              </w:rPr>
            </w:pPr>
            <w:r>
              <w:rPr>
                <w:rFonts w:hAnsiTheme="minorEastAsia" w:eastAsiaTheme="minorEastAsia"/>
                <w:b/>
                <w:color w:val="auto"/>
                <w:sz w:val="24"/>
                <w:szCs w:val="24"/>
              </w:rPr>
              <w:t>大气环境</w:t>
            </w:r>
          </w:p>
        </w:tc>
        <w:tc>
          <w:tcPr>
            <w:tcW w:w="1146" w:type="dxa"/>
            <w:shd w:val="clear" w:color="auto" w:fill="auto"/>
            <w:vAlign w:val="center"/>
          </w:tcPr>
          <w:p w14:paraId="657C3DD2">
            <w:pPr>
              <w:adjustRightInd w:val="0"/>
              <w:snapToGrid w:val="0"/>
              <w:jc w:val="center"/>
              <w:rPr>
                <w:rFonts w:hint="default" w:ascii="Times New Roman" w:cs="Times New Roman" w:hAnsiTheme="minorEastAsia" w:eastAsiaTheme="minorEastAsia"/>
                <w:color w:val="auto"/>
                <w:kern w:val="2"/>
                <w:sz w:val="24"/>
                <w:szCs w:val="24"/>
                <w:lang w:val="en-US" w:eastAsia="zh-CN" w:bidi="ar-SA"/>
              </w:rPr>
            </w:pPr>
            <w:r>
              <w:rPr>
                <w:rFonts w:hint="eastAsia" w:cs="Times New Roman" w:hAnsiTheme="minorEastAsia" w:eastAsiaTheme="minorEastAsia"/>
                <w:color w:val="auto"/>
                <w:kern w:val="2"/>
                <w:sz w:val="24"/>
                <w:szCs w:val="24"/>
                <w:lang w:val="en-US" w:eastAsia="zh-CN" w:bidi="ar-SA"/>
              </w:rPr>
              <w:t>/</w:t>
            </w:r>
          </w:p>
        </w:tc>
        <w:tc>
          <w:tcPr>
            <w:tcW w:w="1803" w:type="dxa"/>
            <w:shd w:val="clear" w:color="auto" w:fill="auto"/>
            <w:vAlign w:val="center"/>
          </w:tcPr>
          <w:p w14:paraId="0AC56E09">
            <w:pPr>
              <w:adjustRightInd w:val="0"/>
              <w:snapToGrid w:val="0"/>
              <w:jc w:val="center"/>
              <w:rPr>
                <w:rFonts w:hint="eastAsia" w:ascii="Times New Roman" w:cs="Times New Roman" w:hAnsiTheme="minorEastAsia" w:eastAsiaTheme="minorEastAsia"/>
                <w:color w:val="auto"/>
                <w:kern w:val="2"/>
                <w:sz w:val="24"/>
                <w:szCs w:val="24"/>
                <w:lang w:val="en-US" w:eastAsia="zh-CN" w:bidi="ar-SA"/>
              </w:rPr>
            </w:pPr>
            <w:r>
              <w:rPr>
                <w:rFonts w:hint="eastAsia" w:eastAsiaTheme="minorEastAsia"/>
                <w:color w:val="auto"/>
                <w:sz w:val="24"/>
                <w:szCs w:val="24"/>
                <w:lang w:val="en-US" w:eastAsia="zh-CN"/>
              </w:rPr>
              <w:t>/</w:t>
            </w:r>
          </w:p>
        </w:tc>
        <w:tc>
          <w:tcPr>
            <w:tcW w:w="1449" w:type="dxa"/>
            <w:shd w:val="clear" w:color="auto" w:fill="auto"/>
            <w:vAlign w:val="center"/>
          </w:tcPr>
          <w:p w14:paraId="7609676D">
            <w:pPr>
              <w:adjustRightInd w:val="0"/>
              <w:snapToGrid w:val="0"/>
              <w:jc w:val="center"/>
              <w:rPr>
                <w:rFonts w:hint="eastAsia" w:ascii="Times New Roman" w:cs="Times New Roman" w:hAnsiTheme="minorEastAsia" w:eastAsiaTheme="minorEastAsia"/>
                <w:color w:val="auto"/>
                <w:kern w:val="2"/>
                <w:sz w:val="24"/>
                <w:szCs w:val="24"/>
                <w:lang w:val="en-US" w:eastAsia="zh-CN" w:bidi="ar-SA"/>
              </w:rPr>
            </w:pPr>
            <w:r>
              <w:rPr>
                <w:rFonts w:hint="eastAsia" w:hAnsiTheme="minorEastAsia" w:eastAsiaTheme="minorEastAsia"/>
                <w:color w:val="auto"/>
                <w:sz w:val="24"/>
                <w:szCs w:val="24"/>
                <w:lang w:val="en-US" w:eastAsia="zh-CN"/>
              </w:rPr>
              <w:t>/</w:t>
            </w:r>
          </w:p>
        </w:tc>
        <w:tc>
          <w:tcPr>
            <w:tcW w:w="3407" w:type="dxa"/>
            <w:shd w:val="clear" w:color="auto" w:fill="auto"/>
            <w:vAlign w:val="center"/>
          </w:tcPr>
          <w:p w14:paraId="2DF9BFF5">
            <w:pPr>
              <w:adjustRightInd w:val="0"/>
              <w:snapToGrid w:val="0"/>
              <w:jc w:val="center"/>
              <w:rPr>
                <w:rFonts w:hint="eastAsia" w:ascii="Times New Roman" w:cs="Times New Roman" w:hAnsiTheme="minorEastAsia" w:eastAsiaTheme="minorEastAsia"/>
                <w:color w:val="auto"/>
                <w:kern w:val="2"/>
                <w:sz w:val="24"/>
                <w:szCs w:val="24"/>
                <w:lang w:val="en-US" w:eastAsia="zh-CN" w:bidi="ar-SA"/>
              </w:rPr>
            </w:pPr>
            <w:r>
              <w:rPr>
                <w:rFonts w:hint="eastAsia" w:hAnsiTheme="minorEastAsia" w:eastAsiaTheme="minorEastAsia"/>
                <w:color w:val="auto"/>
                <w:sz w:val="24"/>
                <w:szCs w:val="24"/>
                <w:lang w:val="en-US" w:eastAsia="zh-CN"/>
              </w:rPr>
              <w:t>/</w:t>
            </w:r>
          </w:p>
        </w:tc>
      </w:tr>
      <w:tr w14:paraId="01A94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244B0913">
            <w:pPr>
              <w:adjustRightInd w:val="0"/>
              <w:snapToGrid w:val="0"/>
              <w:jc w:val="center"/>
              <w:rPr>
                <w:rFonts w:eastAsiaTheme="minorEastAsia"/>
                <w:b/>
                <w:color w:val="auto"/>
                <w:sz w:val="24"/>
                <w:szCs w:val="24"/>
              </w:rPr>
            </w:pPr>
            <w:r>
              <w:rPr>
                <w:rFonts w:hAnsiTheme="minorEastAsia" w:eastAsiaTheme="minorEastAsia"/>
                <w:b/>
                <w:color w:val="auto"/>
                <w:sz w:val="24"/>
                <w:szCs w:val="24"/>
              </w:rPr>
              <w:t>地表水环境</w:t>
            </w:r>
          </w:p>
        </w:tc>
        <w:tc>
          <w:tcPr>
            <w:tcW w:w="1146" w:type="dxa"/>
            <w:vAlign w:val="center"/>
          </w:tcPr>
          <w:p w14:paraId="316455A0">
            <w:pPr>
              <w:adjustRightInd w:val="0"/>
              <w:snapToGrid w:val="0"/>
              <w:jc w:val="center"/>
              <w:rPr>
                <w:rFonts w:eastAsiaTheme="minorEastAsia"/>
                <w:color w:val="auto"/>
                <w:sz w:val="24"/>
                <w:szCs w:val="24"/>
              </w:rPr>
            </w:pPr>
            <w:r>
              <w:rPr>
                <w:color w:val="auto"/>
                <w:sz w:val="24"/>
                <w:szCs w:val="24"/>
              </w:rPr>
              <w:t>综合废水排放口（DW001）</w:t>
            </w:r>
          </w:p>
        </w:tc>
        <w:tc>
          <w:tcPr>
            <w:tcW w:w="1803" w:type="dxa"/>
            <w:vAlign w:val="center"/>
          </w:tcPr>
          <w:p w14:paraId="1E1B9620">
            <w:pPr>
              <w:pStyle w:val="135"/>
              <w:rPr>
                <w:rFonts w:hint="eastAsia" w:eastAsia="宋体"/>
                <w:color w:val="auto"/>
                <w:sz w:val="24"/>
                <w:szCs w:val="24"/>
                <w:lang w:val="en-US" w:eastAsia="zh-CN"/>
              </w:rPr>
            </w:pPr>
            <w:r>
              <w:rPr>
                <w:rFonts w:ascii="Times New Roman" w:hAnsi="Times New Roman" w:eastAsia="宋体"/>
                <w:color w:val="auto"/>
                <w:sz w:val="24"/>
                <w:szCs w:val="24"/>
              </w:rPr>
              <w:t>pH</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COD</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B</w:t>
            </w:r>
            <w:r>
              <w:rPr>
                <w:rFonts w:ascii="Times New Roman" w:hAnsi="Times New Roman" w:eastAsia="宋体"/>
                <w:color w:val="auto"/>
                <w:sz w:val="24"/>
                <w:szCs w:val="24"/>
              </w:rPr>
              <w:t>OD</w:t>
            </w:r>
            <w:r>
              <w:rPr>
                <w:rFonts w:ascii="Times New Roman" w:hAnsi="Times New Roman" w:eastAsia="宋体"/>
                <w:color w:val="auto"/>
                <w:sz w:val="24"/>
                <w:szCs w:val="24"/>
                <w:vertAlign w:val="subscript"/>
              </w:rPr>
              <w:t>5</w:t>
            </w:r>
            <w:r>
              <w:rPr>
                <w:rFonts w:hint="eastAsia" w:ascii="Times New Roman" w:hAnsi="Times New Roman" w:eastAsia="宋体"/>
                <w:color w:val="auto"/>
                <w:sz w:val="24"/>
                <w:szCs w:val="24"/>
                <w:vertAlign w:val="baseline"/>
                <w:lang w:eastAsia="zh-CN"/>
              </w:rPr>
              <w:t>、</w:t>
            </w:r>
            <w:r>
              <w:rPr>
                <w:rFonts w:hint="eastAsia" w:ascii="Times New Roman" w:hAnsi="Times New Roman" w:eastAsia="宋体"/>
                <w:color w:val="auto"/>
                <w:sz w:val="24"/>
                <w:szCs w:val="24"/>
              </w:rPr>
              <w:t>S</w:t>
            </w:r>
            <w:r>
              <w:rPr>
                <w:rFonts w:ascii="Times New Roman" w:hAnsi="Times New Roman" w:eastAsia="宋体"/>
                <w:color w:val="auto"/>
                <w:sz w:val="24"/>
                <w:szCs w:val="24"/>
              </w:rPr>
              <w:t>S</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氨氮</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总氮</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总磷</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动植物油</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L</w:t>
            </w:r>
            <w:r>
              <w:rPr>
                <w:rFonts w:ascii="Times New Roman" w:hAnsi="Times New Roman" w:eastAsia="宋体"/>
                <w:color w:val="auto"/>
                <w:sz w:val="24"/>
                <w:szCs w:val="24"/>
              </w:rPr>
              <w:t>AS</w:t>
            </w:r>
            <w:r>
              <w:rPr>
                <w:rFonts w:hint="eastAsia" w:eastAsia="宋体"/>
                <w:color w:val="auto"/>
                <w:sz w:val="24"/>
                <w:szCs w:val="24"/>
                <w:lang w:eastAsia="zh-CN"/>
              </w:rPr>
              <w:t>、全盐量</w:t>
            </w:r>
          </w:p>
        </w:tc>
        <w:tc>
          <w:tcPr>
            <w:tcW w:w="1449" w:type="dxa"/>
            <w:vAlign w:val="center"/>
          </w:tcPr>
          <w:p w14:paraId="4CD09966">
            <w:pPr>
              <w:adjustRightInd w:val="0"/>
              <w:snapToGrid w:val="0"/>
              <w:jc w:val="center"/>
              <w:rPr>
                <w:rFonts w:eastAsiaTheme="minorEastAsia"/>
                <w:color w:val="auto"/>
                <w:sz w:val="24"/>
                <w:szCs w:val="24"/>
              </w:rPr>
            </w:pPr>
            <w:r>
              <w:rPr>
                <w:rFonts w:hint="eastAsia" w:hAnsiTheme="minorEastAsia" w:eastAsiaTheme="minorEastAsia"/>
                <w:color w:val="auto"/>
                <w:sz w:val="24"/>
                <w:szCs w:val="24"/>
                <w:lang w:eastAsia="zh-CN"/>
              </w:rPr>
              <w:t>污水站</w:t>
            </w:r>
          </w:p>
        </w:tc>
        <w:tc>
          <w:tcPr>
            <w:tcW w:w="3407" w:type="dxa"/>
            <w:vAlign w:val="center"/>
          </w:tcPr>
          <w:p w14:paraId="037E15B1">
            <w:pPr>
              <w:adjustRightInd w:val="0"/>
              <w:snapToGrid w:val="0"/>
              <w:jc w:val="center"/>
              <w:rPr>
                <w:rFonts w:hint="eastAsia" w:eastAsia="宋体" w:hAnsiTheme="minorEastAsia"/>
                <w:color w:val="auto"/>
                <w:sz w:val="24"/>
                <w:szCs w:val="24"/>
                <w:lang w:eastAsia="zh-CN"/>
              </w:rPr>
            </w:pPr>
            <w:r>
              <w:rPr>
                <w:rFonts w:hAnsiTheme="minorEastAsia" w:eastAsiaTheme="minorEastAsia"/>
                <w:color w:val="auto"/>
                <w:sz w:val="24"/>
                <w:szCs w:val="24"/>
              </w:rPr>
              <w:t>涟水经济开发区西区污水处理厂</w:t>
            </w:r>
            <w:r>
              <w:rPr>
                <w:rFonts w:hint="eastAsia" w:hAnsiTheme="minorEastAsia" w:eastAsiaTheme="minorEastAsia"/>
                <w:color w:val="auto"/>
                <w:sz w:val="24"/>
                <w:szCs w:val="24"/>
                <w:lang w:eastAsia="zh-CN"/>
              </w:rPr>
              <w:t>接管标准</w:t>
            </w:r>
          </w:p>
        </w:tc>
      </w:tr>
      <w:tr w14:paraId="3DBEC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30427B2F">
            <w:pPr>
              <w:adjustRightInd w:val="0"/>
              <w:snapToGrid w:val="0"/>
              <w:jc w:val="center"/>
              <w:rPr>
                <w:rFonts w:eastAsiaTheme="minorEastAsia"/>
                <w:b/>
                <w:color w:val="auto"/>
                <w:sz w:val="24"/>
                <w:szCs w:val="24"/>
              </w:rPr>
            </w:pPr>
            <w:r>
              <w:rPr>
                <w:rFonts w:hAnsiTheme="minorEastAsia" w:eastAsiaTheme="minorEastAsia"/>
                <w:b/>
                <w:color w:val="auto"/>
                <w:sz w:val="24"/>
                <w:szCs w:val="24"/>
              </w:rPr>
              <w:t>声环境</w:t>
            </w:r>
          </w:p>
        </w:tc>
        <w:tc>
          <w:tcPr>
            <w:tcW w:w="1146" w:type="dxa"/>
            <w:vAlign w:val="center"/>
          </w:tcPr>
          <w:p w14:paraId="3DC3483A">
            <w:pPr>
              <w:adjustRightInd w:val="0"/>
              <w:snapToGrid w:val="0"/>
              <w:jc w:val="center"/>
              <w:rPr>
                <w:rFonts w:hAnsiTheme="minorEastAsia" w:eastAsiaTheme="minorEastAsia"/>
                <w:color w:val="auto"/>
                <w:sz w:val="24"/>
                <w:szCs w:val="24"/>
              </w:rPr>
            </w:pPr>
            <w:r>
              <w:rPr>
                <w:rFonts w:hAnsiTheme="minorEastAsia" w:eastAsiaTheme="minorEastAsia"/>
                <w:color w:val="auto"/>
                <w:sz w:val="24"/>
                <w:szCs w:val="24"/>
              </w:rPr>
              <w:t>生产设备</w:t>
            </w:r>
            <w:r>
              <w:rPr>
                <w:rFonts w:hint="eastAsia" w:hAnsiTheme="minorEastAsia" w:eastAsiaTheme="minorEastAsia"/>
                <w:color w:val="auto"/>
                <w:sz w:val="24"/>
                <w:szCs w:val="24"/>
              </w:rPr>
              <w:t>、</w:t>
            </w:r>
            <w:r>
              <w:rPr>
                <w:rFonts w:hint="eastAsia" w:hAnsiTheme="minorEastAsia" w:eastAsiaTheme="minorEastAsia"/>
                <w:color w:val="auto"/>
                <w:sz w:val="24"/>
                <w:szCs w:val="24"/>
                <w:lang w:eastAsia="zh-CN"/>
              </w:rPr>
              <w:t>水泵</w:t>
            </w:r>
            <w:r>
              <w:rPr>
                <w:rFonts w:hAnsiTheme="minorEastAsia" w:eastAsiaTheme="minorEastAsia"/>
                <w:color w:val="auto"/>
                <w:sz w:val="24"/>
                <w:szCs w:val="24"/>
              </w:rPr>
              <w:t>等</w:t>
            </w:r>
          </w:p>
        </w:tc>
        <w:tc>
          <w:tcPr>
            <w:tcW w:w="1803" w:type="dxa"/>
            <w:vAlign w:val="center"/>
          </w:tcPr>
          <w:p w14:paraId="6EF3D6FD">
            <w:pPr>
              <w:adjustRightInd w:val="0"/>
              <w:snapToGrid w:val="0"/>
              <w:jc w:val="center"/>
              <w:rPr>
                <w:rFonts w:eastAsiaTheme="minorEastAsia"/>
                <w:color w:val="auto"/>
                <w:sz w:val="24"/>
                <w:szCs w:val="24"/>
              </w:rPr>
            </w:pPr>
            <w:r>
              <w:rPr>
                <w:rFonts w:hAnsiTheme="minorEastAsia" w:eastAsiaTheme="minorEastAsia"/>
                <w:color w:val="auto"/>
                <w:sz w:val="24"/>
                <w:szCs w:val="24"/>
              </w:rPr>
              <w:t>噪声</w:t>
            </w:r>
          </w:p>
        </w:tc>
        <w:tc>
          <w:tcPr>
            <w:tcW w:w="1449" w:type="dxa"/>
            <w:vAlign w:val="center"/>
          </w:tcPr>
          <w:p w14:paraId="2E5138FE">
            <w:pPr>
              <w:adjustRightInd w:val="0"/>
              <w:snapToGrid w:val="0"/>
              <w:jc w:val="center"/>
              <w:rPr>
                <w:rFonts w:eastAsiaTheme="minorEastAsia"/>
                <w:color w:val="auto"/>
                <w:sz w:val="24"/>
                <w:szCs w:val="24"/>
              </w:rPr>
            </w:pPr>
            <w:r>
              <w:rPr>
                <w:rFonts w:hAnsiTheme="minorEastAsia" w:eastAsiaTheme="minorEastAsia"/>
                <w:color w:val="auto"/>
                <w:sz w:val="24"/>
                <w:szCs w:val="24"/>
              </w:rPr>
              <w:t>合理布局，隔声减振</w:t>
            </w:r>
          </w:p>
        </w:tc>
        <w:tc>
          <w:tcPr>
            <w:tcW w:w="3407" w:type="dxa"/>
            <w:vAlign w:val="center"/>
          </w:tcPr>
          <w:p w14:paraId="6005B937">
            <w:pPr>
              <w:adjustRightInd w:val="0"/>
              <w:snapToGrid w:val="0"/>
              <w:jc w:val="center"/>
              <w:rPr>
                <w:rFonts w:eastAsiaTheme="minorEastAsia"/>
                <w:color w:val="auto"/>
                <w:sz w:val="24"/>
                <w:szCs w:val="24"/>
              </w:rPr>
            </w:pPr>
            <w:r>
              <w:rPr>
                <w:color w:val="auto"/>
                <w:sz w:val="24"/>
                <w:szCs w:val="24"/>
              </w:rPr>
              <w:t>厂区边界噪声达到《工业企业厂界环境噪声排放标准》（GB12348</w:t>
            </w:r>
            <w:r>
              <w:rPr>
                <w:snapToGrid w:val="0"/>
                <w:color w:val="auto"/>
                <w:sz w:val="24"/>
                <w:szCs w:val="24"/>
              </w:rPr>
              <w:t>-</w:t>
            </w:r>
            <w:r>
              <w:rPr>
                <w:color w:val="auto"/>
                <w:sz w:val="24"/>
                <w:szCs w:val="24"/>
              </w:rPr>
              <w:t>2008）中的3类</w:t>
            </w:r>
          </w:p>
        </w:tc>
      </w:tr>
      <w:tr w14:paraId="1BFA3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6BDD2D00">
            <w:pPr>
              <w:adjustRightInd w:val="0"/>
              <w:snapToGrid w:val="0"/>
              <w:jc w:val="center"/>
              <w:rPr>
                <w:rFonts w:eastAsiaTheme="minorEastAsia"/>
                <w:b/>
                <w:color w:val="auto"/>
                <w:sz w:val="24"/>
                <w:szCs w:val="24"/>
              </w:rPr>
            </w:pPr>
            <w:r>
              <w:rPr>
                <w:rFonts w:hAnsiTheme="minorEastAsia" w:eastAsiaTheme="minorEastAsia"/>
                <w:b/>
                <w:color w:val="auto"/>
                <w:sz w:val="24"/>
                <w:szCs w:val="24"/>
              </w:rPr>
              <w:t>电磁辐射</w:t>
            </w:r>
          </w:p>
        </w:tc>
        <w:tc>
          <w:tcPr>
            <w:tcW w:w="1146" w:type="dxa"/>
            <w:vAlign w:val="center"/>
          </w:tcPr>
          <w:p w14:paraId="0A5943B9">
            <w:pPr>
              <w:adjustRightInd w:val="0"/>
              <w:snapToGrid w:val="0"/>
              <w:jc w:val="center"/>
              <w:rPr>
                <w:rFonts w:eastAsiaTheme="minorEastAsia"/>
                <w:color w:val="auto"/>
                <w:sz w:val="24"/>
                <w:szCs w:val="24"/>
              </w:rPr>
            </w:pPr>
            <w:r>
              <w:rPr>
                <w:rFonts w:eastAsiaTheme="minorEastAsia"/>
                <w:color w:val="auto"/>
                <w:sz w:val="24"/>
                <w:szCs w:val="24"/>
              </w:rPr>
              <w:t>/</w:t>
            </w:r>
          </w:p>
        </w:tc>
        <w:tc>
          <w:tcPr>
            <w:tcW w:w="1803" w:type="dxa"/>
            <w:vAlign w:val="center"/>
          </w:tcPr>
          <w:p w14:paraId="5B1F63CC">
            <w:pPr>
              <w:adjustRightInd w:val="0"/>
              <w:snapToGrid w:val="0"/>
              <w:jc w:val="center"/>
              <w:rPr>
                <w:rFonts w:eastAsiaTheme="minorEastAsia"/>
                <w:color w:val="auto"/>
                <w:sz w:val="24"/>
                <w:szCs w:val="24"/>
              </w:rPr>
            </w:pPr>
            <w:r>
              <w:rPr>
                <w:rFonts w:eastAsiaTheme="minorEastAsia"/>
                <w:color w:val="auto"/>
                <w:sz w:val="24"/>
                <w:szCs w:val="24"/>
              </w:rPr>
              <w:t>/</w:t>
            </w:r>
          </w:p>
        </w:tc>
        <w:tc>
          <w:tcPr>
            <w:tcW w:w="1449" w:type="dxa"/>
            <w:vAlign w:val="center"/>
          </w:tcPr>
          <w:p w14:paraId="324087F1">
            <w:pPr>
              <w:adjustRightInd w:val="0"/>
              <w:snapToGrid w:val="0"/>
              <w:jc w:val="center"/>
              <w:rPr>
                <w:rFonts w:eastAsiaTheme="minorEastAsia"/>
                <w:color w:val="auto"/>
                <w:sz w:val="24"/>
                <w:szCs w:val="24"/>
              </w:rPr>
            </w:pPr>
            <w:r>
              <w:rPr>
                <w:rFonts w:eastAsiaTheme="minorEastAsia"/>
                <w:color w:val="auto"/>
                <w:sz w:val="24"/>
                <w:szCs w:val="24"/>
              </w:rPr>
              <w:t>/</w:t>
            </w:r>
          </w:p>
        </w:tc>
        <w:tc>
          <w:tcPr>
            <w:tcW w:w="3407" w:type="dxa"/>
            <w:vAlign w:val="center"/>
          </w:tcPr>
          <w:p w14:paraId="70F9C071">
            <w:pPr>
              <w:adjustRightInd w:val="0"/>
              <w:snapToGrid w:val="0"/>
              <w:jc w:val="center"/>
              <w:rPr>
                <w:rFonts w:eastAsiaTheme="minorEastAsia"/>
                <w:color w:val="auto"/>
                <w:sz w:val="24"/>
                <w:szCs w:val="24"/>
              </w:rPr>
            </w:pPr>
            <w:r>
              <w:rPr>
                <w:rFonts w:eastAsiaTheme="minorEastAsia"/>
                <w:color w:val="auto"/>
                <w:sz w:val="24"/>
                <w:szCs w:val="24"/>
              </w:rPr>
              <w:t>/</w:t>
            </w:r>
          </w:p>
        </w:tc>
      </w:tr>
      <w:tr w14:paraId="55BD3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1041" w:type="dxa"/>
            <w:vMerge w:val="restart"/>
            <w:vAlign w:val="center"/>
          </w:tcPr>
          <w:p w14:paraId="02A5A803">
            <w:pPr>
              <w:adjustRightInd w:val="0"/>
              <w:snapToGrid w:val="0"/>
              <w:jc w:val="center"/>
              <w:rPr>
                <w:rFonts w:eastAsiaTheme="minorEastAsia"/>
                <w:b/>
                <w:color w:val="auto"/>
                <w:sz w:val="24"/>
                <w:szCs w:val="24"/>
              </w:rPr>
            </w:pPr>
            <w:r>
              <w:rPr>
                <w:rFonts w:hAnsiTheme="minorEastAsia" w:eastAsiaTheme="minorEastAsia"/>
                <w:b/>
                <w:color w:val="auto"/>
                <w:sz w:val="24"/>
                <w:szCs w:val="24"/>
              </w:rPr>
              <w:t>固体废物</w:t>
            </w:r>
          </w:p>
        </w:tc>
        <w:tc>
          <w:tcPr>
            <w:tcW w:w="1146" w:type="dxa"/>
            <w:vMerge w:val="restart"/>
            <w:vAlign w:val="center"/>
          </w:tcPr>
          <w:p w14:paraId="3B0F0AD8">
            <w:pPr>
              <w:adjustRightInd w:val="0"/>
              <w:snapToGrid w:val="0"/>
              <w:jc w:val="center"/>
              <w:rPr>
                <w:rFonts w:hint="eastAsia" w:eastAsiaTheme="minorEastAsia"/>
                <w:color w:val="auto"/>
                <w:sz w:val="24"/>
                <w:szCs w:val="24"/>
                <w:lang w:eastAsia="zh-CN"/>
              </w:rPr>
            </w:pPr>
            <w:r>
              <w:rPr>
                <w:rFonts w:hint="eastAsia" w:hAnsiTheme="minorEastAsia" w:eastAsiaTheme="minorEastAsia"/>
                <w:color w:val="auto"/>
                <w:sz w:val="24"/>
                <w:szCs w:val="24"/>
                <w:lang w:eastAsia="zh-CN"/>
              </w:rPr>
              <w:t>一般固废</w:t>
            </w:r>
          </w:p>
        </w:tc>
        <w:tc>
          <w:tcPr>
            <w:tcW w:w="1803" w:type="dxa"/>
            <w:vAlign w:val="center"/>
          </w:tcPr>
          <w:p w14:paraId="4DDFE63C">
            <w:pPr>
              <w:widowControl/>
              <w:adjustRightInd w:val="0"/>
              <w:snapToGrid w:val="0"/>
              <w:jc w:val="center"/>
              <w:rPr>
                <w:rFonts w:hint="eastAsia" w:hAnsiTheme="minorEastAsia" w:eastAsiaTheme="minorEastAsia"/>
                <w:color w:val="auto"/>
                <w:sz w:val="24"/>
                <w:szCs w:val="24"/>
                <w:lang w:eastAsia="zh-CN"/>
              </w:rPr>
            </w:pPr>
            <w:r>
              <w:rPr>
                <w:rFonts w:hint="eastAsia" w:hAnsiTheme="minorEastAsia" w:eastAsiaTheme="minorEastAsia"/>
                <w:color w:val="auto"/>
                <w:sz w:val="24"/>
                <w:szCs w:val="24"/>
                <w:lang w:eastAsia="zh-CN"/>
              </w:rPr>
              <w:t>废杂物（鱼皮、盐渍裙带）</w:t>
            </w:r>
          </w:p>
        </w:tc>
        <w:tc>
          <w:tcPr>
            <w:tcW w:w="1449" w:type="dxa"/>
            <w:vMerge w:val="restart"/>
            <w:vAlign w:val="center"/>
          </w:tcPr>
          <w:p w14:paraId="0531DB18">
            <w:pPr>
              <w:adjustRightInd w:val="0"/>
              <w:snapToGrid w:val="0"/>
              <w:jc w:val="center"/>
              <w:rPr>
                <w:rFonts w:hint="eastAsia" w:eastAsiaTheme="minorEastAsia"/>
                <w:color w:val="auto"/>
                <w:sz w:val="24"/>
                <w:szCs w:val="24"/>
                <w:lang w:eastAsia="zh-CN"/>
              </w:rPr>
            </w:pPr>
            <w:r>
              <w:rPr>
                <w:rFonts w:eastAsiaTheme="minorEastAsia"/>
                <w:color w:val="auto"/>
                <w:sz w:val="24"/>
                <w:szCs w:val="24"/>
              </w:rPr>
              <w:t>1</w:t>
            </w:r>
            <w:r>
              <w:rPr>
                <w:rFonts w:hAnsiTheme="minorEastAsia" w:eastAsiaTheme="minorEastAsia"/>
                <w:color w:val="auto"/>
                <w:sz w:val="24"/>
                <w:szCs w:val="24"/>
              </w:rPr>
              <w:t>座</w:t>
            </w:r>
            <w:r>
              <w:rPr>
                <w:rFonts w:hint="eastAsia" w:eastAsiaTheme="minorEastAsia"/>
                <w:color w:val="auto"/>
                <w:sz w:val="24"/>
                <w:szCs w:val="24"/>
                <w:lang w:val="en-US" w:eastAsia="zh-CN"/>
              </w:rPr>
              <w:t>144</w:t>
            </w:r>
            <w:r>
              <w:rPr>
                <w:rFonts w:eastAsiaTheme="minorEastAsia"/>
                <w:color w:val="auto"/>
                <w:sz w:val="24"/>
                <w:szCs w:val="24"/>
              </w:rPr>
              <w:t>m</w:t>
            </w:r>
            <w:r>
              <w:rPr>
                <w:rFonts w:eastAsiaTheme="minorEastAsia"/>
                <w:color w:val="auto"/>
                <w:sz w:val="24"/>
                <w:szCs w:val="24"/>
                <w:vertAlign w:val="superscript"/>
              </w:rPr>
              <w:t>2</w:t>
            </w:r>
            <w:r>
              <w:rPr>
                <w:rFonts w:hint="eastAsia" w:hAnsiTheme="minorEastAsia" w:eastAsiaTheme="minorEastAsia"/>
                <w:color w:val="auto"/>
                <w:sz w:val="24"/>
                <w:szCs w:val="24"/>
                <w:lang w:eastAsia="zh-CN"/>
              </w:rPr>
              <w:t>一般固废场所</w:t>
            </w:r>
          </w:p>
        </w:tc>
        <w:tc>
          <w:tcPr>
            <w:tcW w:w="3407" w:type="dxa"/>
            <w:vMerge w:val="restart"/>
            <w:vAlign w:val="center"/>
          </w:tcPr>
          <w:p w14:paraId="3C929A8E">
            <w:pPr>
              <w:adjustRightInd w:val="0"/>
              <w:snapToGrid w:val="0"/>
              <w:jc w:val="center"/>
              <w:rPr>
                <w:rFonts w:eastAsiaTheme="minorEastAsia"/>
                <w:color w:val="auto"/>
                <w:sz w:val="24"/>
                <w:szCs w:val="24"/>
              </w:rPr>
            </w:pPr>
            <w:r>
              <w:rPr>
                <w:rFonts w:hAnsiTheme="minorEastAsia" w:eastAsiaTheme="minorEastAsia"/>
                <w:color w:val="auto"/>
                <w:sz w:val="24"/>
                <w:szCs w:val="24"/>
              </w:rPr>
              <w:t>《一般工业固体废物贮存和填埋污染控制标准》（</w:t>
            </w:r>
            <w:r>
              <w:rPr>
                <w:rFonts w:eastAsiaTheme="minorEastAsia"/>
                <w:color w:val="auto"/>
                <w:sz w:val="24"/>
                <w:szCs w:val="24"/>
              </w:rPr>
              <w:t>GB18599-2020</w:t>
            </w:r>
            <w:r>
              <w:rPr>
                <w:rFonts w:hAnsiTheme="minorEastAsia" w:eastAsiaTheme="minorEastAsia"/>
                <w:color w:val="auto"/>
                <w:sz w:val="24"/>
                <w:szCs w:val="24"/>
              </w:rPr>
              <w:t>）</w:t>
            </w:r>
          </w:p>
        </w:tc>
      </w:tr>
      <w:tr w14:paraId="5B905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Merge w:val="continue"/>
            <w:vAlign w:val="center"/>
          </w:tcPr>
          <w:p w14:paraId="4EBC9578">
            <w:pPr>
              <w:adjustRightInd w:val="0"/>
              <w:snapToGrid w:val="0"/>
              <w:jc w:val="center"/>
              <w:rPr>
                <w:rFonts w:eastAsiaTheme="minorEastAsia"/>
                <w:b/>
                <w:color w:val="auto"/>
                <w:sz w:val="24"/>
                <w:szCs w:val="24"/>
              </w:rPr>
            </w:pPr>
          </w:p>
        </w:tc>
        <w:tc>
          <w:tcPr>
            <w:tcW w:w="1146" w:type="dxa"/>
            <w:vMerge w:val="continue"/>
            <w:vAlign w:val="center"/>
          </w:tcPr>
          <w:p w14:paraId="17634FC0">
            <w:pPr>
              <w:adjustRightInd w:val="0"/>
              <w:snapToGrid w:val="0"/>
              <w:jc w:val="center"/>
              <w:rPr>
                <w:rFonts w:eastAsiaTheme="minorEastAsia"/>
                <w:color w:val="auto"/>
                <w:sz w:val="24"/>
                <w:szCs w:val="24"/>
              </w:rPr>
            </w:pPr>
          </w:p>
        </w:tc>
        <w:tc>
          <w:tcPr>
            <w:tcW w:w="1803" w:type="dxa"/>
            <w:vAlign w:val="center"/>
          </w:tcPr>
          <w:p w14:paraId="5628CDC1">
            <w:pPr>
              <w:widowControl/>
              <w:adjustRightInd w:val="0"/>
              <w:snapToGrid w:val="0"/>
              <w:jc w:val="center"/>
              <w:rPr>
                <w:rFonts w:hint="eastAsia" w:hAnsiTheme="minorEastAsia" w:eastAsiaTheme="minorEastAsia"/>
                <w:color w:val="auto"/>
                <w:sz w:val="24"/>
                <w:szCs w:val="24"/>
                <w:lang w:eastAsia="zh-CN"/>
              </w:rPr>
            </w:pPr>
            <w:r>
              <w:rPr>
                <w:rFonts w:hint="eastAsia" w:hAnsiTheme="minorEastAsia" w:eastAsiaTheme="minorEastAsia"/>
                <w:color w:val="auto"/>
                <w:sz w:val="24"/>
                <w:szCs w:val="24"/>
                <w:lang w:eastAsia="zh-CN"/>
              </w:rPr>
              <w:t>废包装袋</w:t>
            </w:r>
          </w:p>
        </w:tc>
        <w:tc>
          <w:tcPr>
            <w:tcW w:w="1449" w:type="dxa"/>
            <w:vMerge w:val="continue"/>
            <w:vAlign w:val="center"/>
          </w:tcPr>
          <w:p w14:paraId="454FF515">
            <w:pPr>
              <w:adjustRightInd w:val="0"/>
              <w:snapToGrid w:val="0"/>
              <w:jc w:val="center"/>
              <w:rPr>
                <w:rFonts w:eastAsiaTheme="minorEastAsia"/>
                <w:color w:val="auto"/>
                <w:sz w:val="24"/>
                <w:szCs w:val="24"/>
              </w:rPr>
            </w:pPr>
          </w:p>
        </w:tc>
        <w:tc>
          <w:tcPr>
            <w:tcW w:w="3407" w:type="dxa"/>
            <w:vMerge w:val="continue"/>
            <w:vAlign w:val="center"/>
          </w:tcPr>
          <w:p w14:paraId="23722A8E">
            <w:pPr>
              <w:adjustRightInd w:val="0"/>
              <w:snapToGrid w:val="0"/>
              <w:jc w:val="center"/>
              <w:rPr>
                <w:rFonts w:eastAsiaTheme="minorEastAsia"/>
                <w:color w:val="auto"/>
                <w:sz w:val="24"/>
                <w:szCs w:val="24"/>
              </w:rPr>
            </w:pPr>
          </w:p>
        </w:tc>
      </w:tr>
      <w:tr w14:paraId="29745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Merge w:val="continue"/>
            <w:vAlign w:val="center"/>
          </w:tcPr>
          <w:p w14:paraId="6980AC9B">
            <w:pPr>
              <w:adjustRightInd w:val="0"/>
              <w:snapToGrid w:val="0"/>
              <w:jc w:val="center"/>
              <w:rPr>
                <w:rFonts w:eastAsiaTheme="minorEastAsia"/>
                <w:b/>
                <w:color w:val="auto"/>
                <w:sz w:val="24"/>
                <w:szCs w:val="24"/>
              </w:rPr>
            </w:pPr>
          </w:p>
        </w:tc>
        <w:tc>
          <w:tcPr>
            <w:tcW w:w="1146" w:type="dxa"/>
            <w:vMerge w:val="continue"/>
            <w:vAlign w:val="center"/>
          </w:tcPr>
          <w:p w14:paraId="5341F405">
            <w:pPr>
              <w:adjustRightInd w:val="0"/>
              <w:snapToGrid w:val="0"/>
              <w:jc w:val="center"/>
              <w:rPr>
                <w:rFonts w:eastAsiaTheme="minorEastAsia"/>
                <w:color w:val="auto"/>
                <w:sz w:val="24"/>
                <w:szCs w:val="24"/>
              </w:rPr>
            </w:pPr>
          </w:p>
        </w:tc>
        <w:tc>
          <w:tcPr>
            <w:tcW w:w="1803" w:type="dxa"/>
            <w:vAlign w:val="center"/>
          </w:tcPr>
          <w:p w14:paraId="51355585">
            <w:pPr>
              <w:widowControl/>
              <w:adjustRightInd w:val="0"/>
              <w:snapToGrid w:val="0"/>
              <w:jc w:val="center"/>
              <w:rPr>
                <w:rFonts w:hint="eastAsia" w:cs="Times New Roman"/>
                <w:bCs/>
                <w:color w:val="auto"/>
                <w:sz w:val="24"/>
                <w:szCs w:val="24"/>
                <w:lang w:val="en-US" w:eastAsia="zh-CN"/>
              </w:rPr>
            </w:pPr>
            <w:r>
              <w:rPr>
                <w:rFonts w:hint="eastAsia" w:cs="Times New Roman"/>
                <w:bCs/>
                <w:color w:val="auto"/>
                <w:sz w:val="24"/>
                <w:szCs w:val="24"/>
                <w:lang w:val="en-US" w:eastAsia="zh-CN"/>
              </w:rPr>
              <w:t>生活垃圾</w:t>
            </w:r>
          </w:p>
        </w:tc>
        <w:tc>
          <w:tcPr>
            <w:tcW w:w="1449" w:type="dxa"/>
            <w:vMerge w:val="continue"/>
            <w:vAlign w:val="center"/>
          </w:tcPr>
          <w:p w14:paraId="08DC2F12">
            <w:pPr>
              <w:adjustRightInd w:val="0"/>
              <w:snapToGrid w:val="0"/>
              <w:jc w:val="center"/>
              <w:rPr>
                <w:rFonts w:eastAsiaTheme="minorEastAsia"/>
                <w:color w:val="auto"/>
                <w:sz w:val="24"/>
                <w:szCs w:val="24"/>
              </w:rPr>
            </w:pPr>
          </w:p>
        </w:tc>
        <w:tc>
          <w:tcPr>
            <w:tcW w:w="3407" w:type="dxa"/>
            <w:vMerge w:val="continue"/>
            <w:vAlign w:val="center"/>
          </w:tcPr>
          <w:p w14:paraId="6D553A34">
            <w:pPr>
              <w:adjustRightInd w:val="0"/>
              <w:snapToGrid w:val="0"/>
              <w:jc w:val="center"/>
              <w:rPr>
                <w:rFonts w:eastAsiaTheme="minorEastAsia"/>
                <w:color w:val="auto"/>
                <w:sz w:val="24"/>
                <w:szCs w:val="24"/>
              </w:rPr>
            </w:pPr>
          </w:p>
        </w:tc>
      </w:tr>
      <w:tr w14:paraId="5F639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6" w:hRule="atLeast"/>
          <w:jc w:val="center"/>
        </w:trPr>
        <w:tc>
          <w:tcPr>
            <w:tcW w:w="1041" w:type="dxa"/>
            <w:vAlign w:val="center"/>
          </w:tcPr>
          <w:p w14:paraId="1BBD8AAD">
            <w:pPr>
              <w:adjustRightInd w:val="0"/>
              <w:snapToGrid w:val="0"/>
              <w:jc w:val="center"/>
              <w:rPr>
                <w:rFonts w:eastAsiaTheme="minorEastAsia"/>
                <w:b/>
                <w:color w:val="auto"/>
                <w:sz w:val="24"/>
                <w:szCs w:val="24"/>
              </w:rPr>
            </w:pPr>
            <w:r>
              <w:rPr>
                <w:rFonts w:hAnsiTheme="minorEastAsia" w:eastAsiaTheme="minorEastAsia"/>
                <w:b/>
                <w:color w:val="auto"/>
                <w:sz w:val="24"/>
                <w:szCs w:val="24"/>
              </w:rPr>
              <w:t>土壤及地下水污染防治措施</w:t>
            </w:r>
          </w:p>
        </w:tc>
        <w:tc>
          <w:tcPr>
            <w:tcW w:w="7805" w:type="dxa"/>
            <w:gridSpan w:val="4"/>
            <w:vAlign w:val="center"/>
          </w:tcPr>
          <w:p w14:paraId="0AA8F289">
            <w:pPr>
              <w:adjustRightInd w:val="0"/>
              <w:snapToGrid w:val="0"/>
              <w:jc w:val="center"/>
              <w:rPr>
                <w:rFonts w:eastAsiaTheme="minorEastAsia"/>
                <w:color w:val="auto"/>
                <w:sz w:val="24"/>
                <w:szCs w:val="24"/>
              </w:rPr>
            </w:pPr>
            <w:r>
              <w:rPr>
                <w:rFonts w:hint="eastAsia"/>
                <w:color w:val="auto"/>
                <w:sz w:val="24"/>
                <w:szCs w:val="24"/>
                <w:lang w:eastAsia="zh-CN"/>
              </w:rPr>
              <w:t>扩建</w:t>
            </w:r>
            <w:r>
              <w:rPr>
                <w:color w:val="auto"/>
                <w:sz w:val="24"/>
                <w:szCs w:val="24"/>
              </w:rPr>
              <w:t>项目</w:t>
            </w:r>
            <w:r>
              <w:rPr>
                <w:rFonts w:hint="eastAsia"/>
                <w:color w:val="auto"/>
                <w:sz w:val="24"/>
                <w:szCs w:val="24"/>
              </w:rPr>
              <w:t>生产车间</w:t>
            </w:r>
            <w:r>
              <w:rPr>
                <w:color w:val="auto"/>
                <w:sz w:val="24"/>
                <w:szCs w:val="24"/>
              </w:rPr>
              <w:t>地面经硬化处理且不使用重金属等有害物质，对周围土壤环境影响较小。因此建设项目不需要进行地下水、土壤跟踪监测。</w:t>
            </w:r>
          </w:p>
        </w:tc>
      </w:tr>
      <w:tr w14:paraId="69912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11D65B25">
            <w:pPr>
              <w:adjustRightInd w:val="0"/>
              <w:snapToGrid w:val="0"/>
              <w:jc w:val="center"/>
              <w:rPr>
                <w:rFonts w:eastAsiaTheme="minorEastAsia"/>
                <w:b/>
                <w:color w:val="auto"/>
                <w:sz w:val="24"/>
                <w:szCs w:val="24"/>
              </w:rPr>
            </w:pPr>
            <w:r>
              <w:rPr>
                <w:rFonts w:hAnsiTheme="minorEastAsia" w:eastAsiaTheme="minorEastAsia"/>
                <w:b/>
                <w:color w:val="auto"/>
                <w:sz w:val="24"/>
                <w:szCs w:val="24"/>
              </w:rPr>
              <w:t>生态保护措施</w:t>
            </w:r>
          </w:p>
        </w:tc>
        <w:tc>
          <w:tcPr>
            <w:tcW w:w="7805" w:type="dxa"/>
            <w:gridSpan w:val="4"/>
            <w:vAlign w:val="center"/>
          </w:tcPr>
          <w:p w14:paraId="04F4E235">
            <w:pPr>
              <w:adjustRightInd w:val="0"/>
              <w:snapToGrid w:val="0"/>
              <w:ind w:firstLine="480" w:firstLineChars="200"/>
              <w:rPr>
                <w:rFonts w:eastAsiaTheme="minorEastAsia"/>
                <w:color w:val="auto"/>
                <w:sz w:val="24"/>
                <w:szCs w:val="24"/>
              </w:rPr>
            </w:pPr>
            <w:r>
              <w:rPr>
                <w:rFonts w:hint="eastAsia" w:hAnsiTheme="minorEastAsia" w:eastAsiaTheme="minorEastAsia"/>
                <w:color w:val="auto"/>
                <w:sz w:val="24"/>
                <w:szCs w:val="24"/>
                <w:lang w:eastAsia="zh-CN"/>
              </w:rPr>
              <w:t>扩建</w:t>
            </w:r>
            <w:r>
              <w:rPr>
                <w:rFonts w:hint="eastAsia" w:hAnsiTheme="minorEastAsia" w:eastAsiaTheme="minorEastAsia"/>
                <w:color w:val="auto"/>
                <w:sz w:val="24"/>
                <w:szCs w:val="24"/>
              </w:rPr>
              <w:t>建设项目</w:t>
            </w:r>
            <w:r>
              <w:rPr>
                <w:rFonts w:hAnsiTheme="minorEastAsia" w:eastAsiaTheme="minorEastAsia"/>
                <w:color w:val="auto"/>
                <w:sz w:val="24"/>
                <w:szCs w:val="24"/>
              </w:rPr>
              <w:t>建成后，产生的污染经采用适当的污染防治措施实现达标排放后，对区域的生态环境影响可以接受。</w:t>
            </w:r>
          </w:p>
        </w:tc>
      </w:tr>
      <w:tr w14:paraId="112E0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02272BA7">
            <w:pPr>
              <w:adjustRightInd w:val="0"/>
              <w:snapToGrid w:val="0"/>
              <w:jc w:val="center"/>
              <w:rPr>
                <w:rFonts w:eastAsiaTheme="minorEastAsia"/>
                <w:b/>
                <w:color w:val="auto"/>
                <w:spacing w:val="-8"/>
                <w:sz w:val="24"/>
                <w:szCs w:val="24"/>
              </w:rPr>
            </w:pPr>
            <w:r>
              <w:rPr>
                <w:rFonts w:hAnsiTheme="minorEastAsia" w:eastAsiaTheme="minorEastAsia"/>
                <w:b/>
                <w:color w:val="auto"/>
                <w:spacing w:val="-8"/>
                <w:sz w:val="24"/>
                <w:szCs w:val="24"/>
              </w:rPr>
              <w:t>环境风险</w:t>
            </w:r>
          </w:p>
          <w:p w14:paraId="66A890F5">
            <w:pPr>
              <w:adjustRightInd w:val="0"/>
              <w:snapToGrid w:val="0"/>
              <w:jc w:val="center"/>
              <w:rPr>
                <w:rFonts w:eastAsiaTheme="minorEastAsia"/>
                <w:b/>
                <w:color w:val="auto"/>
                <w:spacing w:val="-8"/>
                <w:sz w:val="24"/>
                <w:szCs w:val="24"/>
              </w:rPr>
            </w:pPr>
            <w:r>
              <w:rPr>
                <w:rFonts w:hAnsiTheme="minorEastAsia" w:eastAsiaTheme="minorEastAsia"/>
                <w:b/>
                <w:color w:val="auto"/>
                <w:spacing w:val="-8"/>
                <w:sz w:val="24"/>
                <w:szCs w:val="24"/>
              </w:rPr>
              <w:t>防范措施</w:t>
            </w:r>
          </w:p>
        </w:tc>
        <w:tc>
          <w:tcPr>
            <w:tcW w:w="7805" w:type="dxa"/>
            <w:gridSpan w:val="4"/>
            <w:vAlign w:val="center"/>
          </w:tcPr>
          <w:p w14:paraId="4291DCC6">
            <w:pPr>
              <w:widowControl/>
              <w:autoSpaceDE w:val="0"/>
              <w:autoSpaceDN w:val="0"/>
              <w:adjustRightInd w:val="0"/>
              <w:snapToGrid w:val="0"/>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火灾：各区域按规范设置灭火器、消防设施并定期检查维护。发生火灾事故险情时，第一发现人应立即报告主管，根据事故险情和扑救具体情况采取适当措施，如需外援应立即拨打火警119告知火灾危险严重程度。</w:t>
            </w:r>
          </w:p>
          <w:p w14:paraId="671B3689">
            <w:pPr>
              <w:widowControl/>
              <w:autoSpaceDE w:val="0"/>
              <w:autoSpaceDN w:val="0"/>
              <w:adjustRightInd w:val="0"/>
              <w:snapToGrid w:val="0"/>
              <w:ind w:firstLine="480" w:firstLineChars="200"/>
              <w:jc w:val="left"/>
              <w:rPr>
                <w:rFonts w:eastAsiaTheme="minorEastAsia"/>
                <w:color w:val="auto"/>
                <w:sz w:val="24"/>
                <w:szCs w:val="24"/>
              </w:rPr>
            </w:pPr>
            <w:r>
              <w:rPr>
                <w:color w:val="auto"/>
                <w:kern w:val="0"/>
                <w:sz w:val="24"/>
                <w:szCs w:val="24"/>
              </w:rPr>
              <w:t>泄漏</w:t>
            </w:r>
            <w:r>
              <w:rPr>
                <w:rFonts w:hint="eastAsia"/>
                <w:color w:val="auto"/>
                <w:kern w:val="0"/>
                <w:sz w:val="24"/>
                <w:szCs w:val="24"/>
              </w:rPr>
              <w:t>：</w:t>
            </w:r>
            <w:r>
              <w:rPr>
                <w:rFonts w:hint="eastAsia"/>
                <w:color w:val="auto"/>
                <w:sz w:val="24"/>
                <w:szCs w:val="24"/>
                <w:lang w:eastAsia="zh-CN"/>
              </w:rPr>
              <w:t>化学品库</w:t>
            </w:r>
            <w:r>
              <w:rPr>
                <w:rFonts w:hint="eastAsia"/>
                <w:color w:val="auto"/>
                <w:sz w:val="24"/>
                <w:szCs w:val="24"/>
              </w:rPr>
              <w:t>贮存桶设置防渗漏托盘</w:t>
            </w:r>
            <w:r>
              <w:rPr>
                <w:rFonts w:hAnsi="宋体"/>
                <w:color w:val="auto"/>
                <w:sz w:val="24"/>
                <w:szCs w:val="24"/>
              </w:rPr>
              <w:t>收集泄漏物料，配备</w:t>
            </w:r>
            <w:r>
              <w:rPr>
                <w:rFonts w:hint="eastAsia" w:hAnsi="宋体"/>
                <w:color w:val="auto"/>
                <w:sz w:val="24"/>
                <w:szCs w:val="24"/>
                <w:lang w:eastAsia="zh-CN"/>
              </w:rPr>
              <w:t>消防砂</w:t>
            </w:r>
            <w:r>
              <w:rPr>
                <w:rFonts w:hAnsi="宋体"/>
                <w:color w:val="auto"/>
                <w:sz w:val="24"/>
                <w:szCs w:val="24"/>
              </w:rPr>
              <w:t>覆盖泄漏物减少蒸发，配备无火花收容工具收纳泄漏物料。</w:t>
            </w:r>
            <w:r>
              <w:rPr>
                <w:rFonts w:hint="eastAsia"/>
                <w:color w:val="auto"/>
                <w:sz w:val="24"/>
                <w:szCs w:val="24"/>
                <w:lang w:eastAsia="zh-CN"/>
              </w:rPr>
              <w:t>化学品</w:t>
            </w:r>
            <w:r>
              <w:rPr>
                <w:color w:val="auto"/>
                <w:sz w:val="24"/>
                <w:szCs w:val="24"/>
              </w:rPr>
              <w:t>运输过程中注意不同的</w:t>
            </w:r>
            <w:r>
              <w:rPr>
                <w:rFonts w:hint="eastAsia"/>
                <w:color w:val="auto"/>
                <w:sz w:val="24"/>
                <w:szCs w:val="24"/>
                <w:lang w:eastAsia="zh-CN"/>
              </w:rPr>
              <w:t>化学品</w:t>
            </w:r>
            <w:r>
              <w:rPr>
                <w:color w:val="auto"/>
                <w:sz w:val="24"/>
                <w:szCs w:val="24"/>
              </w:rPr>
              <w:t>单独运输，固废的包装容器注意密闭，以免在运输途中发生</w:t>
            </w:r>
            <w:r>
              <w:rPr>
                <w:rFonts w:hint="eastAsia"/>
                <w:color w:val="auto"/>
                <w:sz w:val="24"/>
                <w:szCs w:val="24"/>
                <w:lang w:eastAsia="zh-CN"/>
              </w:rPr>
              <w:t>化学品</w:t>
            </w:r>
            <w:r>
              <w:rPr>
                <w:color w:val="auto"/>
                <w:sz w:val="24"/>
                <w:szCs w:val="24"/>
              </w:rPr>
              <w:t>的泄漏，从而产生二次污染。</w:t>
            </w:r>
          </w:p>
        </w:tc>
      </w:tr>
      <w:tr w14:paraId="46FFE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66" w:hRule="atLeast"/>
          <w:jc w:val="center"/>
        </w:trPr>
        <w:tc>
          <w:tcPr>
            <w:tcW w:w="1041" w:type="dxa"/>
            <w:vAlign w:val="center"/>
          </w:tcPr>
          <w:p w14:paraId="14DD176E">
            <w:pPr>
              <w:adjustRightInd w:val="0"/>
              <w:snapToGrid w:val="0"/>
              <w:jc w:val="center"/>
              <w:rPr>
                <w:rFonts w:eastAsiaTheme="minorEastAsia"/>
                <w:b/>
                <w:color w:val="auto"/>
                <w:spacing w:val="-8"/>
                <w:sz w:val="24"/>
                <w:szCs w:val="24"/>
              </w:rPr>
            </w:pPr>
            <w:r>
              <w:rPr>
                <w:rFonts w:hAnsiTheme="minorEastAsia" w:eastAsiaTheme="minorEastAsia"/>
                <w:b/>
                <w:color w:val="auto"/>
                <w:spacing w:val="-8"/>
                <w:sz w:val="24"/>
                <w:szCs w:val="24"/>
              </w:rPr>
              <w:t>其他环境</w:t>
            </w:r>
          </w:p>
          <w:p w14:paraId="2E981AA5">
            <w:pPr>
              <w:adjustRightInd w:val="0"/>
              <w:snapToGrid w:val="0"/>
              <w:jc w:val="center"/>
              <w:rPr>
                <w:rFonts w:eastAsiaTheme="minorEastAsia"/>
                <w:b/>
                <w:color w:val="auto"/>
                <w:spacing w:val="-8"/>
                <w:sz w:val="24"/>
                <w:szCs w:val="24"/>
              </w:rPr>
            </w:pPr>
            <w:r>
              <w:rPr>
                <w:rFonts w:hAnsiTheme="minorEastAsia" w:eastAsiaTheme="minorEastAsia"/>
                <w:b/>
                <w:color w:val="auto"/>
                <w:spacing w:val="-8"/>
                <w:sz w:val="24"/>
                <w:szCs w:val="24"/>
              </w:rPr>
              <w:t>管理要求</w:t>
            </w:r>
          </w:p>
        </w:tc>
        <w:tc>
          <w:tcPr>
            <w:tcW w:w="7805" w:type="dxa"/>
            <w:gridSpan w:val="4"/>
            <w:vAlign w:val="center"/>
          </w:tcPr>
          <w:p w14:paraId="21E4B106">
            <w:pPr>
              <w:adjustRightInd w:val="0"/>
              <w:snapToGrid w:val="0"/>
              <w:spacing w:line="300" w:lineRule="auto"/>
              <w:ind w:firstLine="480" w:firstLineChars="200"/>
              <w:jc w:val="left"/>
              <w:rPr>
                <w:rFonts w:eastAsiaTheme="minorEastAsia"/>
                <w:color w:val="auto"/>
                <w:sz w:val="24"/>
                <w:szCs w:val="24"/>
              </w:rPr>
            </w:pPr>
            <w:r>
              <w:rPr>
                <w:rFonts w:hAnsiTheme="minorEastAsia" w:eastAsiaTheme="minorEastAsia"/>
                <w:color w:val="auto"/>
                <w:sz w:val="24"/>
                <w:szCs w:val="24"/>
              </w:rPr>
              <w:t>无。</w:t>
            </w:r>
          </w:p>
        </w:tc>
      </w:tr>
    </w:tbl>
    <w:p w14:paraId="2A9E9229">
      <w:pPr>
        <w:widowControl/>
        <w:jc w:val="center"/>
        <w:outlineLvl w:val="0"/>
        <w:rPr>
          <w:snapToGrid w:val="0"/>
          <w:color w:val="auto"/>
          <w:sz w:val="30"/>
          <w:szCs w:val="30"/>
        </w:rPr>
      </w:pPr>
      <w:r>
        <w:rPr>
          <w:b/>
          <w:snapToGrid w:val="0"/>
          <w:color w:val="auto"/>
          <w:sz w:val="30"/>
          <w:szCs w:val="30"/>
        </w:rPr>
        <w:br w:type="page"/>
      </w:r>
      <w:bookmarkStart w:id="49" w:name="_Toc5737"/>
      <w:r>
        <w:rPr>
          <w:rFonts w:hAnsi="宋体"/>
          <w:b/>
          <w:snapToGrid w:val="0"/>
          <w:color w:val="auto"/>
          <w:sz w:val="30"/>
          <w:szCs w:val="30"/>
        </w:rPr>
        <w:t>六、结论</w:t>
      </w:r>
      <w:bookmarkEnd w:id="49"/>
    </w:p>
    <w:tbl>
      <w:tblPr>
        <w:tblStyle w:val="32"/>
        <w:tblW w:w="0" w:type="auto"/>
        <w:jc w:val="center"/>
        <w:tblBorders>
          <w:top w:val="single" w:color="auto" w:sz="4"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865"/>
      </w:tblGrid>
      <w:tr w14:paraId="35920F27">
        <w:tblPrEx>
          <w:tblBorders>
            <w:top w:val="single" w:color="auto" w:sz="4"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Pr>
          <w:p w14:paraId="30C2A18D">
            <w:pPr>
              <w:adjustRightInd w:val="0"/>
              <w:snapToGrid w:val="0"/>
              <w:spacing w:before="120" w:beforeLines="50" w:line="360" w:lineRule="auto"/>
              <w:ind w:firstLine="480" w:firstLineChars="200"/>
              <w:rPr>
                <w:color w:val="auto"/>
                <w:sz w:val="24"/>
              </w:rPr>
            </w:pPr>
            <w:r>
              <w:rPr>
                <w:rFonts w:hAnsi="宋体"/>
                <w:color w:val="auto"/>
                <w:sz w:val="24"/>
              </w:rPr>
              <w:t>通过对</w:t>
            </w:r>
            <w:r>
              <w:rPr>
                <w:rFonts w:hint="eastAsia" w:hAnsi="宋体"/>
                <w:color w:val="auto"/>
                <w:sz w:val="24"/>
                <w:lang w:eastAsia="zh-CN"/>
              </w:rPr>
              <w:t>扩建</w:t>
            </w:r>
            <w:r>
              <w:rPr>
                <w:rFonts w:hAnsi="宋体"/>
                <w:color w:val="auto"/>
                <w:sz w:val="24"/>
              </w:rPr>
              <w:t>项目的环境影响评价后认为：本项目建设符合国家产业政策，项目选址</w:t>
            </w:r>
            <w:r>
              <w:rPr>
                <w:rFonts w:ascii="Times New Roman" w:hAnsi="宋体" w:eastAsia="宋体" w:cs="Times New Roman"/>
                <w:color w:val="auto"/>
                <w:sz w:val="24"/>
              </w:rPr>
              <w:t>于</w:t>
            </w:r>
            <w:r>
              <w:rPr>
                <w:rFonts w:hint="eastAsia" w:hAnsi="宋体" w:cs="Times New Roman"/>
                <w:color w:val="auto"/>
                <w:sz w:val="24"/>
                <w:lang w:val="en-US" w:eastAsia="zh-CN"/>
              </w:rPr>
              <w:t>江苏涟水经济开发区涟水路3号</w:t>
            </w:r>
            <w:r>
              <w:rPr>
                <w:rFonts w:ascii="Times New Roman" w:hAnsi="宋体" w:eastAsia="宋体" w:cs="Times New Roman"/>
                <w:color w:val="auto"/>
                <w:sz w:val="24"/>
              </w:rPr>
              <w:t>，符</w:t>
            </w:r>
            <w:r>
              <w:rPr>
                <w:rFonts w:hAnsi="宋体"/>
                <w:color w:val="auto"/>
                <w:sz w:val="24"/>
              </w:rPr>
              <w:t>合江苏涟水经济开发区用地规划要求；建设单位在认真落实本报告提出的各项环保措施与建议，对预期产生的主要污染物采取切实可行的污染治理措施，确保实现达标排放</w:t>
            </w:r>
            <w:r>
              <w:rPr>
                <w:rFonts w:hint="eastAsia" w:hAnsi="宋体"/>
                <w:color w:val="auto"/>
                <w:sz w:val="24"/>
                <w:lang w:eastAsia="zh-CN"/>
              </w:rPr>
              <w:t>，在</w:t>
            </w:r>
            <w:r>
              <w:rPr>
                <w:rFonts w:hAnsi="宋体"/>
                <w:color w:val="auto"/>
                <w:sz w:val="24"/>
              </w:rPr>
              <w:t>最大限度减小对项目所在地环境质量影响的前提下，从环境保护角度论证，在</w:t>
            </w:r>
            <w:r>
              <w:rPr>
                <w:rFonts w:hint="eastAsia" w:hAnsi="宋体"/>
                <w:color w:val="auto"/>
                <w:sz w:val="24"/>
                <w:lang w:eastAsia="zh-CN"/>
              </w:rPr>
              <w:t>现有</w:t>
            </w:r>
            <w:r>
              <w:rPr>
                <w:rFonts w:hAnsi="宋体"/>
                <w:color w:val="auto"/>
                <w:sz w:val="24"/>
              </w:rPr>
              <w:t>地址</w:t>
            </w:r>
            <w:r>
              <w:rPr>
                <w:rFonts w:hint="eastAsia" w:hAnsi="宋体"/>
                <w:color w:val="auto"/>
                <w:sz w:val="24"/>
                <w:lang w:eastAsia="zh-CN"/>
              </w:rPr>
              <w:t>进行扩建</w:t>
            </w:r>
            <w:r>
              <w:rPr>
                <w:rFonts w:hAnsi="宋体"/>
                <w:color w:val="auto"/>
                <w:sz w:val="24"/>
              </w:rPr>
              <w:t>是可行的。</w:t>
            </w:r>
          </w:p>
          <w:p w14:paraId="6609161F">
            <w:pPr>
              <w:adjustRightInd w:val="0"/>
              <w:snapToGrid w:val="0"/>
              <w:spacing w:line="360" w:lineRule="auto"/>
              <w:ind w:firstLine="482" w:firstLineChars="200"/>
              <w:rPr>
                <w:b/>
                <w:color w:val="auto"/>
                <w:sz w:val="24"/>
              </w:rPr>
            </w:pPr>
          </w:p>
          <w:p w14:paraId="4BF428B3">
            <w:pPr>
              <w:adjustRightInd w:val="0"/>
              <w:snapToGrid w:val="0"/>
              <w:spacing w:line="360" w:lineRule="auto"/>
              <w:ind w:firstLine="482" w:firstLineChars="200"/>
              <w:rPr>
                <w:b/>
                <w:color w:val="auto"/>
                <w:sz w:val="24"/>
              </w:rPr>
            </w:pPr>
          </w:p>
          <w:p w14:paraId="631866B7">
            <w:pPr>
              <w:adjustRightInd w:val="0"/>
              <w:snapToGrid w:val="0"/>
              <w:spacing w:line="360" w:lineRule="auto"/>
              <w:ind w:firstLine="482" w:firstLineChars="200"/>
              <w:rPr>
                <w:b/>
                <w:color w:val="auto"/>
                <w:sz w:val="24"/>
              </w:rPr>
            </w:pPr>
          </w:p>
          <w:p w14:paraId="52062397">
            <w:pPr>
              <w:adjustRightInd w:val="0"/>
              <w:snapToGrid w:val="0"/>
              <w:spacing w:line="360" w:lineRule="auto"/>
              <w:ind w:firstLine="482" w:firstLineChars="200"/>
              <w:rPr>
                <w:b/>
                <w:color w:val="auto"/>
                <w:sz w:val="24"/>
              </w:rPr>
            </w:pPr>
          </w:p>
          <w:p w14:paraId="78EE212C">
            <w:pPr>
              <w:adjustRightInd w:val="0"/>
              <w:snapToGrid w:val="0"/>
              <w:spacing w:line="360" w:lineRule="auto"/>
              <w:ind w:firstLine="482" w:firstLineChars="200"/>
              <w:rPr>
                <w:b/>
                <w:color w:val="auto"/>
                <w:sz w:val="24"/>
              </w:rPr>
            </w:pPr>
          </w:p>
          <w:p w14:paraId="22E74250">
            <w:pPr>
              <w:adjustRightInd w:val="0"/>
              <w:snapToGrid w:val="0"/>
              <w:spacing w:line="360" w:lineRule="auto"/>
              <w:ind w:firstLine="482" w:firstLineChars="200"/>
              <w:rPr>
                <w:b/>
                <w:color w:val="auto"/>
                <w:sz w:val="24"/>
              </w:rPr>
            </w:pPr>
          </w:p>
          <w:p w14:paraId="4BC55CAD">
            <w:pPr>
              <w:adjustRightInd w:val="0"/>
              <w:snapToGrid w:val="0"/>
              <w:spacing w:line="360" w:lineRule="auto"/>
              <w:ind w:firstLine="482" w:firstLineChars="200"/>
              <w:rPr>
                <w:b/>
                <w:color w:val="auto"/>
                <w:sz w:val="24"/>
              </w:rPr>
            </w:pPr>
          </w:p>
          <w:p w14:paraId="19F1B245">
            <w:pPr>
              <w:adjustRightInd w:val="0"/>
              <w:snapToGrid w:val="0"/>
              <w:spacing w:line="360" w:lineRule="auto"/>
              <w:ind w:firstLine="482" w:firstLineChars="200"/>
              <w:rPr>
                <w:b/>
                <w:color w:val="auto"/>
                <w:sz w:val="24"/>
              </w:rPr>
            </w:pPr>
          </w:p>
          <w:p w14:paraId="14831FA9">
            <w:pPr>
              <w:adjustRightInd w:val="0"/>
              <w:snapToGrid w:val="0"/>
              <w:spacing w:line="360" w:lineRule="auto"/>
              <w:ind w:firstLine="482" w:firstLineChars="200"/>
              <w:rPr>
                <w:b/>
                <w:color w:val="auto"/>
                <w:sz w:val="24"/>
              </w:rPr>
            </w:pPr>
          </w:p>
          <w:p w14:paraId="74957F2B">
            <w:pPr>
              <w:adjustRightInd w:val="0"/>
              <w:snapToGrid w:val="0"/>
              <w:spacing w:line="360" w:lineRule="auto"/>
              <w:ind w:firstLine="482" w:firstLineChars="200"/>
              <w:rPr>
                <w:b/>
                <w:color w:val="auto"/>
                <w:sz w:val="24"/>
              </w:rPr>
            </w:pPr>
          </w:p>
          <w:p w14:paraId="747E1F1B">
            <w:pPr>
              <w:adjustRightInd w:val="0"/>
              <w:snapToGrid w:val="0"/>
              <w:spacing w:line="360" w:lineRule="auto"/>
              <w:ind w:firstLine="482" w:firstLineChars="200"/>
              <w:rPr>
                <w:b/>
                <w:color w:val="auto"/>
                <w:sz w:val="24"/>
              </w:rPr>
            </w:pPr>
          </w:p>
          <w:p w14:paraId="57D3F20A">
            <w:pPr>
              <w:adjustRightInd w:val="0"/>
              <w:snapToGrid w:val="0"/>
              <w:spacing w:line="360" w:lineRule="auto"/>
              <w:ind w:firstLine="482" w:firstLineChars="200"/>
              <w:rPr>
                <w:b/>
                <w:color w:val="auto"/>
                <w:sz w:val="24"/>
              </w:rPr>
            </w:pPr>
          </w:p>
          <w:p w14:paraId="60BEBA44">
            <w:pPr>
              <w:adjustRightInd w:val="0"/>
              <w:snapToGrid w:val="0"/>
              <w:spacing w:line="360" w:lineRule="auto"/>
              <w:ind w:firstLine="482" w:firstLineChars="200"/>
              <w:rPr>
                <w:rFonts w:hint="eastAsia" w:eastAsia="宋体"/>
                <w:b/>
                <w:color w:val="auto"/>
                <w:sz w:val="24"/>
                <w:lang w:val="en-US" w:eastAsia="zh-CN"/>
              </w:rPr>
            </w:pPr>
          </w:p>
          <w:p w14:paraId="226092DD">
            <w:pPr>
              <w:adjustRightInd w:val="0"/>
              <w:snapToGrid w:val="0"/>
              <w:spacing w:line="360" w:lineRule="auto"/>
              <w:ind w:firstLine="482" w:firstLineChars="200"/>
              <w:rPr>
                <w:b/>
                <w:color w:val="auto"/>
                <w:sz w:val="24"/>
              </w:rPr>
            </w:pPr>
          </w:p>
          <w:p w14:paraId="1B27EAD0">
            <w:pPr>
              <w:adjustRightInd w:val="0"/>
              <w:snapToGrid w:val="0"/>
              <w:spacing w:line="360" w:lineRule="auto"/>
              <w:ind w:firstLine="482" w:firstLineChars="200"/>
              <w:rPr>
                <w:b/>
                <w:color w:val="auto"/>
                <w:sz w:val="24"/>
              </w:rPr>
            </w:pPr>
          </w:p>
          <w:p w14:paraId="31C175C7">
            <w:pPr>
              <w:adjustRightInd w:val="0"/>
              <w:snapToGrid w:val="0"/>
              <w:spacing w:line="360" w:lineRule="auto"/>
              <w:ind w:firstLine="480" w:firstLineChars="200"/>
              <w:rPr>
                <w:color w:val="auto"/>
                <w:sz w:val="24"/>
              </w:rPr>
            </w:pPr>
          </w:p>
          <w:p w14:paraId="6A606499">
            <w:pPr>
              <w:adjustRightInd w:val="0"/>
              <w:snapToGrid w:val="0"/>
              <w:spacing w:line="360" w:lineRule="auto"/>
              <w:ind w:firstLine="480" w:firstLineChars="200"/>
              <w:rPr>
                <w:color w:val="auto"/>
                <w:sz w:val="24"/>
              </w:rPr>
            </w:pPr>
          </w:p>
          <w:p w14:paraId="61F1648D">
            <w:pPr>
              <w:adjustRightInd w:val="0"/>
              <w:snapToGrid w:val="0"/>
              <w:spacing w:line="360" w:lineRule="auto"/>
              <w:ind w:firstLine="480" w:firstLineChars="200"/>
              <w:rPr>
                <w:color w:val="auto"/>
                <w:sz w:val="24"/>
              </w:rPr>
            </w:pPr>
          </w:p>
          <w:p w14:paraId="6A12951C">
            <w:pPr>
              <w:adjustRightInd w:val="0"/>
              <w:snapToGrid w:val="0"/>
              <w:spacing w:line="360" w:lineRule="auto"/>
              <w:ind w:firstLine="480" w:firstLineChars="200"/>
              <w:rPr>
                <w:color w:val="auto"/>
                <w:sz w:val="24"/>
              </w:rPr>
            </w:pPr>
          </w:p>
          <w:p w14:paraId="1ED0F8C5">
            <w:pPr>
              <w:adjustRightInd w:val="0"/>
              <w:snapToGrid w:val="0"/>
              <w:spacing w:line="360" w:lineRule="auto"/>
              <w:ind w:firstLine="480" w:firstLineChars="200"/>
              <w:rPr>
                <w:color w:val="auto"/>
                <w:sz w:val="24"/>
              </w:rPr>
            </w:pPr>
          </w:p>
          <w:p w14:paraId="3E99FCFD">
            <w:pPr>
              <w:adjustRightInd w:val="0"/>
              <w:snapToGrid w:val="0"/>
              <w:spacing w:line="360" w:lineRule="auto"/>
              <w:ind w:firstLine="480" w:firstLineChars="200"/>
              <w:rPr>
                <w:color w:val="auto"/>
                <w:sz w:val="24"/>
              </w:rPr>
            </w:pPr>
          </w:p>
          <w:p w14:paraId="14D34AE7">
            <w:pPr>
              <w:adjustRightInd w:val="0"/>
              <w:snapToGrid w:val="0"/>
              <w:spacing w:line="360" w:lineRule="auto"/>
              <w:ind w:firstLine="480" w:firstLineChars="200"/>
              <w:rPr>
                <w:color w:val="auto"/>
                <w:sz w:val="24"/>
              </w:rPr>
            </w:pPr>
          </w:p>
          <w:p w14:paraId="5817B692">
            <w:pPr>
              <w:adjustRightInd w:val="0"/>
              <w:snapToGrid w:val="0"/>
              <w:spacing w:line="360" w:lineRule="auto"/>
              <w:ind w:firstLine="480" w:firstLineChars="200"/>
              <w:rPr>
                <w:color w:val="auto"/>
                <w:sz w:val="24"/>
              </w:rPr>
            </w:pPr>
          </w:p>
          <w:p w14:paraId="42F1FBB3">
            <w:pPr>
              <w:adjustRightInd w:val="0"/>
              <w:snapToGrid w:val="0"/>
              <w:spacing w:line="360" w:lineRule="auto"/>
              <w:ind w:firstLine="480" w:firstLineChars="200"/>
              <w:rPr>
                <w:color w:val="auto"/>
                <w:sz w:val="24"/>
              </w:rPr>
            </w:pPr>
          </w:p>
        </w:tc>
      </w:tr>
    </w:tbl>
    <w:p w14:paraId="3A1D3D3C">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298A8CF">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60" w:lineRule="exact"/>
        <w:textAlignment w:val="auto"/>
        <w:outlineLvl w:val="0"/>
        <w:rPr>
          <w:rFonts w:ascii="Times New Roman" w:hAnsi="Times New Roman"/>
          <w:snapToGrid w:val="0"/>
          <w:color w:val="auto"/>
          <w:sz w:val="22"/>
          <w:szCs w:val="22"/>
        </w:rPr>
      </w:pPr>
      <w:bookmarkStart w:id="50" w:name="_Toc299"/>
      <w:r>
        <w:rPr>
          <w:rFonts w:ascii="Times New Roman"/>
          <w:snapToGrid w:val="0"/>
          <w:color w:val="auto"/>
          <w:sz w:val="22"/>
          <w:szCs w:val="22"/>
        </w:rPr>
        <w:t>附表</w:t>
      </w:r>
      <w:bookmarkEnd w:id="50"/>
    </w:p>
    <w:p w14:paraId="2CDD5ED6">
      <w:pPr>
        <w:pStyle w:val="29"/>
        <w:keepNext w:val="0"/>
        <w:keepLines w:val="0"/>
        <w:pageBreakBefore w:val="0"/>
        <w:widowControl/>
        <w:kinsoku/>
        <w:wordWrap/>
        <w:overflowPunct/>
        <w:topLinePunct w:val="0"/>
        <w:autoSpaceDE/>
        <w:autoSpaceDN/>
        <w:bidi w:val="0"/>
        <w:spacing w:before="0" w:beforeAutospacing="0" w:after="0" w:afterAutospacing="0" w:line="300" w:lineRule="exact"/>
        <w:jc w:val="center"/>
        <w:textAlignment w:val="auto"/>
        <w:rPr>
          <w:rFonts w:ascii="Times New Roman" w:hAnsi="Times New Roman"/>
          <w:b/>
          <w:snapToGrid w:val="0"/>
          <w:color w:val="auto"/>
          <w:sz w:val="28"/>
          <w:szCs w:val="28"/>
        </w:rPr>
      </w:pPr>
      <w:r>
        <w:rPr>
          <w:rFonts w:ascii="Times New Roman"/>
          <w:b/>
          <w:snapToGrid w:val="0"/>
          <w:color w:val="auto"/>
          <w:sz w:val="28"/>
          <w:szCs w:val="28"/>
        </w:rPr>
        <w:t>建设项目污染物排放量汇总表</w:t>
      </w:r>
      <w:r>
        <w:rPr>
          <w:rFonts w:ascii="Times New Roman"/>
          <w:snapToGrid w:val="0"/>
          <w:color w:val="auto"/>
          <w:sz w:val="18"/>
          <w:szCs w:val="18"/>
        </w:rPr>
        <w:t>单位</w:t>
      </w:r>
      <w:r>
        <w:rPr>
          <w:rFonts w:ascii="Times New Roman" w:hAnsi="Times New Roman"/>
          <w:snapToGrid w:val="0"/>
          <w:color w:val="auto"/>
          <w:sz w:val="18"/>
          <w:szCs w:val="18"/>
        </w:rPr>
        <w:t>/t/a</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020"/>
        <w:gridCol w:w="1417"/>
        <w:gridCol w:w="1557"/>
        <w:gridCol w:w="1557"/>
        <w:gridCol w:w="1266"/>
        <w:gridCol w:w="1563"/>
        <w:gridCol w:w="1360"/>
        <w:gridCol w:w="2030"/>
        <w:gridCol w:w="1722"/>
      </w:tblGrid>
      <w:tr w14:paraId="792BE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tcBorders>
              <w:tl2br w:val="single" w:color="auto" w:sz="4" w:space="0"/>
            </w:tcBorders>
            <w:tcMar>
              <w:left w:w="28" w:type="dxa"/>
              <w:right w:w="28" w:type="dxa"/>
            </w:tcMar>
            <w:vAlign w:val="center"/>
          </w:tcPr>
          <w:p w14:paraId="6472D285">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项目</w:t>
            </w:r>
          </w:p>
          <w:p w14:paraId="08FE9F1B">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分类</w:t>
            </w:r>
          </w:p>
        </w:tc>
        <w:tc>
          <w:tcPr>
            <w:tcW w:w="525" w:type="pct"/>
            <w:tcMar>
              <w:left w:w="28" w:type="dxa"/>
              <w:right w:w="28" w:type="dxa"/>
            </w:tcMar>
            <w:vAlign w:val="center"/>
          </w:tcPr>
          <w:p w14:paraId="4C7097F2">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污染物名称</w:t>
            </w:r>
          </w:p>
        </w:tc>
        <w:tc>
          <w:tcPr>
            <w:tcW w:w="577" w:type="pct"/>
            <w:tcMar>
              <w:left w:w="28" w:type="dxa"/>
              <w:right w:w="28" w:type="dxa"/>
            </w:tcMar>
            <w:vAlign w:val="center"/>
          </w:tcPr>
          <w:p w14:paraId="426B417E">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现有工程</w:t>
            </w:r>
          </w:p>
          <w:p w14:paraId="411EABAA">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1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①</w:t>
            </w:r>
            <w:r>
              <w:rPr>
                <w:rFonts w:hint="default" w:ascii="Times New Roman" w:hAnsi="Times New Roman" w:cs="Times New Roman"/>
                <w:snapToGrid w:val="0"/>
                <w:color w:val="auto"/>
                <w:spacing w:val="-6"/>
                <w:kern w:val="21"/>
                <w:sz w:val="21"/>
                <w:szCs w:val="21"/>
              </w:rPr>
              <w:fldChar w:fldCharType="end"/>
            </w:r>
          </w:p>
        </w:tc>
        <w:tc>
          <w:tcPr>
            <w:tcW w:w="577" w:type="pct"/>
            <w:tcMar>
              <w:left w:w="28" w:type="dxa"/>
              <w:right w:w="28" w:type="dxa"/>
            </w:tcMar>
            <w:vAlign w:val="center"/>
          </w:tcPr>
          <w:p w14:paraId="466DCE1A">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现有工程</w:t>
            </w:r>
          </w:p>
          <w:p w14:paraId="716AE62D">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许可排放量</w:t>
            </w:r>
          </w:p>
          <w:p w14:paraId="73A5BC3E">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2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snapToGrid w:val="0"/>
                <w:color w:val="auto"/>
                <w:spacing w:val="-6"/>
                <w:kern w:val="21"/>
                <w:sz w:val="21"/>
                <w:szCs w:val="21"/>
              </w:rPr>
              <w:t>②</w:t>
            </w:r>
            <w:r>
              <w:rPr>
                <w:rFonts w:hint="default" w:ascii="Times New Roman" w:hAnsi="Times New Roman" w:cs="Times New Roman"/>
                <w:snapToGrid w:val="0"/>
                <w:color w:val="auto"/>
                <w:spacing w:val="-6"/>
                <w:kern w:val="21"/>
                <w:sz w:val="21"/>
                <w:szCs w:val="21"/>
              </w:rPr>
              <w:fldChar w:fldCharType="end"/>
            </w:r>
          </w:p>
        </w:tc>
        <w:tc>
          <w:tcPr>
            <w:tcW w:w="469" w:type="pct"/>
            <w:tcMar>
              <w:left w:w="28" w:type="dxa"/>
              <w:right w:w="28" w:type="dxa"/>
            </w:tcMar>
            <w:vAlign w:val="center"/>
          </w:tcPr>
          <w:p w14:paraId="119181A3">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在建工程</w:t>
            </w:r>
          </w:p>
          <w:p w14:paraId="05FA951E">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3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③</w:t>
            </w:r>
            <w:r>
              <w:rPr>
                <w:rFonts w:hint="default" w:ascii="Times New Roman" w:hAnsi="Times New Roman" w:cs="Times New Roman"/>
                <w:snapToGrid w:val="0"/>
                <w:color w:val="auto"/>
                <w:spacing w:val="-6"/>
                <w:kern w:val="21"/>
                <w:sz w:val="21"/>
                <w:szCs w:val="21"/>
              </w:rPr>
              <w:fldChar w:fldCharType="end"/>
            </w:r>
          </w:p>
        </w:tc>
        <w:tc>
          <w:tcPr>
            <w:tcW w:w="579" w:type="pct"/>
            <w:tcMar>
              <w:left w:w="28" w:type="dxa"/>
              <w:right w:w="28" w:type="dxa"/>
            </w:tcMar>
            <w:vAlign w:val="center"/>
          </w:tcPr>
          <w:p w14:paraId="76092C25">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本项目</w:t>
            </w:r>
          </w:p>
          <w:p w14:paraId="7DE753CF">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4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④</w:t>
            </w:r>
            <w:r>
              <w:rPr>
                <w:rFonts w:hint="default" w:ascii="Times New Roman" w:hAnsi="Times New Roman" w:cs="Times New Roman"/>
                <w:snapToGrid w:val="0"/>
                <w:color w:val="auto"/>
                <w:spacing w:val="-6"/>
                <w:kern w:val="21"/>
                <w:sz w:val="21"/>
                <w:szCs w:val="21"/>
              </w:rPr>
              <w:fldChar w:fldCharType="end"/>
            </w:r>
          </w:p>
        </w:tc>
        <w:tc>
          <w:tcPr>
            <w:tcW w:w="504" w:type="pct"/>
            <w:tcMar>
              <w:left w:w="28" w:type="dxa"/>
              <w:right w:w="28" w:type="dxa"/>
            </w:tcMar>
            <w:vAlign w:val="center"/>
          </w:tcPr>
          <w:p w14:paraId="5141F91D">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以新带老削减量</w:t>
            </w:r>
          </w:p>
          <w:p w14:paraId="3D595016">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（新建项目不填）</w:t>
            </w:r>
            <w:r>
              <w:rPr>
                <w:rFonts w:hint="default" w:ascii="Times New Roman" w:hAnsi="Times New Roman" w:cs="Times New Roman"/>
                <w:snapToGrid w:val="0"/>
                <w:color w:val="auto"/>
                <w:spacing w:val="-16"/>
                <w:kern w:val="21"/>
                <w:sz w:val="21"/>
                <w:szCs w:val="21"/>
              </w:rPr>
              <w:fldChar w:fldCharType="begin"/>
            </w:r>
            <w:r>
              <w:rPr>
                <w:rFonts w:hint="default" w:ascii="Times New Roman" w:hAnsi="Times New Roman" w:cs="Times New Roman"/>
                <w:snapToGrid w:val="0"/>
                <w:color w:val="auto"/>
                <w:spacing w:val="-16"/>
                <w:kern w:val="21"/>
                <w:sz w:val="21"/>
                <w:szCs w:val="21"/>
              </w:rPr>
              <w:instrText xml:space="preserve"> = 5 \* GB3 \* MERGEFORMAT </w:instrText>
            </w:r>
            <w:r>
              <w:rPr>
                <w:rFonts w:hint="default" w:ascii="Times New Roman" w:hAnsi="Times New Roman" w:cs="Times New Roman"/>
                <w:snapToGrid w:val="0"/>
                <w:color w:val="auto"/>
                <w:spacing w:val="-16"/>
                <w:kern w:val="21"/>
                <w:sz w:val="21"/>
                <w:szCs w:val="21"/>
              </w:rPr>
              <w:fldChar w:fldCharType="separate"/>
            </w:r>
            <w:r>
              <w:rPr>
                <w:rFonts w:hint="default" w:ascii="Times New Roman" w:hAnsi="Times New Roman" w:cs="Times New Roman"/>
                <w:color w:val="auto"/>
                <w:kern w:val="2"/>
                <w:sz w:val="21"/>
                <w:szCs w:val="21"/>
              </w:rPr>
              <w:t>⑤</w:t>
            </w:r>
            <w:r>
              <w:rPr>
                <w:rFonts w:hint="default" w:ascii="Times New Roman" w:hAnsi="Times New Roman" w:cs="Times New Roman"/>
                <w:snapToGrid w:val="0"/>
                <w:color w:val="auto"/>
                <w:spacing w:val="-16"/>
                <w:kern w:val="21"/>
                <w:sz w:val="21"/>
                <w:szCs w:val="21"/>
              </w:rPr>
              <w:fldChar w:fldCharType="end"/>
            </w:r>
          </w:p>
        </w:tc>
        <w:tc>
          <w:tcPr>
            <w:tcW w:w="752" w:type="pct"/>
            <w:tcMar>
              <w:left w:w="28" w:type="dxa"/>
              <w:right w:w="28" w:type="dxa"/>
            </w:tcMar>
            <w:vAlign w:val="center"/>
          </w:tcPr>
          <w:p w14:paraId="77B9C0C6">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本项目建成后全厂排放量（固体废物产生量）⑥</w:t>
            </w:r>
          </w:p>
        </w:tc>
        <w:tc>
          <w:tcPr>
            <w:tcW w:w="638" w:type="pct"/>
            <w:tcMar>
              <w:left w:w="28" w:type="dxa"/>
              <w:right w:w="28" w:type="dxa"/>
            </w:tcMar>
            <w:vAlign w:val="center"/>
          </w:tcPr>
          <w:p w14:paraId="35C6EF67">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变化量</w:t>
            </w:r>
          </w:p>
          <w:p w14:paraId="347DF791">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7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⑦</w:t>
            </w:r>
            <w:r>
              <w:rPr>
                <w:rFonts w:hint="default" w:ascii="Times New Roman" w:hAnsi="Times New Roman" w:cs="Times New Roman"/>
                <w:snapToGrid w:val="0"/>
                <w:color w:val="auto"/>
                <w:spacing w:val="-6"/>
                <w:kern w:val="21"/>
                <w:sz w:val="21"/>
                <w:szCs w:val="21"/>
              </w:rPr>
              <w:fldChar w:fldCharType="end"/>
            </w:r>
          </w:p>
        </w:tc>
      </w:tr>
      <w:tr w14:paraId="566AA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Align w:val="center"/>
          </w:tcPr>
          <w:p w14:paraId="04702A31">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废气</w:t>
            </w:r>
          </w:p>
          <w:p w14:paraId="61D0E840">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w:t>
            </w:r>
            <w:r>
              <w:rPr>
                <w:rFonts w:hint="eastAsia" w:ascii="Times New Roman" w:cs="Times New Roman"/>
                <w:snapToGrid w:val="0"/>
                <w:color w:val="auto"/>
                <w:kern w:val="21"/>
                <w:sz w:val="21"/>
                <w:szCs w:val="21"/>
                <w:lang w:eastAsia="zh-CN"/>
              </w:rPr>
              <w:t>有</w:t>
            </w:r>
            <w:r>
              <w:rPr>
                <w:rFonts w:hint="default" w:ascii="Times New Roman" w:hAnsi="Times New Roman" w:cs="Times New Roman"/>
                <w:snapToGrid w:val="0"/>
                <w:color w:val="auto"/>
                <w:kern w:val="21"/>
                <w:sz w:val="21"/>
                <w:szCs w:val="21"/>
              </w:rPr>
              <w:t>组织）</w:t>
            </w:r>
          </w:p>
        </w:tc>
        <w:tc>
          <w:tcPr>
            <w:tcW w:w="525" w:type="pct"/>
            <w:shd w:val="clear" w:color="auto" w:fill="auto"/>
            <w:vAlign w:val="center"/>
          </w:tcPr>
          <w:p w14:paraId="29FBD6AE">
            <w:pPr>
              <w:jc w:val="center"/>
              <w:rPr>
                <w:rFonts w:hint="eastAsia"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7" w:type="pct"/>
            <w:shd w:val="clear" w:color="auto" w:fill="auto"/>
            <w:vAlign w:val="center"/>
          </w:tcPr>
          <w:p w14:paraId="2FA535D9">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7" w:type="pct"/>
            <w:shd w:val="clear" w:color="auto" w:fill="auto"/>
            <w:vAlign w:val="center"/>
          </w:tcPr>
          <w:p w14:paraId="07074C53">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469" w:type="pct"/>
            <w:vAlign w:val="center"/>
          </w:tcPr>
          <w:p w14:paraId="430C95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579" w:type="pct"/>
            <w:shd w:val="clear" w:color="auto" w:fill="auto"/>
            <w:vAlign w:val="center"/>
          </w:tcPr>
          <w:p w14:paraId="02525B3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c>
          <w:tcPr>
            <w:tcW w:w="504" w:type="pct"/>
            <w:shd w:val="clear" w:color="auto" w:fill="auto"/>
            <w:vAlign w:val="center"/>
          </w:tcPr>
          <w:p w14:paraId="213743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eastAsiaTheme="majorEastAsia"/>
                <w:color w:val="auto"/>
                <w:szCs w:val="21"/>
                <w:lang w:val="en-US" w:eastAsia="zh-CN"/>
              </w:rPr>
              <w:t>/</w:t>
            </w:r>
          </w:p>
        </w:tc>
        <w:tc>
          <w:tcPr>
            <w:tcW w:w="752" w:type="pct"/>
            <w:shd w:val="clear" w:color="auto" w:fill="auto"/>
            <w:vAlign w:val="center"/>
          </w:tcPr>
          <w:p w14:paraId="18A10D5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c>
          <w:tcPr>
            <w:tcW w:w="638" w:type="pct"/>
            <w:shd w:val="clear" w:color="auto" w:fill="auto"/>
            <w:vAlign w:val="center"/>
          </w:tcPr>
          <w:p w14:paraId="14858F0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eastAsiaTheme="majorEastAsia"/>
                <w:color w:val="auto"/>
                <w:szCs w:val="21"/>
                <w:lang w:val="en-US" w:eastAsia="zh-CN"/>
              </w:rPr>
              <w:t>/</w:t>
            </w:r>
          </w:p>
        </w:tc>
      </w:tr>
      <w:tr w14:paraId="706BEC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restart"/>
            <w:vAlign w:val="center"/>
          </w:tcPr>
          <w:p w14:paraId="0EDA0BA1">
            <w:pPr>
              <w:pStyle w:val="45"/>
              <w:keepNext w:val="0"/>
              <w:keepLines w:val="0"/>
              <w:pageBreakBefore w:val="0"/>
              <w:kinsoku/>
              <w:wordWrap/>
              <w:overflowPunct/>
              <w:topLinePunct w:val="0"/>
              <w:autoSpaceDE/>
              <w:autoSpaceDN/>
              <w:bidi w:val="0"/>
              <w:spacing w:beforeLines="0" w:afterLines="0" w:line="240" w:lineRule="auto"/>
              <w:jc w:val="center"/>
              <w:rPr>
                <w:rFonts w:hint="eastAsia" w:ascii="Times New Roman" w:hAnsi="Times New Roman" w:eastAsia="宋体" w:cs="Times New Roman"/>
                <w:snapToGrid w:val="0"/>
                <w:color w:val="auto"/>
                <w:kern w:val="21"/>
                <w:sz w:val="21"/>
                <w:szCs w:val="21"/>
                <w:lang w:eastAsia="zh-CN"/>
              </w:rPr>
            </w:pPr>
            <w:r>
              <w:rPr>
                <w:rFonts w:hint="eastAsia" w:ascii="Times New Roman" w:cs="Times New Roman"/>
                <w:snapToGrid w:val="0"/>
                <w:color w:val="auto"/>
                <w:kern w:val="21"/>
                <w:sz w:val="21"/>
                <w:szCs w:val="21"/>
                <w:lang w:eastAsia="zh-CN"/>
              </w:rPr>
              <w:t>综合废</w:t>
            </w:r>
            <w:r>
              <w:rPr>
                <w:rFonts w:hint="default" w:ascii="Times New Roman" w:hAnsi="Times New Roman" w:cs="Times New Roman"/>
                <w:snapToGrid w:val="0"/>
                <w:color w:val="auto"/>
                <w:kern w:val="21"/>
                <w:sz w:val="21"/>
                <w:szCs w:val="21"/>
              </w:rPr>
              <w:t>水</w:t>
            </w:r>
          </w:p>
        </w:tc>
        <w:tc>
          <w:tcPr>
            <w:tcW w:w="525" w:type="pct"/>
            <w:vAlign w:val="center"/>
          </w:tcPr>
          <w:p w14:paraId="69409E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废水量（吨/年）</w:t>
            </w:r>
          </w:p>
        </w:tc>
        <w:tc>
          <w:tcPr>
            <w:tcW w:w="577" w:type="pct"/>
            <w:shd w:val="clear" w:color="auto" w:fill="auto"/>
            <w:vAlign w:val="center"/>
          </w:tcPr>
          <w:p w14:paraId="67D302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429074</w:t>
            </w:r>
          </w:p>
        </w:tc>
        <w:tc>
          <w:tcPr>
            <w:tcW w:w="577" w:type="pct"/>
            <w:shd w:val="clear" w:color="auto" w:fill="auto"/>
            <w:vAlign w:val="center"/>
          </w:tcPr>
          <w:p w14:paraId="0F30A6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color w:val="auto"/>
                <w:sz w:val="21"/>
                <w:szCs w:val="21"/>
              </w:rPr>
              <w:t>429074</w:t>
            </w:r>
          </w:p>
        </w:tc>
        <w:tc>
          <w:tcPr>
            <w:tcW w:w="469" w:type="pct"/>
            <w:vAlign w:val="center"/>
          </w:tcPr>
          <w:p w14:paraId="53C59F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579" w:type="pct"/>
            <w:shd w:val="clear" w:color="auto" w:fill="auto"/>
            <w:vAlign w:val="center"/>
          </w:tcPr>
          <w:p w14:paraId="6C7988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bCs/>
                <w:color w:val="auto"/>
                <w:sz w:val="21"/>
                <w:szCs w:val="21"/>
                <w:lang w:val="en-US" w:eastAsia="zh-CN"/>
              </w:rPr>
              <w:t>46866</w:t>
            </w:r>
          </w:p>
        </w:tc>
        <w:tc>
          <w:tcPr>
            <w:tcW w:w="504" w:type="pct"/>
            <w:shd w:val="clear" w:color="auto" w:fill="auto"/>
            <w:vAlign w:val="center"/>
          </w:tcPr>
          <w:p w14:paraId="48D1FF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134719</w:t>
            </w:r>
          </w:p>
        </w:tc>
        <w:tc>
          <w:tcPr>
            <w:tcW w:w="752" w:type="pct"/>
            <w:shd w:val="clear" w:color="auto" w:fill="auto"/>
            <w:vAlign w:val="center"/>
          </w:tcPr>
          <w:p w14:paraId="73F1B7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bCs/>
                <w:color w:val="auto"/>
                <w:sz w:val="21"/>
                <w:szCs w:val="21"/>
                <w:lang w:val="en-US" w:eastAsia="zh-CN"/>
              </w:rPr>
              <w:t>341221</w:t>
            </w:r>
          </w:p>
        </w:tc>
        <w:tc>
          <w:tcPr>
            <w:tcW w:w="638" w:type="pct"/>
            <w:shd w:val="clear" w:color="auto" w:fill="auto"/>
            <w:vAlign w:val="center"/>
          </w:tcPr>
          <w:p w14:paraId="114C0E76">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87853</w:t>
            </w:r>
          </w:p>
        </w:tc>
      </w:tr>
      <w:tr w14:paraId="4ED05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2840FCBF">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525" w:type="pct"/>
            <w:vAlign w:val="center"/>
          </w:tcPr>
          <w:p w14:paraId="0177E33D">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COD</w:t>
            </w:r>
          </w:p>
        </w:tc>
        <w:tc>
          <w:tcPr>
            <w:tcW w:w="577" w:type="pct"/>
            <w:shd w:val="clear" w:color="auto" w:fill="auto"/>
            <w:vAlign w:val="center"/>
          </w:tcPr>
          <w:p w14:paraId="1BFCDC22">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57.40</w:t>
            </w:r>
          </w:p>
        </w:tc>
        <w:tc>
          <w:tcPr>
            <w:tcW w:w="577" w:type="pct"/>
            <w:shd w:val="clear" w:color="auto" w:fill="auto"/>
            <w:vAlign w:val="center"/>
          </w:tcPr>
          <w:p w14:paraId="78855B39">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57.40</w:t>
            </w:r>
          </w:p>
        </w:tc>
        <w:tc>
          <w:tcPr>
            <w:tcW w:w="469" w:type="pct"/>
            <w:vAlign w:val="center"/>
          </w:tcPr>
          <w:p w14:paraId="43070A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2BEE7C2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3.7683</w:t>
            </w:r>
          </w:p>
        </w:tc>
        <w:tc>
          <w:tcPr>
            <w:tcW w:w="1360" w:type="dxa"/>
            <w:shd w:val="clear" w:color="auto" w:fill="auto"/>
            <w:vAlign w:val="center"/>
          </w:tcPr>
          <w:p w14:paraId="45E35921">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17.35</w:t>
            </w:r>
          </w:p>
        </w:tc>
        <w:tc>
          <w:tcPr>
            <w:tcW w:w="2030" w:type="dxa"/>
            <w:shd w:val="clear" w:color="auto" w:fill="auto"/>
            <w:vAlign w:val="center"/>
          </w:tcPr>
          <w:p w14:paraId="252ACA2C">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43.8183</w:t>
            </w:r>
          </w:p>
        </w:tc>
        <w:tc>
          <w:tcPr>
            <w:tcW w:w="1722" w:type="dxa"/>
            <w:shd w:val="clear" w:color="auto" w:fill="auto"/>
            <w:vAlign w:val="center"/>
          </w:tcPr>
          <w:p w14:paraId="1692DF97">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-13.5817</w:t>
            </w:r>
          </w:p>
        </w:tc>
      </w:tr>
      <w:tr w14:paraId="5F993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1C5B1205">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525" w:type="pct"/>
            <w:vAlign w:val="center"/>
          </w:tcPr>
          <w:p w14:paraId="10364B28">
            <w:pPr>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B</w:t>
            </w:r>
            <w:r>
              <w:rPr>
                <w:color w:val="auto"/>
                <w:sz w:val="21"/>
                <w:szCs w:val="21"/>
              </w:rPr>
              <w:t>OD</w:t>
            </w:r>
            <w:r>
              <w:rPr>
                <w:color w:val="auto"/>
                <w:sz w:val="21"/>
                <w:szCs w:val="21"/>
                <w:vertAlign w:val="subscript"/>
              </w:rPr>
              <w:t>5</w:t>
            </w:r>
          </w:p>
        </w:tc>
        <w:tc>
          <w:tcPr>
            <w:tcW w:w="577" w:type="pct"/>
            <w:shd w:val="clear" w:color="auto" w:fill="auto"/>
            <w:vAlign w:val="center"/>
          </w:tcPr>
          <w:p w14:paraId="49D3A45A">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36.49</w:t>
            </w:r>
          </w:p>
        </w:tc>
        <w:tc>
          <w:tcPr>
            <w:tcW w:w="577" w:type="pct"/>
            <w:shd w:val="clear" w:color="auto" w:fill="auto"/>
            <w:vAlign w:val="center"/>
          </w:tcPr>
          <w:p w14:paraId="4A7835E8">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36.49</w:t>
            </w:r>
          </w:p>
        </w:tc>
        <w:tc>
          <w:tcPr>
            <w:tcW w:w="469" w:type="pct"/>
            <w:vAlign w:val="center"/>
          </w:tcPr>
          <w:p w14:paraId="6C1FEE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60EFF2B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4.0878</w:t>
            </w:r>
          </w:p>
        </w:tc>
        <w:tc>
          <w:tcPr>
            <w:tcW w:w="1360" w:type="dxa"/>
            <w:shd w:val="clear" w:color="auto" w:fill="auto"/>
            <w:vAlign w:val="center"/>
          </w:tcPr>
          <w:p w14:paraId="617E2BB6">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11.03</w:t>
            </w:r>
          </w:p>
        </w:tc>
        <w:tc>
          <w:tcPr>
            <w:tcW w:w="2030" w:type="dxa"/>
            <w:shd w:val="clear" w:color="auto" w:fill="auto"/>
            <w:vAlign w:val="center"/>
          </w:tcPr>
          <w:p w14:paraId="7B5FD4ED">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29.5478</w:t>
            </w:r>
          </w:p>
        </w:tc>
        <w:tc>
          <w:tcPr>
            <w:tcW w:w="1722" w:type="dxa"/>
            <w:shd w:val="clear" w:color="auto" w:fill="auto"/>
            <w:vAlign w:val="center"/>
          </w:tcPr>
          <w:p w14:paraId="7A99FAA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-6.9422</w:t>
            </w:r>
          </w:p>
        </w:tc>
      </w:tr>
      <w:tr w14:paraId="708C2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7E6EC8AD">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525" w:type="pct"/>
            <w:vAlign w:val="center"/>
          </w:tcPr>
          <w:p w14:paraId="7A23F00D">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SS</w:t>
            </w:r>
          </w:p>
        </w:tc>
        <w:tc>
          <w:tcPr>
            <w:tcW w:w="577" w:type="pct"/>
            <w:shd w:val="clear" w:color="auto" w:fill="auto"/>
            <w:vAlign w:val="center"/>
          </w:tcPr>
          <w:p w14:paraId="0E2936DD">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17.11</w:t>
            </w:r>
          </w:p>
        </w:tc>
        <w:tc>
          <w:tcPr>
            <w:tcW w:w="577" w:type="pct"/>
            <w:shd w:val="clear" w:color="auto" w:fill="auto"/>
            <w:vAlign w:val="center"/>
          </w:tcPr>
          <w:p w14:paraId="1672D11A">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17.11</w:t>
            </w:r>
          </w:p>
        </w:tc>
        <w:tc>
          <w:tcPr>
            <w:tcW w:w="469" w:type="pct"/>
            <w:vAlign w:val="center"/>
          </w:tcPr>
          <w:p w14:paraId="5DB7B6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51A32D3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2.0530</w:t>
            </w:r>
          </w:p>
        </w:tc>
        <w:tc>
          <w:tcPr>
            <w:tcW w:w="1360" w:type="dxa"/>
            <w:shd w:val="clear" w:color="auto" w:fill="auto"/>
            <w:vAlign w:val="center"/>
          </w:tcPr>
          <w:p w14:paraId="5A964F68">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5.23</w:t>
            </w:r>
          </w:p>
        </w:tc>
        <w:tc>
          <w:tcPr>
            <w:tcW w:w="2030" w:type="dxa"/>
            <w:shd w:val="clear" w:color="auto" w:fill="auto"/>
            <w:vAlign w:val="center"/>
          </w:tcPr>
          <w:p w14:paraId="3E31B5D6">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13.9330</w:t>
            </w:r>
          </w:p>
        </w:tc>
        <w:tc>
          <w:tcPr>
            <w:tcW w:w="1722" w:type="dxa"/>
            <w:shd w:val="clear" w:color="auto" w:fill="auto"/>
            <w:vAlign w:val="center"/>
          </w:tcPr>
          <w:p w14:paraId="1A05E07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-3.1770</w:t>
            </w:r>
          </w:p>
        </w:tc>
      </w:tr>
      <w:tr w14:paraId="3514F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1BADBE4C">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525" w:type="pct"/>
            <w:vAlign w:val="center"/>
          </w:tcPr>
          <w:p w14:paraId="718C6836">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氨氮</w:t>
            </w:r>
          </w:p>
        </w:tc>
        <w:tc>
          <w:tcPr>
            <w:tcW w:w="577" w:type="pct"/>
            <w:shd w:val="clear" w:color="auto" w:fill="auto"/>
            <w:vAlign w:val="center"/>
          </w:tcPr>
          <w:p w14:paraId="4019A47E">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1.20</w:t>
            </w:r>
          </w:p>
        </w:tc>
        <w:tc>
          <w:tcPr>
            <w:tcW w:w="577" w:type="pct"/>
            <w:shd w:val="clear" w:color="auto" w:fill="auto"/>
            <w:vAlign w:val="center"/>
          </w:tcPr>
          <w:p w14:paraId="49C88488">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1.20</w:t>
            </w:r>
          </w:p>
        </w:tc>
        <w:tc>
          <w:tcPr>
            <w:tcW w:w="469" w:type="pct"/>
            <w:vAlign w:val="center"/>
          </w:tcPr>
          <w:p w14:paraId="07F074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75903A8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0.1311</w:t>
            </w:r>
          </w:p>
        </w:tc>
        <w:tc>
          <w:tcPr>
            <w:tcW w:w="1360" w:type="dxa"/>
            <w:shd w:val="clear" w:color="auto" w:fill="auto"/>
            <w:vAlign w:val="center"/>
          </w:tcPr>
          <w:p w14:paraId="6E333F54">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2030" w:type="dxa"/>
            <w:shd w:val="clear" w:color="auto" w:fill="auto"/>
            <w:vAlign w:val="center"/>
          </w:tcPr>
          <w:p w14:paraId="4072B9E1">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0.9611</w:t>
            </w:r>
          </w:p>
        </w:tc>
        <w:tc>
          <w:tcPr>
            <w:tcW w:w="1722" w:type="dxa"/>
            <w:shd w:val="clear" w:color="auto" w:fill="auto"/>
            <w:vAlign w:val="center"/>
          </w:tcPr>
          <w:p w14:paraId="1B070CC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-0.2389</w:t>
            </w:r>
          </w:p>
        </w:tc>
      </w:tr>
      <w:tr w14:paraId="34360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799304DF">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525" w:type="pct"/>
            <w:vAlign w:val="center"/>
          </w:tcPr>
          <w:p w14:paraId="428AA0D3">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总氮</w:t>
            </w:r>
          </w:p>
        </w:tc>
        <w:tc>
          <w:tcPr>
            <w:tcW w:w="577" w:type="pct"/>
            <w:shd w:val="clear" w:color="auto" w:fill="auto"/>
            <w:vAlign w:val="center"/>
          </w:tcPr>
          <w:p w14:paraId="2D37658A">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2.27</w:t>
            </w:r>
          </w:p>
        </w:tc>
        <w:tc>
          <w:tcPr>
            <w:tcW w:w="577" w:type="pct"/>
            <w:shd w:val="clear" w:color="auto" w:fill="auto"/>
            <w:vAlign w:val="center"/>
          </w:tcPr>
          <w:p w14:paraId="3DCFB700">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2.27</w:t>
            </w:r>
          </w:p>
        </w:tc>
        <w:tc>
          <w:tcPr>
            <w:tcW w:w="469" w:type="pct"/>
            <w:vAlign w:val="center"/>
          </w:tcPr>
          <w:p w14:paraId="5D9901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07E45FB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0.2501</w:t>
            </w:r>
          </w:p>
        </w:tc>
        <w:tc>
          <w:tcPr>
            <w:tcW w:w="1360" w:type="dxa"/>
            <w:shd w:val="clear" w:color="auto" w:fill="auto"/>
            <w:vAlign w:val="center"/>
          </w:tcPr>
          <w:p w14:paraId="37DF8E42">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2030" w:type="dxa"/>
            <w:shd w:val="clear" w:color="auto" w:fill="auto"/>
            <w:vAlign w:val="center"/>
          </w:tcPr>
          <w:p w14:paraId="09ECCDC3">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1.8301</w:t>
            </w:r>
          </w:p>
        </w:tc>
        <w:tc>
          <w:tcPr>
            <w:tcW w:w="1722" w:type="dxa"/>
            <w:shd w:val="clear" w:color="auto" w:fill="auto"/>
            <w:vAlign w:val="center"/>
          </w:tcPr>
          <w:p w14:paraId="4BDC823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-0.4399</w:t>
            </w:r>
          </w:p>
        </w:tc>
      </w:tr>
      <w:tr w14:paraId="6560A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3B12DAB6">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525" w:type="pct"/>
            <w:vAlign w:val="center"/>
          </w:tcPr>
          <w:p w14:paraId="4C7FBEC8">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总磷</w:t>
            </w:r>
          </w:p>
        </w:tc>
        <w:tc>
          <w:tcPr>
            <w:tcW w:w="577" w:type="pct"/>
            <w:shd w:val="clear" w:color="auto" w:fill="auto"/>
            <w:vAlign w:val="center"/>
          </w:tcPr>
          <w:p w14:paraId="0970925C">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0.21</w:t>
            </w:r>
          </w:p>
        </w:tc>
        <w:tc>
          <w:tcPr>
            <w:tcW w:w="577" w:type="pct"/>
            <w:shd w:val="clear" w:color="auto" w:fill="auto"/>
            <w:vAlign w:val="center"/>
          </w:tcPr>
          <w:p w14:paraId="0BEB73F0">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0.21</w:t>
            </w:r>
          </w:p>
        </w:tc>
        <w:tc>
          <w:tcPr>
            <w:tcW w:w="469" w:type="pct"/>
            <w:vAlign w:val="center"/>
          </w:tcPr>
          <w:p w14:paraId="34C14A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5759B34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0.0247</w:t>
            </w:r>
          </w:p>
        </w:tc>
        <w:tc>
          <w:tcPr>
            <w:tcW w:w="1360" w:type="dxa"/>
            <w:shd w:val="clear" w:color="auto" w:fill="auto"/>
            <w:vAlign w:val="center"/>
          </w:tcPr>
          <w:p w14:paraId="731EE2E9">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2030" w:type="dxa"/>
            <w:shd w:val="clear" w:color="auto" w:fill="auto"/>
            <w:vAlign w:val="center"/>
          </w:tcPr>
          <w:p w14:paraId="0894EF22">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0.1747</w:t>
            </w:r>
          </w:p>
        </w:tc>
        <w:tc>
          <w:tcPr>
            <w:tcW w:w="1722" w:type="dxa"/>
            <w:shd w:val="clear" w:color="auto" w:fill="auto"/>
            <w:vAlign w:val="center"/>
          </w:tcPr>
          <w:p w14:paraId="2F71786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-0.0353</w:t>
            </w:r>
          </w:p>
        </w:tc>
      </w:tr>
      <w:tr w14:paraId="7AC8E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37A5720E">
            <w:pPr>
              <w:pStyle w:val="45"/>
              <w:keepNext w:val="0"/>
              <w:keepLines w:val="0"/>
              <w:pageBreakBefore w:val="0"/>
              <w:kinsoku/>
              <w:wordWrap/>
              <w:overflowPunct/>
              <w:topLinePunct w:val="0"/>
              <w:autoSpaceDE/>
              <w:autoSpaceDN/>
              <w:bidi w:val="0"/>
              <w:spacing w:beforeLines="0" w:afterLines="0" w:line="240" w:lineRule="auto"/>
              <w:jc w:val="center"/>
              <w:rPr>
                <w:rFonts w:hint="eastAsia" w:ascii="Times New Roman" w:hAnsi="Times New Roman" w:eastAsia="宋体" w:cs="Times New Roman"/>
                <w:snapToGrid w:val="0"/>
                <w:color w:val="auto"/>
                <w:kern w:val="21"/>
                <w:sz w:val="21"/>
                <w:szCs w:val="21"/>
                <w:lang w:eastAsia="zh-CN"/>
              </w:rPr>
            </w:pPr>
          </w:p>
        </w:tc>
        <w:tc>
          <w:tcPr>
            <w:tcW w:w="525" w:type="pct"/>
            <w:vAlign w:val="center"/>
          </w:tcPr>
          <w:p w14:paraId="63BAEC0D">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动植物油</w:t>
            </w:r>
          </w:p>
        </w:tc>
        <w:tc>
          <w:tcPr>
            <w:tcW w:w="577" w:type="pct"/>
            <w:shd w:val="clear" w:color="auto" w:fill="auto"/>
            <w:vAlign w:val="center"/>
          </w:tcPr>
          <w:p w14:paraId="7338562A">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0.09</w:t>
            </w:r>
          </w:p>
        </w:tc>
        <w:tc>
          <w:tcPr>
            <w:tcW w:w="577" w:type="pct"/>
            <w:shd w:val="clear" w:color="auto" w:fill="auto"/>
            <w:vAlign w:val="center"/>
          </w:tcPr>
          <w:p w14:paraId="6A325097">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0.09</w:t>
            </w:r>
          </w:p>
        </w:tc>
        <w:tc>
          <w:tcPr>
            <w:tcW w:w="469" w:type="pct"/>
            <w:vAlign w:val="center"/>
          </w:tcPr>
          <w:p w14:paraId="4D7FC2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275D690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0.0191</w:t>
            </w:r>
          </w:p>
        </w:tc>
        <w:tc>
          <w:tcPr>
            <w:tcW w:w="1360" w:type="dxa"/>
            <w:shd w:val="clear" w:color="auto" w:fill="auto"/>
            <w:vAlign w:val="center"/>
          </w:tcPr>
          <w:p w14:paraId="4D11445C">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2030" w:type="dxa"/>
            <w:shd w:val="clear" w:color="auto" w:fill="auto"/>
            <w:vAlign w:val="center"/>
          </w:tcPr>
          <w:p w14:paraId="04458A6F">
            <w:pPr>
              <w:keepNext w:val="0"/>
              <w:keepLines w:val="0"/>
              <w:widowControl/>
              <w:suppressLineNumbers w:val="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0.0891</w:t>
            </w:r>
          </w:p>
        </w:tc>
        <w:tc>
          <w:tcPr>
            <w:tcW w:w="1722" w:type="dxa"/>
            <w:shd w:val="clear" w:color="auto" w:fill="auto"/>
            <w:vAlign w:val="center"/>
          </w:tcPr>
          <w:p w14:paraId="493AEF9E">
            <w:pPr>
              <w:keepNext w:val="0"/>
              <w:keepLines w:val="0"/>
              <w:widowControl/>
              <w:suppressLineNumbers w:val="0"/>
              <w:jc w:val="center"/>
              <w:textAlignment w:val="center"/>
              <w:rPr>
                <w:rFonts w:hint="default"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-0.0009</w:t>
            </w:r>
          </w:p>
        </w:tc>
      </w:tr>
      <w:tr w14:paraId="1CFF5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6CB7D534">
            <w:pPr>
              <w:pStyle w:val="45"/>
              <w:keepNext w:val="0"/>
              <w:keepLines w:val="0"/>
              <w:pageBreakBefore w:val="0"/>
              <w:kinsoku/>
              <w:wordWrap/>
              <w:overflowPunct/>
              <w:topLinePunct w:val="0"/>
              <w:autoSpaceDE/>
              <w:autoSpaceDN/>
              <w:bidi w:val="0"/>
              <w:spacing w:beforeLines="0" w:afterLines="0" w:line="240" w:lineRule="auto"/>
              <w:jc w:val="center"/>
              <w:rPr>
                <w:rFonts w:hint="eastAsia" w:ascii="Times New Roman" w:cs="Times New Roman"/>
                <w:snapToGrid w:val="0"/>
                <w:color w:val="auto"/>
                <w:kern w:val="21"/>
                <w:sz w:val="21"/>
                <w:szCs w:val="21"/>
                <w:lang w:eastAsia="zh-CN"/>
              </w:rPr>
            </w:pPr>
          </w:p>
        </w:tc>
        <w:tc>
          <w:tcPr>
            <w:tcW w:w="525" w:type="pct"/>
            <w:vAlign w:val="center"/>
          </w:tcPr>
          <w:p w14:paraId="52811BBE">
            <w:pPr>
              <w:jc w:val="center"/>
              <w:rPr>
                <w:rFonts w:hint="eastAsia" w:cs="Times New Roman" w:eastAsiaTheme="majorEastAsia"/>
                <w:color w:val="auto"/>
                <w:kern w:val="2"/>
                <w:sz w:val="21"/>
                <w:szCs w:val="21"/>
                <w:lang w:val="en-US" w:eastAsia="zh-CN" w:bidi="ar-SA"/>
              </w:rPr>
            </w:pPr>
            <w:r>
              <w:rPr>
                <w:color w:val="auto"/>
                <w:sz w:val="21"/>
                <w:szCs w:val="21"/>
              </w:rPr>
              <w:t>LAS</w:t>
            </w:r>
          </w:p>
        </w:tc>
        <w:tc>
          <w:tcPr>
            <w:tcW w:w="577" w:type="pct"/>
            <w:shd w:val="clear" w:color="auto" w:fill="auto"/>
            <w:vAlign w:val="center"/>
          </w:tcPr>
          <w:p w14:paraId="4711528A">
            <w:pPr>
              <w:widowControl/>
              <w:jc w:val="center"/>
              <w:rPr>
                <w:rFonts w:hint="default" w:cs="Times New Roman" w:eastAsiaTheme="majorEastAsia"/>
                <w:color w:val="auto"/>
                <w:kern w:val="2"/>
                <w:sz w:val="21"/>
                <w:szCs w:val="21"/>
                <w:lang w:val="en-US" w:eastAsia="zh-CN" w:bidi="ar-SA"/>
              </w:rPr>
            </w:pPr>
            <w:r>
              <w:rPr>
                <w:rFonts w:hint="eastAsia"/>
                <w:color w:val="auto"/>
                <w:sz w:val="21"/>
                <w:szCs w:val="21"/>
              </w:rPr>
              <w:t>0.22</w:t>
            </w:r>
          </w:p>
        </w:tc>
        <w:tc>
          <w:tcPr>
            <w:tcW w:w="577" w:type="pct"/>
            <w:shd w:val="clear" w:color="auto" w:fill="auto"/>
            <w:vAlign w:val="center"/>
          </w:tcPr>
          <w:p w14:paraId="276FD031">
            <w:pPr>
              <w:widowControl/>
              <w:jc w:val="center"/>
              <w:rPr>
                <w:rFonts w:hint="eastAsia" w:ascii="Times New Roman" w:hAnsi="Times New Roman" w:cs="Times New Roman" w:eastAsiaTheme="majorEastAsia"/>
                <w:color w:val="auto"/>
                <w:kern w:val="2"/>
                <w:sz w:val="21"/>
                <w:szCs w:val="21"/>
                <w:lang w:val="en-US" w:eastAsia="zh-CN" w:bidi="ar-SA"/>
              </w:rPr>
            </w:pPr>
            <w:r>
              <w:rPr>
                <w:rFonts w:hint="eastAsia"/>
                <w:color w:val="auto"/>
                <w:sz w:val="21"/>
                <w:szCs w:val="21"/>
              </w:rPr>
              <w:t>0.22</w:t>
            </w:r>
          </w:p>
        </w:tc>
        <w:tc>
          <w:tcPr>
            <w:tcW w:w="469" w:type="pct"/>
            <w:shd w:val="clear" w:color="auto" w:fill="auto"/>
            <w:vAlign w:val="center"/>
          </w:tcPr>
          <w:p w14:paraId="585554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1C33D814">
            <w:pPr>
              <w:keepNext w:val="0"/>
              <w:keepLines w:val="0"/>
              <w:widowControl/>
              <w:suppressLineNumbers w:val="0"/>
              <w:jc w:val="center"/>
              <w:textAlignment w:val="center"/>
              <w:rPr>
                <w:rFonts w:hint="default"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0.0418</w:t>
            </w:r>
          </w:p>
        </w:tc>
        <w:tc>
          <w:tcPr>
            <w:tcW w:w="1360" w:type="dxa"/>
            <w:shd w:val="clear" w:color="auto" w:fill="auto"/>
            <w:vAlign w:val="center"/>
          </w:tcPr>
          <w:p w14:paraId="7C33F1E3">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2030" w:type="dxa"/>
            <w:shd w:val="clear" w:color="auto" w:fill="auto"/>
            <w:vAlign w:val="center"/>
          </w:tcPr>
          <w:p w14:paraId="128B0CE8">
            <w:pPr>
              <w:keepNext w:val="0"/>
              <w:keepLines w:val="0"/>
              <w:widowControl/>
              <w:suppressLineNumbers w:val="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0.1918</w:t>
            </w:r>
          </w:p>
        </w:tc>
        <w:tc>
          <w:tcPr>
            <w:tcW w:w="1722" w:type="dxa"/>
            <w:shd w:val="clear" w:color="auto" w:fill="auto"/>
            <w:vAlign w:val="center"/>
          </w:tcPr>
          <w:p w14:paraId="5D52621C">
            <w:pPr>
              <w:keepNext w:val="0"/>
              <w:keepLines w:val="0"/>
              <w:widowControl/>
              <w:suppressLineNumbers w:val="0"/>
              <w:jc w:val="center"/>
              <w:textAlignment w:val="center"/>
              <w:rPr>
                <w:rFonts w:hint="eastAsia"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-0.0282</w:t>
            </w:r>
          </w:p>
        </w:tc>
      </w:tr>
      <w:tr w14:paraId="45AC4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Align w:val="center"/>
          </w:tcPr>
          <w:p w14:paraId="4C7022E2">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一般工业</w:t>
            </w:r>
          </w:p>
          <w:p w14:paraId="31A9E824">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固体废物</w:t>
            </w:r>
          </w:p>
        </w:tc>
        <w:tc>
          <w:tcPr>
            <w:tcW w:w="525" w:type="pct"/>
            <w:shd w:val="clear" w:color="auto" w:fill="auto"/>
            <w:vAlign w:val="center"/>
          </w:tcPr>
          <w:p w14:paraId="17E7F62D">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一般工业</w:t>
            </w:r>
          </w:p>
          <w:p w14:paraId="28527A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snapToGrid w:val="0"/>
                <w:color w:val="auto"/>
                <w:kern w:val="21"/>
                <w:sz w:val="21"/>
                <w:szCs w:val="21"/>
              </w:rPr>
              <w:t>固体废物</w:t>
            </w:r>
          </w:p>
        </w:tc>
        <w:tc>
          <w:tcPr>
            <w:tcW w:w="577" w:type="pct"/>
            <w:shd w:val="clear" w:color="auto" w:fill="auto"/>
            <w:vAlign w:val="center"/>
          </w:tcPr>
          <w:p w14:paraId="24701C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2962.9602</w:t>
            </w:r>
          </w:p>
        </w:tc>
        <w:tc>
          <w:tcPr>
            <w:tcW w:w="577" w:type="pct"/>
            <w:vAlign w:val="center"/>
          </w:tcPr>
          <w:p w14:paraId="617BCB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2962.9602</w:t>
            </w:r>
          </w:p>
        </w:tc>
        <w:tc>
          <w:tcPr>
            <w:tcW w:w="469" w:type="pct"/>
            <w:vAlign w:val="center"/>
          </w:tcPr>
          <w:p w14:paraId="3F9992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579" w:type="pct"/>
            <w:shd w:val="clear" w:color="auto" w:fill="auto"/>
            <w:vAlign w:val="center"/>
          </w:tcPr>
          <w:p w14:paraId="339076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4.4</w:t>
            </w:r>
          </w:p>
        </w:tc>
        <w:tc>
          <w:tcPr>
            <w:tcW w:w="504" w:type="pct"/>
            <w:vAlign w:val="center"/>
          </w:tcPr>
          <w:p w14:paraId="05B69E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752" w:type="pct"/>
            <w:shd w:val="clear" w:color="auto" w:fill="auto"/>
            <w:vAlign w:val="center"/>
          </w:tcPr>
          <w:p w14:paraId="4AA24A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2967.3602</w:t>
            </w:r>
          </w:p>
        </w:tc>
        <w:tc>
          <w:tcPr>
            <w:tcW w:w="638" w:type="pct"/>
            <w:shd w:val="clear" w:color="auto" w:fill="auto"/>
            <w:vAlign w:val="center"/>
          </w:tcPr>
          <w:p w14:paraId="5CFA5F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+4.4</w:t>
            </w:r>
          </w:p>
        </w:tc>
      </w:tr>
    </w:tbl>
    <w:p w14:paraId="6D3994C9">
      <w:pPr>
        <w:pStyle w:val="45"/>
        <w:spacing w:beforeLines="0" w:afterLines="0" w:line="240" w:lineRule="auto"/>
        <w:jc w:val="left"/>
        <w:rPr>
          <w:rFonts w:ascii="Times New Roman"/>
          <w:snapToGrid w:val="0"/>
          <w:color w:val="auto"/>
          <w:spacing w:val="-6"/>
          <w:kern w:val="21"/>
          <w:szCs w:val="21"/>
        </w:rPr>
      </w:pPr>
      <w:r>
        <w:rPr>
          <w:rFonts w:ascii="Times New Roman" w:hAnsi="宋体"/>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Ansi="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Ansi="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Ansi="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Ansi="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Ansi="宋体"/>
          <w:color w:val="auto"/>
          <w:szCs w:val="21"/>
        </w:rPr>
        <w:t>⑤</w:t>
      </w:r>
      <w:r>
        <w:rPr>
          <w:rFonts w:ascii="Times New Roman"/>
          <w:snapToGrid w:val="0"/>
          <w:color w:val="auto"/>
          <w:spacing w:val="-16"/>
          <w:kern w:val="21"/>
          <w:szCs w:val="21"/>
        </w:rPr>
        <w:fldChar w:fldCharType="end"/>
      </w:r>
      <w:r>
        <w:rPr>
          <w:rFonts w:ascii="Times New Roman" w:hAnsi="宋体"/>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Ansi="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Ansi="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Ansi="宋体"/>
          <w:color w:val="auto"/>
          <w:szCs w:val="21"/>
        </w:rPr>
        <w:t>①</w:t>
      </w:r>
      <w:r>
        <w:rPr>
          <w:rFonts w:ascii="Times New Roman"/>
          <w:snapToGrid w:val="0"/>
          <w:color w:val="auto"/>
          <w:spacing w:val="-6"/>
          <w:kern w:val="21"/>
          <w:szCs w:val="21"/>
        </w:rPr>
        <w:fldChar w:fldCharType="end"/>
      </w: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swiss"/>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SF Hello Regular">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62EDF">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2C1D3">
    <w:pPr>
      <w:pStyle w:val="21"/>
      <w:framePr w:wrap="around" w:vAnchor="text" w:hAnchor="margin" w:xAlign="center" w:y="1"/>
      <w:rPr>
        <w:rStyle w:val="36"/>
      </w:rPr>
    </w:pPr>
    <w:r>
      <w:fldChar w:fldCharType="begin"/>
    </w:r>
    <w:r>
      <w:rPr>
        <w:rStyle w:val="36"/>
      </w:rPr>
      <w:instrText xml:space="preserve">PAGE  </w:instrText>
    </w:r>
    <w:r>
      <w:fldChar w:fldCharType="end"/>
    </w:r>
  </w:p>
  <w:p w14:paraId="3BD08685">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AAC97">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9033420"/>
    </w:sdtPr>
    <w:sdtContent>
      <w:p w14:paraId="38DBDC3F">
        <w:pPr>
          <w:pStyle w:val="21"/>
          <w:jc w:val="center"/>
        </w:pPr>
        <w:r>
          <w:fldChar w:fldCharType="begin"/>
        </w:r>
        <w:r>
          <w:instrText xml:space="preserve">PAGE   \* MERGEFORMAT</w:instrText>
        </w:r>
        <w:r>
          <w:fldChar w:fldCharType="separate"/>
        </w:r>
        <w:r>
          <w:rPr>
            <w:lang w:val="zh-CN"/>
          </w:rPr>
          <w:t>44</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19647">
    <w:pPr>
      <w:pStyle w:val="21"/>
      <w:ind w:left="1050"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3185" cy="213995"/>
              <wp:effectExtent l="0" t="0" r="0" b="0"/>
              <wp:wrapNone/>
              <wp:docPr id="105" name="文本框 7"/>
              <wp:cNvGraphicFramePr/>
              <a:graphic xmlns:a="http://schemas.openxmlformats.org/drawingml/2006/main">
                <a:graphicData uri="http://schemas.microsoft.com/office/word/2010/wordprocessingShape">
                  <wps:wsp>
                    <wps:cNvSpPr txBox="1"/>
                    <wps:spPr>
                      <a:xfrm>
                        <a:off x="0" y="0"/>
                        <a:ext cx="83185" cy="213995"/>
                      </a:xfrm>
                      <a:prstGeom prst="rect">
                        <a:avLst/>
                      </a:prstGeom>
                      <a:noFill/>
                      <a:ln>
                        <a:noFill/>
                      </a:ln>
                      <a:effectLst/>
                    </wps:spPr>
                    <wps:txbx>
                      <w:txbxContent>
                        <w:p w14:paraId="745D3EAF">
                          <w:pPr>
                            <w:pStyle w:val="21"/>
                            <w:ind w:left="1050"/>
                            <w:rPr>
                              <w:rStyle w:val="36"/>
                              <w:rFonts w:ascii="宋体" w:hAnsi="宋体"/>
                              <w:sz w:val="28"/>
                              <w:szCs w:val="28"/>
                            </w:rPr>
                          </w:pP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46</w:t>
                          </w:r>
                          <w:r>
                            <w:rPr>
                              <w:rFonts w:ascii="宋体" w:hAnsi="宋体"/>
                              <w:sz w:val="26"/>
                              <w:szCs w:val="26"/>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6.85pt;width:6.55pt;mso-position-horizontal:center;mso-position-horizontal-relative:margin;mso-wrap-style:none;z-index:251659264;mso-width-relative:page;mso-height-relative:page;" filled="f" stroked="f" coordsize="21600,21600" o:gfxdata="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jEfHbRAAAAAwEAAA8AAAAAAAAAAQAgAAAAIgAAAGRy&#10;cy9kb3ducmV2LnhtbFBLAQIUABQAAAAIAIdO4kBy8lZ80wEAAKYDAAAOAAAAAAAAAAEAIAAAACAB&#10;AABkcnMvZTJvRG9jLnhtbFBLBQYAAAAABgAGAFkBAABlBQAAAAA=&#10;">
              <v:fill on="f" focussize="0,0"/>
              <v:stroke on="f"/>
              <v:imagedata o:title=""/>
              <o:lock v:ext="edit" aspectratio="f"/>
              <v:textbox inset="0mm,0mm,0mm,0mm" style="mso-fit-shape-to-text:t;">
                <w:txbxContent>
                  <w:p w14:paraId="745D3EAF">
                    <w:pPr>
                      <w:pStyle w:val="21"/>
                      <w:ind w:left="1050"/>
                      <w:rPr>
                        <w:rStyle w:val="36"/>
                        <w:rFonts w:ascii="宋体" w:hAnsi="宋体"/>
                        <w:sz w:val="28"/>
                        <w:szCs w:val="28"/>
                      </w:rPr>
                    </w:pP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46</w:t>
                    </w:r>
                    <w:r>
                      <w:rPr>
                        <w:rFonts w:ascii="宋体" w:hAnsi="宋体"/>
                        <w:sz w:val="26"/>
                        <w:szCs w:val="2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88291">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4ABBE">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28F98"/>
    <w:multiLevelType w:val="multilevel"/>
    <w:tmpl w:val="80628F98"/>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89291FE1"/>
    <w:multiLevelType w:val="singleLevel"/>
    <w:tmpl w:val="89291FE1"/>
    <w:lvl w:ilvl="0" w:tentative="0">
      <w:start w:val="1"/>
      <w:numFmt w:val="decimal"/>
      <w:suff w:val="nothing"/>
      <w:lvlText w:val="%1、"/>
      <w:lvlJc w:val="left"/>
    </w:lvl>
  </w:abstractNum>
  <w:abstractNum w:abstractNumId="2">
    <w:nsid w:val="111A3620"/>
    <w:multiLevelType w:val="singleLevel"/>
    <w:tmpl w:val="111A3620"/>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3">
    <w:nsid w:val="13817444"/>
    <w:multiLevelType w:val="multilevel"/>
    <w:tmpl w:val="13817444"/>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
    <w:nsid w:val="1BD60B9E"/>
    <w:multiLevelType w:val="multilevel"/>
    <w:tmpl w:val="1BD60B9E"/>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64FCE44"/>
    <w:multiLevelType w:val="singleLevel"/>
    <w:tmpl w:val="464FCE44"/>
    <w:lvl w:ilvl="0" w:tentative="0">
      <w:start w:val="7"/>
      <w:numFmt w:val="decimal"/>
      <w:lvlText w:val="%1."/>
      <w:lvlJc w:val="left"/>
      <w:pPr>
        <w:tabs>
          <w:tab w:val="left" w:pos="312"/>
        </w:tabs>
      </w:pPr>
    </w:lvl>
  </w:abstractNum>
  <w:abstractNum w:abstractNumId="6">
    <w:nsid w:val="50202BBA"/>
    <w:multiLevelType w:val="multilevel"/>
    <w:tmpl w:val="50202BBA"/>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61E439B8"/>
    <w:multiLevelType w:val="multilevel"/>
    <w:tmpl w:val="61E439B8"/>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5"/>
  </w:num>
  <w:num w:numId="3">
    <w:abstractNumId w:val="7"/>
  </w:num>
  <w:num w:numId="4">
    <w:abstractNumId w:val="6"/>
  </w:num>
  <w:num w:numId="5">
    <w:abstractNumId w:val="1"/>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kZDY0ODVlZjc0YmMwYjZkYTlkN2M5NGNlOTIwYTMifQ=="/>
    <w:docVar w:name="KSO_WPS_MARK_KEY" w:val="07da4a6e-8dc8-42a3-aea5-764cefe35c41"/>
  </w:docVars>
  <w:rsids>
    <w:rsidRoot w:val="00BF6189"/>
    <w:rsid w:val="000000D3"/>
    <w:rsid w:val="000004B8"/>
    <w:rsid w:val="00000875"/>
    <w:rsid w:val="0000233D"/>
    <w:rsid w:val="000025B3"/>
    <w:rsid w:val="000030BF"/>
    <w:rsid w:val="00003C08"/>
    <w:rsid w:val="00003F6F"/>
    <w:rsid w:val="0000436A"/>
    <w:rsid w:val="00004EC0"/>
    <w:rsid w:val="00004F5E"/>
    <w:rsid w:val="000061F1"/>
    <w:rsid w:val="000068A3"/>
    <w:rsid w:val="00006F53"/>
    <w:rsid w:val="00010340"/>
    <w:rsid w:val="00010757"/>
    <w:rsid w:val="00011805"/>
    <w:rsid w:val="00011B4B"/>
    <w:rsid w:val="00012859"/>
    <w:rsid w:val="000128E4"/>
    <w:rsid w:val="000130EA"/>
    <w:rsid w:val="0001318B"/>
    <w:rsid w:val="00013713"/>
    <w:rsid w:val="000138BC"/>
    <w:rsid w:val="00013DDF"/>
    <w:rsid w:val="00013FF4"/>
    <w:rsid w:val="0001455F"/>
    <w:rsid w:val="00015111"/>
    <w:rsid w:val="000153EC"/>
    <w:rsid w:val="000176FE"/>
    <w:rsid w:val="00017E92"/>
    <w:rsid w:val="000206C1"/>
    <w:rsid w:val="000206F5"/>
    <w:rsid w:val="00020A17"/>
    <w:rsid w:val="00020D51"/>
    <w:rsid w:val="00020EF6"/>
    <w:rsid w:val="000217C8"/>
    <w:rsid w:val="00022783"/>
    <w:rsid w:val="000229FA"/>
    <w:rsid w:val="00023A4A"/>
    <w:rsid w:val="00023ECA"/>
    <w:rsid w:val="000247E4"/>
    <w:rsid w:val="00024EC2"/>
    <w:rsid w:val="00024EE0"/>
    <w:rsid w:val="00025F1C"/>
    <w:rsid w:val="000274D4"/>
    <w:rsid w:val="0003005D"/>
    <w:rsid w:val="00030228"/>
    <w:rsid w:val="00030A66"/>
    <w:rsid w:val="0003159B"/>
    <w:rsid w:val="000315CB"/>
    <w:rsid w:val="00031C9F"/>
    <w:rsid w:val="00032842"/>
    <w:rsid w:val="00032896"/>
    <w:rsid w:val="00032BD3"/>
    <w:rsid w:val="00033621"/>
    <w:rsid w:val="00033DB4"/>
    <w:rsid w:val="000349ED"/>
    <w:rsid w:val="000359A5"/>
    <w:rsid w:val="00037364"/>
    <w:rsid w:val="000375E9"/>
    <w:rsid w:val="00040C4D"/>
    <w:rsid w:val="00040FCE"/>
    <w:rsid w:val="00041065"/>
    <w:rsid w:val="000424B0"/>
    <w:rsid w:val="0004349E"/>
    <w:rsid w:val="0004433E"/>
    <w:rsid w:val="000444EF"/>
    <w:rsid w:val="00045116"/>
    <w:rsid w:val="00045500"/>
    <w:rsid w:val="00045531"/>
    <w:rsid w:val="000458F6"/>
    <w:rsid w:val="000468CE"/>
    <w:rsid w:val="00046FD4"/>
    <w:rsid w:val="00047139"/>
    <w:rsid w:val="00047279"/>
    <w:rsid w:val="0004765F"/>
    <w:rsid w:val="00050542"/>
    <w:rsid w:val="00050891"/>
    <w:rsid w:val="00051285"/>
    <w:rsid w:val="000514AD"/>
    <w:rsid w:val="000514D8"/>
    <w:rsid w:val="00051E36"/>
    <w:rsid w:val="00052FEA"/>
    <w:rsid w:val="00053578"/>
    <w:rsid w:val="00053787"/>
    <w:rsid w:val="0005416C"/>
    <w:rsid w:val="00054EC2"/>
    <w:rsid w:val="0005580F"/>
    <w:rsid w:val="0005614F"/>
    <w:rsid w:val="000564B4"/>
    <w:rsid w:val="0005782C"/>
    <w:rsid w:val="0006043B"/>
    <w:rsid w:val="00060A70"/>
    <w:rsid w:val="000616B5"/>
    <w:rsid w:val="0006180D"/>
    <w:rsid w:val="00061A39"/>
    <w:rsid w:val="00061C96"/>
    <w:rsid w:val="00061DB0"/>
    <w:rsid w:val="00062896"/>
    <w:rsid w:val="00062F72"/>
    <w:rsid w:val="00063BDC"/>
    <w:rsid w:val="00063D3A"/>
    <w:rsid w:val="00064706"/>
    <w:rsid w:val="00065D04"/>
    <w:rsid w:val="000660DD"/>
    <w:rsid w:val="0006664C"/>
    <w:rsid w:val="000668E1"/>
    <w:rsid w:val="00066962"/>
    <w:rsid w:val="00066BD0"/>
    <w:rsid w:val="00066F1A"/>
    <w:rsid w:val="0006762C"/>
    <w:rsid w:val="0007083C"/>
    <w:rsid w:val="000708E6"/>
    <w:rsid w:val="00070A79"/>
    <w:rsid w:val="000712F4"/>
    <w:rsid w:val="000718E6"/>
    <w:rsid w:val="0007259C"/>
    <w:rsid w:val="00072703"/>
    <w:rsid w:val="000728FB"/>
    <w:rsid w:val="0007297B"/>
    <w:rsid w:val="000730DF"/>
    <w:rsid w:val="00073B88"/>
    <w:rsid w:val="000745E7"/>
    <w:rsid w:val="00074864"/>
    <w:rsid w:val="00074AF6"/>
    <w:rsid w:val="000752DA"/>
    <w:rsid w:val="000755A5"/>
    <w:rsid w:val="00075BE3"/>
    <w:rsid w:val="00076770"/>
    <w:rsid w:val="000768D2"/>
    <w:rsid w:val="00076B60"/>
    <w:rsid w:val="000803FB"/>
    <w:rsid w:val="00080576"/>
    <w:rsid w:val="00080C77"/>
    <w:rsid w:val="00080CA0"/>
    <w:rsid w:val="00080FF0"/>
    <w:rsid w:val="0008129A"/>
    <w:rsid w:val="00082CB8"/>
    <w:rsid w:val="00083281"/>
    <w:rsid w:val="00083955"/>
    <w:rsid w:val="00084147"/>
    <w:rsid w:val="000843C1"/>
    <w:rsid w:val="0008462D"/>
    <w:rsid w:val="00084845"/>
    <w:rsid w:val="00084D76"/>
    <w:rsid w:val="0008529E"/>
    <w:rsid w:val="00085F57"/>
    <w:rsid w:val="00085F95"/>
    <w:rsid w:val="00086B83"/>
    <w:rsid w:val="000871C0"/>
    <w:rsid w:val="00087E86"/>
    <w:rsid w:val="00090D5C"/>
    <w:rsid w:val="0009107F"/>
    <w:rsid w:val="00091130"/>
    <w:rsid w:val="00091158"/>
    <w:rsid w:val="00091323"/>
    <w:rsid w:val="000924EF"/>
    <w:rsid w:val="00092550"/>
    <w:rsid w:val="00092F86"/>
    <w:rsid w:val="000930C5"/>
    <w:rsid w:val="000936C0"/>
    <w:rsid w:val="00093A9A"/>
    <w:rsid w:val="00094297"/>
    <w:rsid w:val="00094D4B"/>
    <w:rsid w:val="00095BB4"/>
    <w:rsid w:val="00096BC6"/>
    <w:rsid w:val="00097074"/>
    <w:rsid w:val="000A0EBE"/>
    <w:rsid w:val="000A1B57"/>
    <w:rsid w:val="000A1C6D"/>
    <w:rsid w:val="000A1F4B"/>
    <w:rsid w:val="000A218C"/>
    <w:rsid w:val="000A23FD"/>
    <w:rsid w:val="000A2781"/>
    <w:rsid w:val="000A29F5"/>
    <w:rsid w:val="000A2B15"/>
    <w:rsid w:val="000A3594"/>
    <w:rsid w:val="000A4D3E"/>
    <w:rsid w:val="000A5242"/>
    <w:rsid w:val="000A5D72"/>
    <w:rsid w:val="000A78E5"/>
    <w:rsid w:val="000A7A8A"/>
    <w:rsid w:val="000B005F"/>
    <w:rsid w:val="000B063E"/>
    <w:rsid w:val="000B077C"/>
    <w:rsid w:val="000B0CAA"/>
    <w:rsid w:val="000B2313"/>
    <w:rsid w:val="000B2B45"/>
    <w:rsid w:val="000B325A"/>
    <w:rsid w:val="000B3946"/>
    <w:rsid w:val="000B3CED"/>
    <w:rsid w:val="000B3E97"/>
    <w:rsid w:val="000B3ECC"/>
    <w:rsid w:val="000B48E1"/>
    <w:rsid w:val="000B655D"/>
    <w:rsid w:val="000B7F36"/>
    <w:rsid w:val="000C0414"/>
    <w:rsid w:val="000C08D7"/>
    <w:rsid w:val="000C0CCF"/>
    <w:rsid w:val="000C1841"/>
    <w:rsid w:val="000C1BBC"/>
    <w:rsid w:val="000C2413"/>
    <w:rsid w:val="000C2945"/>
    <w:rsid w:val="000C43E0"/>
    <w:rsid w:val="000C4EE3"/>
    <w:rsid w:val="000C4FF8"/>
    <w:rsid w:val="000C5479"/>
    <w:rsid w:val="000C5E75"/>
    <w:rsid w:val="000C6858"/>
    <w:rsid w:val="000C6989"/>
    <w:rsid w:val="000C7B82"/>
    <w:rsid w:val="000C7D42"/>
    <w:rsid w:val="000D0146"/>
    <w:rsid w:val="000D070E"/>
    <w:rsid w:val="000D0842"/>
    <w:rsid w:val="000D10C5"/>
    <w:rsid w:val="000D134D"/>
    <w:rsid w:val="000D1A7A"/>
    <w:rsid w:val="000D2C4D"/>
    <w:rsid w:val="000D2F3D"/>
    <w:rsid w:val="000D3386"/>
    <w:rsid w:val="000D38CD"/>
    <w:rsid w:val="000D4782"/>
    <w:rsid w:val="000D4969"/>
    <w:rsid w:val="000D4DFA"/>
    <w:rsid w:val="000D5A25"/>
    <w:rsid w:val="000D5D3B"/>
    <w:rsid w:val="000D619E"/>
    <w:rsid w:val="000D64B6"/>
    <w:rsid w:val="000D69F3"/>
    <w:rsid w:val="000D7660"/>
    <w:rsid w:val="000E03F0"/>
    <w:rsid w:val="000E1198"/>
    <w:rsid w:val="000E13D4"/>
    <w:rsid w:val="000E1B22"/>
    <w:rsid w:val="000E2938"/>
    <w:rsid w:val="000E2A76"/>
    <w:rsid w:val="000E30DA"/>
    <w:rsid w:val="000E3604"/>
    <w:rsid w:val="000E3950"/>
    <w:rsid w:val="000E503C"/>
    <w:rsid w:val="000E5740"/>
    <w:rsid w:val="000E58AA"/>
    <w:rsid w:val="000E5900"/>
    <w:rsid w:val="000F0365"/>
    <w:rsid w:val="000F04ED"/>
    <w:rsid w:val="000F0B1F"/>
    <w:rsid w:val="000F2A1A"/>
    <w:rsid w:val="000F34B3"/>
    <w:rsid w:val="000F39F1"/>
    <w:rsid w:val="000F3FB1"/>
    <w:rsid w:val="000F442B"/>
    <w:rsid w:val="000F47A7"/>
    <w:rsid w:val="000F6415"/>
    <w:rsid w:val="000F6511"/>
    <w:rsid w:val="000F6913"/>
    <w:rsid w:val="000F735C"/>
    <w:rsid w:val="00100F16"/>
    <w:rsid w:val="00101B17"/>
    <w:rsid w:val="0010242D"/>
    <w:rsid w:val="00102585"/>
    <w:rsid w:val="0010272B"/>
    <w:rsid w:val="0010429C"/>
    <w:rsid w:val="001054AB"/>
    <w:rsid w:val="001061A3"/>
    <w:rsid w:val="0010666E"/>
    <w:rsid w:val="00106A5D"/>
    <w:rsid w:val="00107468"/>
    <w:rsid w:val="00107817"/>
    <w:rsid w:val="00107A20"/>
    <w:rsid w:val="00107E60"/>
    <w:rsid w:val="001104FC"/>
    <w:rsid w:val="001110EB"/>
    <w:rsid w:val="00111728"/>
    <w:rsid w:val="0011231D"/>
    <w:rsid w:val="001124DC"/>
    <w:rsid w:val="0011269C"/>
    <w:rsid w:val="00112814"/>
    <w:rsid w:val="00112A7F"/>
    <w:rsid w:val="001133E4"/>
    <w:rsid w:val="00113428"/>
    <w:rsid w:val="00113AFD"/>
    <w:rsid w:val="00113D71"/>
    <w:rsid w:val="00114242"/>
    <w:rsid w:val="0011479B"/>
    <w:rsid w:val="00114CDF"/>
    <w:rsid w:val="00117495"/>
    <w:rsid w:val="00117EF1"/>
    <w:rsid w:val="00117EFA"/>
    <w:rsid w:val="001205C5"/>
    <w:rsid w:val="001207B6"/>
    <w:rsid w:val="00121022"/>
    <w:rsid w:val="001216D2"/>
    <w:rsid w:val="00121F4A"/>
    <w:rsid w:val="00123AEE"/>
    <w:rsid w:val="001241EB"/>
    <w:rsid w:val="00124966"/>
    <w:rsid w:val="00124C9A"/>
    <w:rsid w:val="00124D72"/>
    <w:rsid w:val="00125186"/>
    <w:rsid w:val="00125697"/>
    <w:rsid w:val="00125DD8"/>
    <w:rsid w:val="001263B4"/>
    <w:rsid w:val="00126476"/>
    <w:rsid w:val="0012675B"/>
    <w:rsid w:val="00126D0B"/>
    <w:rsid w:val="00127524"/>
    <w:rsid w:val="00127CC6"/>
    <w:rsid w:val="001301C5"/>
    <w:rsid w:val="00131032"/>
    <w:rsid w:val="00131E6F"/>
    <w:rsid w:val="00132321"/>
    <w:rsid w:val="001324D6"/>
    <w:rsid w:val="001329DD"/>
    <w:rsid w:val="00132CB8"/>
    <w:rsid w:val="00133392"/>
    <w:rsid w:val="00133551"/>
    <w:rsid w:val="0013395D"/>
    <w:rsid w:val="00133A6C"/>
    <w:rsid w:val="00133D4C"/>
    <w:rsid w:val="00133E77"/>
    <w:rsid w:val="0013410F"/>
    <w:rsid w:val="001343C9"/>
    <w:rsid w:val="00134570"/>
    <w:rsid w:val="00135303"/>
    <w:rsid w:val="00135766"/>
    <w:rsid w:val="00135DC1"/>
    <w:rsid w:val="00135EF2"/>
    <w:rsid w:val="001365F2"/>
    <w:rsid w:val="001372B1"/>
    <w:rsid w:val="001372BF"/>
    <w:rsid w:val="00140581"/>
    <w:rsid w:val="00141368"/>
    <w:rsid w:val="00141788"/>
    <w:rsid w:val="00141914"/>
    <w:rsid w:val="00142CBD"/>
    <w:rsid w:val="0014339A"/>
    <w:rsid w:val="00143FD1"/>
    <w:rsid w:val="001442F1"/>
    <w:rsid w:val="00144847"/>
    <w:rsid w:val="00144D56"/>
    <w:rsid w:val="00145041"/>
    <w:rsid w:val="00145575"/>
    <w:rsid w:val="00145FC9"/>
    <w:rsid w:val="001461C7"/>
    <w:rsid w:val="001464D3"/>
    <w:rsid w:val="0014729C"/>
    <w:rsid w:val="001506D0"/>
    <w:rsid w:val="0015081E"/>
    <w:rsid w:val="00151C55"/>
    <w:rsid w:val="00151C78"/>
    <w:rsid w:val="0015264B"/>
    <w:rsid w:val="0015323C"/>
    <w:rsid w:val="00153FC3"/>
    <w:rsid w:val="00155E16"/>
    <w:rsid w:val="00155F00"/>
    <w:rsid w:val="0015664B"/>
    <w:rsid w:val="00156CD0"/>
    <w:rsid w:val="00156FC2"/>
    <w:rsid w:val="001573DB"/>
    <w:rsid w:val="00157A66"/>
    <w:rsid w:val="00157CE4"/>
    <w:rsid w:val="001602BD"/>
    <w:rsid w:val="001607E6"/>
    <w:rsid w:val="00161EB3"/>
    <w:rsid w:val="0016201F"/>
    <w:rsid w:val="00162591"/>
    <w:rsid w:val="0016310C"/>
    <w:rsid w:val="0016340F"/>
    <w:rsid w:val="00163623"/>
    <w:rsid w:val="001638A3"/>
    <w:rsid w:val="00163C26"/>
    <w:rsid w:val="00163E8C"/>
    <w:rsid w:val="00163FC9"/>
    <w:rsid w:val="0016476E"/>
    <w:rsid w:val="00164CE5"/>
    <w:rsid w:val="0016567B"/>
    <w:rsid w:val="00165AC3"/>
    <w:rsid w:val="00165B5F"/>
    <w:rsid w:val="00165F64"/>
    <w:rsid w:val="00166571"/>
    <w:rsid w:val="00166A0A"/>
    <w:rsid w:val="0016710A"/>
    <w:rsid w:val="00167568"/>
    <w:rsid w:val="0016778A"/>
    <w:rsid w:val="00167C67"/>
    <w:rsid w:val="001702C9"/>
    <w:rsid w:val="00170E81"/>
    <w:rsid w:val="00171A43"/>
    <w:rsid w:val="0017222D"/>
    <w:rsid w:val="00172282"/>
    <w:rsid w:val="001725C6"/>
    <w:rsid w:val="00172E2A"/>
    <w:rsid w:val="0017384B"/>
    <w:rsid w:val="00173CB0"/>
    <w:rsid w:val="001744DC"/>
    <w:rsid w:val="001754E4"/>
    <w:rsid w:val="00175E9D"/>
    <w:rsid w:val="00175EB7"/>
    <w:rsid w:val="00176502"/>
    <w:rsid w:val="00176D98"/>
    <w:rsid w:val="00176E9B"/>
    <w:rsid w:val="00177375"/>
    <w:rsid w:val="00181350"/>
    <w:rsid w:val="00181763"/>
    <w:rsid w:val="001819AC"/>
    <w:rsid w:val="00182808"/>
    <w:rsid w:val="00182F2B"/>
    <w:rsid w:val="001834B9"/>
    <w:rsid w:val="00183FB2"/>
    <w:rsid w:val="0018468A"/>
    <w:rsid w:val="00187517"/>
    <w:rsid w:val="001901A3"/>
    <w:rsid w:val="001902E9"/>
    <w:rsid w:val="00190316"/>
    <w:rsid w:val="00190C23"/>
    <w:rsid w:val="00191778"/>
    <w:rsid w:val="0019232C"/>
    <w:rsid w:val="00192690"/>
    <w:rsid w:val="001930C1"/>
    <w:rsid w:val="00193838"/>
    <w:rsid w:val="00193A99"/>
    <w:rsid w:val="00194744"/>
    <w:rsid w:val="001950E5"/>
    <w:rsid w:val="0019513D"/>
    <w:rsid w:val="00195A0F"/>
    <w:rsid w:val="00195BCA"/>
    <w:rsid w:val="00195DE8"/>
    <w:rsid w:val="0019634E"/>
    <w:rsid w:val="0019683D"/>
    <w:rsid w:val="00196C56"/>
    <w:rsid w:val="001970C2"/>
    <w:rsid w:val="00197456"/>
    <w:rsid w:val="00197AE4"/>
    <w:rsid w:val="001A0DEC"/>
    <w:rsid w:val="001A10AE"/>
    <w:rsid w:val="001A150A"/>
    <w:rsid w:val="001A159C"/>
    <w:rsid w:val="001A171F"/>
    <w:rsid w:val="001A1ADF"/>
    <w:rsid w:val="001A204D"/>
    <w:rsid w:val="001A225C"/>
    <w:rsid w:val="001A2C9C"/>
    <w:rsid w:val="001A6B0D"/>
    <w:rsid w:val="001A7880"/>
    <w:rsid w:val="001A7903"/>
    <w:rsid w:val="001A7C8A"/>
    <w:rsid w:val="001A7F66"/>
    <w:rsid w:val="001B0332"/>
    <w:rsid w:val="001B0879"/>
    <w:rsid w:val="001B0EBC"/>
    <w:rsid w:val="001B16FB"/>
    <w:rsid w:val="001B19BA"/>
    <w:rsid w:val="001B1E48"/>
    <w:rsid w:val="001B2747"/>
    <w:rsid w:val="001B3142"/>
    <w:rsid w:val="001B4AB2"/>
    <w:rsid w:val="001B5599"/>
    <w:rsid w:val="001B5AD6"/>
    <w:rsid w:val="001B6063"/>
    <w:rsid w:val="001B6844"/>
    <w:rsid w:val="001B6D70"/>
    <w:rsid w:val="001B733C"/>
    <w:rsid w:val="001C15E1"/>
    <w:rsid w:val="001C1627"/>
    <w:rsid w:val="001C27DA"/>
    <w:rsid w:val="001C2B7D"/>
    <w:rsid w:val="001C3469"/>
    <w:rsid w:val="001C34CF"/>
    <w:rsid w:val="001C368F"/>
    <w:rsid w:val="001C4043"/>
    <w:rsid w:val="001C4988"/>
    <w:rsid w:val="001C4A0C"/>
    <w:rsid w:val="001C4A99"/>
    <w:rsid w:val="001C5004"/>
    <w:rsid w:val="001C5055"/>
    <w:rsid w:val="001C55EB"/>
    <w:rsid w:val="001C6606"/>
    <w:rsid w:val="001C6A55"/>
    <w:rsid w:val="001C6E07"/>
    <w:rsid w:val="001D0348"/>
    <w:rsid w:val="001D096E"/>
    <w:rsid w:val="001D0D2C"/>
    <w:rsid w:val="001D1203"/>
    <w:rsid w:val="001D1586"/>
    <w:rsid w:val="001D17FB"/>
    <w:rsid w:val="001D22E2"/>
    <w:rsid w:val="001D3826"/>
    <w:rsid w:val="001D3E79"/>
    <w:rsid w:val="001D422D"/>
    <w:rsid w:val="001D42CD"/>
    <w:rsid w:val="001D471E"/>
    <w:rsid w:val="001D4FA2"/>
    <w:rsid w:val="001D6298"/>
    <w:rsid w:val="001D66B8"/>
    <w:rsid w:val="001D66ED"/>
    <w:rsid w:val="001D7287"/>
    <w:rsid w:val="001D72E3"/>
    <w:rsid w:val="001D7752"/>
    <w:rsid w:val="001D7DF9"/>
    <w:rsid w:val="001E1B21"/>
    <w:rsid w:val="001E1C18"/>
    <w:rsid w:val="001E1CB5"/>
    <w:rsid w:val="001E2423"/>
    <w:rsid w:val="001E255B"/>
    <w:rsid w:val="001E27B5"/>
    <w:rsid w:val="001E2FCE"/>
    <w:rsid w:val="001E309B"/>
    <w:rsid w:val="001E3B52"/>
    <w:rsid w:val="001E42AB"/>
    <w:rsid w:val="001E4517"/>
    <w:rsid w:val="001E4968"/>
    <w:rsid w:val="001E5981"/>
    <w:rsid w:val="001E5B2D"/>
    <w:rsid w:val="001E63DC"/>
    <w:rsid w:val="001E67D7"/>
    <w:rsid w:val="001E6818"/>
    <w:rsid w:val="001E7028"/>
    <w:rsid w:val="001E72C6"/>
    <w:rsid w:val="001E7407"/>
    <w:rsid w:val="001E7F6E"/>
    <w:rsid w:val="001F10A2"/>
    <w:rsid w:val="001F1856"/>
    <w:rsid w:val="001F1E1F"/>
    <w:rsid w:val="001F2155"/>
    <w:rsid w:val="001F231F"/>
    <w:rsid w:val="001F268C"/>
    <w:rsid w:val="001F3D31"/>
    <w:rsid w:val="001F411C"/>
    <w:rsid w:val="001F4A76"/>
    <w:rsid w:val="001F4AE8"/>
    <w:rsid w:val="001F5732"/>
    <w:rsid w:val="001F597C"/>
    <w:rsid w:val="001F6D25"/>
    <w:rsid w:val="001F7EF4"/>
    <w:rsid w:val="0020107A"/>
    <w:rsid w:val="00201581"/>
    <w:rsid w:val="0020193C"/>
    <w:rsid w:val="00201954"/>
    <w:rsid w:val="00201B20"/>
    <w:rsid w:val="00201BFC"/>
    <w:rsid w:val="00202022"/>
    <w:rsid w:val="0020273A"/>
    <w:rsid w:val="00202BE6"/>
    <w:rsid w:val="00203278"/>
    <w:rsid w:val="0020329A"/>
    <w:rsid w:val="00203505"/>
    <w:rsid w:val="0020361E"/>
    <w:rsid w:val="00203AE8"/>
    <w:rsid w:val="00206D50"/>
    <w:rsid w:val="002109AA"/>
    <w:rsid w:val="0021184F"/>
    <w:rsid w:val="002125C1"/>
    <w:rsid w:val="00212CEE"/>
    <w:rsid w:val="00213FFB"/>
    <w:rsid w:val="00214264"/>
    <w:rsid w:val="002147AD"/>
    <w:rsid w:val="00214E61"/>
    <w:rsid w:val="00215A71"/>
    <w:rsid w:val="0021611E"/>
    <w:rsid w:val="00217702"/>
    <w:rsid w:val="00220105"/>
    <w:rsid w:val="002205C1"/>
    <w:rsid w:val="002216CF"/>
    <w:rsid w:val="00221CC6"/>
    <w:rsid w:val="00222CD1"/>
    <w:rsid w:val="002237CB"/>
    <w:rsid w:val="00224674"/>
    <w:rsid w:val="002247D2"/>
    <w:rsid w:val="00225090"/>
    <w:rsid w:val="0022512C"/>
    <w:rsid w:val="002267CD"/>
    <w:rsid w:val="00226B23"/>
    <w:rsid w:val="00226CBA"/>
    <w:rsid w:val="00226E43"/>
    <w:rsid w:val="00227A71"/>
    <w:rsid w:val="00230764"/>
    <w:rsid w:val="002310A4"/>
    <w:rsid w:val="00231117"/>
    <w:rsid w:val="00231393"/>
    <w:rsid w:val="0023189D"/>
    <w:rsid w:val="002320C2"/>
    <w:rsid w:val="00232661"/>
    <w:rsid w:val="002356D3"/>
    <w:rsid w:val="002367E2"/>
    <w:rsid w:val="00241069"/>
    <w:rsid w:val="002414DA"/>
    <w:rsid w:val="002419C8"/>
    <w:rsid w:val="00241EDB"/>
    <w:rsid w:val="00242362"/>
    <w:rsid w:val="00243F9B"/>
    <w:rsid w:val="00244537"/>
    <w:rsid w:val="00244CF3"/>
    <w:rsid w:val="0024502F"/>
    <w:rsid w:val="00245923"/>
    <w:rsid w:val="0024600D"/>
    <w:rsid w:val="00246245"/>
    <w:rsid w:val="002468E7"/>
    <w:rsid w:val="002471ED"/>
    <w:rsid w:val="002476DD"/>
    <w:rsid w:val="0025043D"/>
    <w:rsid w:val="00250667"/>
    <w:rsid w:val="00250F53"/>
    <w:rsid w:val="00251E54"/>
    <w:rsid w:val="00252009"/>
    <w:rsid w:val="0025206F"/>
    <w:rsid w:val="00252483"/>
    <w:rsid w:val="00252C90"/>
    <w:rsid w:val="00253EF8"/>
    <w:rsid w:val="00253F94"/>
    <w:rsid w:val="002544C2"/>
    <w:rsid w:val="00254DBA"/>
    <w:rsid w:val="00255803"/>
    <w:rsid w:val="002559A7"/>
    <w:rsid w:val="00256818"/>
    <w:rsid w:val="00256B6F"/>
    <w:rsid w:val="00256D17"/>
    <w:rsid w:val="0025703B"/>
    <w:rsid w:val="00257309"/>
    <w:rsid w:val="00257BB9"/>
    <w:rsid w:val="00260163"/>
    <w:rsid w:val="00260983"/>
    <w:rsid w:val="00260D77"/>
    <w:rsid w:val="00260F5B"/>
    <w:rsid w:val="002615F9"/>
    <w:rsid w:val="00261927"/>
    <w:rsid w:val="002627A1"/>
    <w:rsid w:val="0026326F"/>
    <w:rsid w:val="0026365B"/>
    <w:rsid w:val="0026375A"/>
    <w:rsid w:val="00263BBC"/>
    <w:rsid w:val="0026509A"/>
    <w:rsid w:val="00265B34"/>
    <w:rsid w:val="00265F13"/>
    <w:rsid w:val="00267A2E"/>
    <w:rsid w:val="00267F7A"/>
    <w:rsid w:val="002708E1"/>
    <w:rsid w:val="002717ED"/>
    <w:rsid w:val="00271E85"/>
    <w:rsid w:val="00271EB2"/>
    <w:rsid w:val="00271F28"/>
    <w:rsid w:val="00272545"/>
    <w:rsid w:val="0027354A"/>
    <w:rsid w:val="00273D11"/>
    <w:rsid w:val="002743EF"/>
    <w:rsid w:val="00274876"/>
    <w:rsid w:val="00274EBB"/>
    <w:rsid w:val="00275FB1"/>
    <w:rsid w:val="00276F09"/>
    <w:rsid w:val="0027713E"/>
    <w:rsid w:val="0027722F"/>
    <w:rsid w:val="00277BFD"/>
    <w:rsid w:val="002803DC"/>
    <w:rsid w:val="002809FE"/>
    <w:rsid w:val="00281106"/>
    <w:rsid w:val="002811A2"/>
    <w:rsid w:val="0028224B"/>
    <w:rsid w:val="0028265E"/>
    <w:rsid w:val="00282E5D"/>
    <w:rsid w:val="00282E87"/>
    <w:rsid w:val="002832E9"/>
    <w:rsid w:val="002833B9"/>
    <w:rsid w:val="002835A3"/>
    <w:rsid w:val="002849FB"/>
    <w:rsid w:val="0028507E"/>
    <w:rsid w:val="00285085"/>
    <w:rsid w:val="00285963"/>
    <w:rsid w:val="0028659E"/>
    <w:rsid w:val="00286F46"/>
    <w:rsid w:val="00287068"/>
    <w:rsid w:val="00287C07"/>
    <w:rsid w:val="00290D07"/>
    <w:rsid w:val="0029155F"/>
    <w:rsid w:val="00291FE9"/>
    <w:rsid w:val="00292F04"/>
    <w:rsid w:val="00293D8B"/>
    <w:rsid w:val="00294237"/>
    <w:rsid w:val="00294C58"/>
    <w:rsid w:val="002969C5"/>
    <w:rsid w:val="00296E40"/>
    <w:rsid w:val="002A0B1E"/>
    <w:rsid w:val="002A1201"/>
    <w:rsid w:val="002A17E8"/>
    <w:rsid w:val="002A1C40"/>
    <w:rsid w:val="002A2BB6"/>
    <w:rsid w:val="002A2F70"/>
    <w:rsid w:val="002A34E0"/>
    <w:rsid w:val="002A361F"/>
    <w:rsid w:val="002A3B9B"/>
    <w:rsid w:val="002A3DA9"/>
    <w:rsid w:val="002A3F36"/>
    <w:rsid w:val="002A402D"/>
    <w:rsid w:val="002A4407"/>
    <w:rsid w:val="002A4ABA"/>
    <w:rsid w:val="002A50CC"/>
    <w:rsid w:val="002A5111"/>
    <w:rsid w:val="002A55E7"/>
    <w:rsid w:val="002A6B0C"/>
    <w:rsid w:val="002B0D46"/>
    <w:rsid w:val="002B0DD6"/>
    <w:rsid w:val="002B271A"/>
    <w:rsid w:val="002B277D"/>
    <w:rsid w:val="002B310E"/>
    <w:rsid w:val="002B3CB3"/>
    <w:rsid w:val="002B4321"/>
    <w:rsid w:val="002B47DC"/>
    <w:rsid w:val="002B5C91"/>
    <w:rsid w:val="002B6851"/>
    <w:rsid w:val="002B6A7E"/>
    <w:rsid w:val="002B6C3E"/>
    <w:rsid w:val="002B6C67"/>
    <w:rsid w:val="002B7990"/>
    <w:rsid w:val="002C0688"/>
    <w:rsid w:val="002C0780"/>
    <w:rsid w:val="002C099D"/>
    <w:rsid w:val="002C1128"/>
    <w:rsid w:val="002C1A73"/>
    <w:rsid w:val="002C3144"/>
    <w:rsid w:val="002C3A72"/>
    <w:rsid w:val="002C3E84"/>
    <w:rsid w:val="002C531D"/>
    <w:rsid w:val="002C532C"/>
    <w:rsid w:val="002C5BF4"/>
    <w:rsid w:val="002C6C30"/>
    <w:rsid w:val="002C6C55"/>
    <w:rsid w:val="002C7A0C"/>
    <w:rsid w:val="002C7E80"/>
    <w:rsid w:val="002D00A6"/>
    <w:rsid w:val="002D1582"/>
    <w:rsid w:val="002D1C5E"/>
    <w:rsid w:val="002D1D26"/>
    <w:rsid w:val="002D253D"/>
    <w:rsid w:val="002D280E"/>
    <w:rsid w:val="002D2F34"/>
    <w:rsid w:val="002D4174"/>
    <w:rsid w:val="002D4B2D"/>
    <w:rsid w:val="002D53B8"/>
    <w:rsid w:val="002D5613"/>
    <w:rsid w:val="002D5671"/>
    <w:rsid w:val="002D5731"/>
    <w:rsid w:val="002D5B83"/>
    <w:rsid w:val="002D5DAE"/>
    <w:rsid w:val="002D6195"/>
    <w:rsid w:val="002D63A8"/>
    <w:rsid w:val="002D733C"/>
    <w:rsid w:val="002E0391"/>
    <w:rsid w:val="002E0ECB"/>
    <w:rsid w:val="002E1061"/>
    <w:rsid w:val="002E12C7"/>
    <w:rsid w:val="002E17BF"/>
    <w:rsid w:val="002E1E20"/>
    <w:rsid w:val="002E2136"/>
    <w:rsid w:val="002E2859"/>
    <w:rsid w:val="002E2B1B"/>
    <w:rsid w:val="002E3389"/>
    <w:rsid w:val="002E35E0"/>
    <w:rsid w:val="002E433E"/>
    <w:rsid w:val="002E51D8"/>
    <w:rsid w:val="002E5543"/>
    <w:rsid w:val="002E5B8C"/>
    <w:rsid w:val="002E6000"/>
    <w:rsid w:val="002E6072"/>
    <w:rsid w:val="002E646C"/>
    <w:rsid w:val="002E6598"/>
    <w:rsid w:val="002E6EAD"/>
    <w:rsid w:val="002E72BD"/>
    <w:rsid w:val="002E75DF"/>
    <w:rsid w:val="002E7918"/>
    <w:rsid w:val="002F135B"/>
    <w:rsid w:val="002F1EFB"/>
    <w:rsid w:val="002F300F"/>
    <w:rsid w:val="002F3811"/>
    <w:rsid w:val="002F3F4E"/>
    <w:rsid w:val="002F410C"/>
    <w:rsid w:val="002F6056"/>
    <w:rsid w:val="002F6271"/>
    <w:rsid w:val="002F6CC7"/>
    <w:rsid w:val="002F7D04"/>
    <w:rsid w:val="002F7FF0"/>
    <w:rsid w:val="00300464"/>
    <w:rsid w:val="003009BA"/>
    <w:rsid w:val="00300CFA"/>
    <w:rsid w:val="00301854"/>
    <w:rsid w:val="00304DD4"/>
    <w:rsid w:val="00305602"/>
    <w:rsid w:val="003059F2"/>
    <w:rsid w:val="00305EA9"/>
    <w:rsid w:val="00310193"/>
    <w:rsid w:val="00310659"/>
    <w:rsid w:val="00310FB5"/>
    <w:rsid w:val="00311067"/>
    <w:rsid w:val="00311A5F"/>
    <w:rsid w:val="00311F11"/>
    <w:rsid w:val="00312D10"/>
    <w:rsid w:val="003147E7"/>
    <w:rsid w:val="003147E8"/>
    <w:rsid w:val="003150F0"/>
    <w:rsid w:val="00315A70"/>
    <w:rsid w:val="0031761D"/>
    <w:rsid w:val="00320A5E"/>
    <w:rsid w:val="0032102E"/>
    <w:rsid w:val="003214B7"/>
    <w:rsid w:val="00321572"/>
    <w:rsid w:val="003215DA"/>
    <w:rsid w:val="0032175A"/>
    <w:rsid w:val="0032373B"/>
    <w:rsid w:val="00324BF6"/>
    <w:rsid w:val="00324C1F"/>
    <w:rsid w:val="00324D15"/>
    <w:rsid w:val="0032533A"/>
    <w:rsid w:val="00325A78"/>
    <w:rsid w:val="00326065"/>
    <w:rsid w:val="003266B8"/>
    <w:rsid w:val="00326C86"/>
    <w:rsid w:val="00326DF8"/>
    <w:rsid w:val="00327213"/>
    <w:rsid w:val="0032780F"/>
    <w:rsid w:val="00327D9F"/>
    <w:rsid w:val="00327E66"/>
    <w:rsid w:val="0033297F"/>
    <w:rsid w:val="00332FD4"/>
    <w:rsid w:val="003335E7"/>
    <w:rsid w:val="003349D5"/>
    <w:rsid w:val="0033580E"/>
    <w:rsid w:val="00335ECD"/>
    <w:rsid w:val="0033635C"/>
    <w:rsid w:val="00336786"/>
    <w:rsid w:val="003367D2"/>
    <w:rsid w:val="00337B2F"/>
    <w:rsid w:val="003409FB"/>
    <w:rsid w:val="003416AD"/>
    <w:rsid w:val="00341706"/>
    <w:rsid w:val="00341C16"/>
    <w:rsid w:val="003424AE"/>
    <w:rsid w:val="00342ECF"/>
    <w:rsid w:val="0034315D"/>
    <w:rsid w:val="00343702"/>
    <w:rsid w:val="00344ADF"/>
    <w:rsid w:val="00345000"/>
    <w:rsid w:val="00345306"/>
    <w:rsid w:val="00346DAE"/>
    <w:rsid w:val="003479F2"/>
    <w:rsid w:val="00347B47"/>
    <w:rsid w:val="0035029F"/>
    <w:rsid w:val="003504E5"/>
    <w:rsid w:val="00350831"/>
    <w:rsid w:val="003510B2"/>
    <w:rsid w:val="00352772"/>
    <w:rsid w:val="00353FC9"/>
    <w:rsid w:val="003542E1"/>
    <w:rsid w:val="003542EC"/>
    <w:rsid w:val="0035448E"/>
    <w:rsid w:val="003564B1"/>
    <w:rsid w:val="00357839"/>
    <w:rsid w:val="003579DA"/>
    <w:rsid w:val="0036020A"/>
    <w:rsid w:val="003603EC"/>
    <w:rsid w:val="0036049B"/>
    <w:rsid w:val="00360A4A"/>
    <w:rsid w:val="00360C3A"/>
    <w:rsid w:val="00360EDE"/>
    <w:rsid w:val="00361C93"/>
    <w:rsid w:val="00362A09"/>
    <w:rsid w:val="00362DC8"/>
    <w:rsid w:val="00362EA6"/>
    <w:rsid w:val="00363A61"/>
    <w:rsid w:val="00363D5E"/>
    <w:rsid w:val="00364013"/>
    <w:rsid w:val="00364C41"/>
    <w:rsid w:val="0036607A"/>
    <w:rsid w:val="0036614F"/>
    <w:rsid w:val="0036625E"/>
    <w:rsid w:val="0036628A"/>
    <w:rsid w:val="00367ED8"/>
    <w:rsid w:val="00371C8E"/>
    <w:rsid w:val="00372405"/>
    <w:rsid w:val="00373161"/>
    <w:rsid w:val="00373E76"/>
    <w:rsid w:val="00374A1D"/>
    <w:rsid w:val="00374E25"/>
    <w:rsid w:val="00376282"/>
    <w:rsid w:val="00377425"/>
    <w:rsid w:val="0037742D"/>
    <w:rsid w:val="0038027D"/>
    <w:rsid w:val="003808CE"/>
    <w:rsid w:val="00380D79"/>
    <w:rsid w:val="00381172"/>
    <w:rsid w:val="00383D63"/>
    <w:rsid w:val="00383DF5"/>
    <w:rsid w:val="003847EC"/>
    <w:rsid w:val="0038586D"/>
    <w:rsid w:val="00385DD6"/>
    <w:rsid w:val="00386366"/>
    <w:rsid w:val="0038731E"/>
    <w:rsid w:val="00387EB8"/>
    <w:rsid w:val="00387F66"/>
    <w:rsid w:val="003900B0"/>
    <w:rsid w:val="003912F6"/>
    <w:rsid w:val="00391A6C"/>
    <w:rsid w:val="0039243A"/>
    <w:rsid w:val="00392C0C"/>
    <w:rsid w:val="00392E76"/>
    <w:rsid w:val="00393415"/>
    <w:rsid w:val="00393719"/>
    <w:rsid w:val="003955BC"/>
    <w:rsid w:val="003957FA"/>
    <w:rsid w:val="00395FAC"/>
    <w:rsid w:val="003973C7"/>
    <w:rsid w:val="003A0475"/>
    <w:rsid w:val="003A04BD"/>
    <w:rsid w:val="003A0560"/>
    <w:rsid w:val="003A0F67"/>
    <w:rsid w:val="003A11B7"/>
    <w:rsid w:val="003A11E3"/>
    <w:rsid w:val="003A1D12"/>
    <w:rsid w:val="003A1D2E"/>
    <w:rsid w:val="003A1DDF"/>
    <w:rsid w:val="003A2684"/>
    <w:rsid w:val="003A2A19"/>
    <w:rsid w:val="003A4117"/>
    <w:rsid w:val="003A4251"/>
    <w:rsid w:val="003A45E8"/>
    <w:rsid w:val="003A465C"/>
    <w:rsid w:val="003A4DB8"/>
    <w:rsid w:val="003A4E9E"/>
    <w:rsid w:val="003A4F76"/>
    <w:rsid w:val="003A591F"/>
    <w:rsid w:val="003A6705"/>
    <w:rsid w:val="003A6816"/>
    <w:rsid w:val="003A7B2E"/>
    <w:rsid w:val="003B0270"/>
    <w:rsid w:val="003B0B6D"/>
    <w:rsid w:val="003B12AF"/>
    <w:rsid w:val="003B1731"/>
    <w:rsid w:val="003B1BF7"/>
    <w:rsid w:val="003B20CA"/>
    <w:rsid w:val="003B2DB6"/>
    <w:rsid w:val="003B2F99"/>
    <w:rsid w:val="003B39C6"/>
    <w:rsid w:val="003B4034"/>
    <w:rsid w:val="003B4082"/>
    <w:rsid w:val="003B457C"/>
    <w:rsid w:val="003B46F3"/>
    <w:rsid w:val="003B4D18"/>
    <w:rsid w:val="003B51A1"/>
    <w:rsid w:val="003B5D1D"/>
    <w:rsid w:val="003B5DF2"/>
    <w:rsid w:val="003B675A"/>
    <w:rsid w:val="003B6E0A"/>
    <w:rsid w:val="003B75E3"/>
    <w:rsid w:val="003B7970"/>
    <w:rsid w:val="003B7980"/>
    <w:rsid w:val="003C00C2"/>
    <w:rsid w:val="003C1155"/>
    <w:rsid w:val="003C1ED3"/>
    <w:rsid w:val="003C24DB"/>
    <w:rsid w:val="003C330A"/>
    <w:rsid w:val="003C43C9"/>
    <w:rsid w:val="003C4A3D"/>
    <w:rsid w:val="003C4BD7"/>
    <w:rsid w:val="003C56D4"/>
    <w:rsid w:val="003C676E"/>
    <w:rsid w:val="003C7207"/>
    <w:rsid w:val="003C79D8"/>
    <w:rsid w:val="003D0184"/>
    <w:rsid w:val="003D09C2"/>
    <w:rsid w:val="003D0A57"/>
    <w:rsid w:val="003D0C16"/>
    <w:rsid w:val="003D116F"/>
    <w:rsid w:val="003D1A88"/>
    <w:rsid w:val="003D1E85"/>
    <w:rsid w:val="003D2458"/>
    <w:rsid w:val="003D2593"/>
    <w:rsid w:val="003D26C4"/>
    <w:rsid w:val="003D2E59"/>
    <w:rsid w:val="003D45C3"/>
    <w:rsid w:val="003D4C60"/>
    <w:rsid w:val="003D536F"/>
    <w:rsid w:val="003D54BB"/>
    <w:rsid w:val="003D553D"/>
    <w:rsid w:val="003D5D21"/>
    <w:rsid w:val="003D6FB2"/>
    <w:rsid w:val="003D7D4E"/>
    <w:rsid w:val="003E0058"/>
    <w:rsid w:val="003E03BD"/>
    <w:rsid w:val="003E0A08"/>
    <w:rsid w:val="003E1AF6"/>
    <w:rsid w:val="003E224F"/>
    <w:rsid w:val="003E3546"/>
    <w:rsid w:val="003E38DC"/>
    <w:rsid w:val="003E3C9A"/>
    <w:rsid w:val="003E3DCF"/>
    <w:rsid w:val="003E4235"/>
    <w:rsid w:val="003E429A"/>
    <w:rsid w:val="003E44FF"/>
    <w:rsid w:val="003E4735"/>
    <w:rsid w:val="003E5986"/>
    <w:rsid w:val="003E6CD0"/>
    <w:rsid w:val="003E6D8E"/>
    <w:rsid w:val="003E6F4B"/>
    <w:rsid w:val="003E755D"/>
    <w:rsid w:val="003F0055"/>
    <w:rsid w:val="003F0410"/>
    <w:rsid w:val="003F0E85"/>
    <w:rsid w:val="003F170D"/>
    <w:rsid w:val="003F19A2"/>
    <w:rsid w:val="003F24C9"/>
    <w:rsid w:val="003F3853"/>
    <w:rsid w:val="003F3CCE"/>
    <w:rsid w:val="003F3FD7"/>
    <w:rsid w:val="003F400E"/>
    <w:rsid w:val="003F4B0E"/>
    <w:rsid w:val="003F4E57"/>
    <w:rsid w:val="003F5DC6"/>
    <w:rsid w:val="003F5E95"/>
    <w:rsid w:val="003F5F3F"/>
    <w:rsid w:val="003F61FB"/>
    <w:rsid w:val="003F6896"/>
    <w:rsid w:val="003F6D4E"/>
    <w:rsid w:val="003F6F73"/>
    <w:rsid w:val="003F7AB7"/>
    <w:rsid w:val="00400230"/>
    <w:rsid w:val="00400825"/>
    <w:rsid w:val="00400899"/>
    <w:rsid w:val="00400A93"/>
    <w:rsid w:val="00402763"/>
    <w:rsid w:val="00402D81"/>
    <w:rsid w:val="00403348"/>
    <w:rsid w:val="0040344D"/>
    <w:rsid w:val="0040381A"/>
    <w:rsid w:val="0040487E"/>
    <w:rsid w:val="00405167"/>
    <w:rsid w:val="00405217"/>
    <w:rsid w:val="004053D8"/>
    <w:rsid w:val="004060A2"/>
    <w:rsid w:val="00406423"/>
    <w:rsid w:val="0040670B"/>
    <w:rsid w:val="0040709A"/>
    <w:rsid w:val="00407530"/>
    <w:rsid w:val="0041070A"/>
    <w:rsid w:val="00410BD7"/>
    <w:rsid w:val="00411572"/>
    <w:rsid w:val="00411AD6"/>
    <w:rsid w:val="00412434"/>
    <w:rsid w:val="00412C52"/>
    <w:rsid w:val="00413BC7"/>
    <w:rsid w:val="004149FD"/>
    <w:rsid w:val="00415891"/>
    <w:rsid w:val="004169DB"/>
    <w:rsid w:val="00416ADD"/>
    <w:rsid w:val="00417201"/>
    <w:rsid w:val="00417B22"/>
    <w:rsid w:val="00420E32"/>
    <w:rsid w:val="00421426"/>
    <w:rsid w:val="00422DA5"/>
    <w:rsid w:val="00423EE9"/>
    <w:rsid w:val="00424260"/>
    <w:rsid w:val="0042486F"/>
    <w:rsid w:val="00424ED3"/>
    <w:rsid w:val="00425D8D"/>
    <w:rsid w:val="00426542"/>
    <w:rsid w:val="00427116"/>
    <w:rsid w:val="00427803"/>
    <w:rsid w:val="00427F8E"/>
    <w:rsid w:val="00430229"/>
    <w:rsid w:val="00430CAB"/>
    <w:rsid w:val="00431431"/>
    <w:rsid w:val="0043184F"/>
    <w:rsid w:val="0043197C"/>
    <w:rsid w:val="00431CB0"/>
    <w:rsid w:val="00431D9A"/>
    <w:rsid w:val="0043200C"/>
    <w:rsid w:val="00432609"/>
    <w:rsid w:val="00432F17"/>
    <w:rsid w:val="004350CB"/>
    <w:rsid w:val="00435708"/>
    <w:rsid w:val="00435861"/>
    <w:rsid w:val="00435B84"/>
    <w:rsid w:val="0043632F"/>
    <w:rsid w:val="004369D9"/>
    <w:rsid w:val="00437A04"/>
    <w:rsid w:val="00437A9E"/>
    <w:rsid w:val="00440C2D"/>
    <w:rsid w:val="00441F2A"/>
    <w:rsid w:val="00442955"/>
    <w:rsid w:val="004438E6"/>
    <w:rsid w:val="00443C8A"/>
    <w:rsid w:val="004446F5"/>
    <w:rsid w:val="0044478C"/>
    <w:rsid w:val="004458CC"/>
    <w:rsid w:val="00445D36"/>
    <w:rsid w:val="004460D3"/>
    <w:rsid w:val="004469F9"/>
    <w:rsid w:val="00446F17"/>
    <w:rsid w:val="00450BFF"/>
    <w:rsid w:val="00451043"/>
    <w:rsid w:val="004518BD"/>
    <w:rsid w:val="004518DA"/>
    <w:rsid w:val="00452077"/>
    <w:rsid w:val="004528A2"/>
    <w:rsid w:val="00453EBA"/>
    <w:rsid w:val="00454566"/>
    <w:rsid w:val="00454C4D"/>
    <w:rsid w:val="004554A2"/>
    <w:rsid w:val="00455747"/>
    <w:rsid w:val="004560A7"/>
    <w:rsid w:val="00456CA7"/>
    <w:rsid w:val="00457094"/>
    <w:rsid w:val="0045776F"/>
    <w:rsid w:val="00457C54"/>
    <w:rsid w:val="0046047D"/>
    <w:rsid w:val="00460C0C"/>
    <w:rsid w:val="00460D8B"/>
    <w:rsid w:val="00461117"/>
    <w:rsid w:val="00461D3F"/>
    <w:rsid w:val="00461F05"/>
    <w:rsid w:val="00462117"/>
    <w:rsid w:val="004628D1"/>
    <w:rsid w:val="004628ED"/>
    <w:rsid w:val="00462FB9"/>
    <w:rsid w:val="00463036"/>
    <w:rsid w:val="00463262"/>
    <w:rsid w:val="0046408E"/>
    <w:rsid w:val="004647EA"/>
    <w:rsid w:val="00464899"/>
    <w:rsid w:val="00464FBE"/>
    <w:rsid w:val="00465CE1"/>
    <w:rsid w:val="0046674B"/>
    <w:rsid w:val="004675D8"/>
    <w:rsid w:val="00467623"/>
    <w:rsid w:val="0047027C"/>
    <w:rsid w:val="00470657"/>
    <w:rsid w:val="004706AB"/>
    <w:rsid w:val="00471A98"/>
    <w:rsid w:val="0047245F"/>
    <w:rsid w:val="00472928"/>
    <w:rsid w:val="00472A8B"/>
    <w:rsid w:val="00474D0A"/>
    <w:rsid w:val="00475099"/>
    <w:rsid w:val="004751A4"/>
    <w:rsid w:val="00475B12"/>
    <w:rsid w:val="00475F95"/>
    <w:rsid w:val="00476482"/>
    <w:rsid w:val="00476C23"/>
    <w:rsid w:val="004774DF"/>
    <w:rsid w:val="0047750C"/>
    <w:rsid w:val="00480C1A"/>
    <w:rsid w:val="00481A0D"/>
    <w:rsid w:val="00481C61"/>
    <w:rsid w:val="004827D8"/>
    <w:rsid w:val="004828C1"/>
    <w:rsid w:val="0048310C"/>
    <w:rsid w:val="004831B0"/>
    <w:rsid w:val="00483470"/>
    <w:rsid w:val="00483D1D"/>
    <w:rsid w:val="00484B87"/>
    <w:rsid w:val="004850AC"/>
    <w:rsid w:val="00485362"/>
    <w:rsid w:val="00485DD8"/>
    <w:rsid w:val="004864AB"/>
    <w:rsid w:val="004904C8"/>
    <w:rsid w:val="00491CFE"/>
    <w:rsid w:val="00492C00"/>
    <w:rsid w:val="00492FE6"/>
    <w:rsid w:val="00493BF5"/>
    <w:rsid w:val="00493DA0"/>
    <w:rsid w:val="00493DB8"/>
    <w:rsid w:val="00493F39"/>
    <w:rsid w:val="00493FAF"/>
    <w:rsid w:val="0049505B"/>
    <w:rsid w:val="00495083"/>
    <w:rsid w:val="0049547D"/>
    <w:rsid w:val="00495A9F"/>
    <w:rsid w:val="00495CDC"/>
    <w:rsid w:val="0049644A"/>
    <w:rsid w:val="00496818"/>
    <w:rsid w:val="0049682C"/>
    <w:rsid w:val="00497052"/>
    <w:rsid w:val="004972B9"/>
    <w:rsid w:val="0049758B"/>
    <w:rsid w:val="004A1A90"/>
    <w:rsid w:val="004A29D7"/>
    <w:rsid w:val="004A2BE1"/>
    <w:rsid w:val="004A2FD2"/>
    <w:rsid w:val="004A3300"/>
    <w:rsid w:val="004A3613"/>
    <w:rsid w:val="004A37EB"/>
    <w:rsid w:val="004A3C63"/>
    <w:rsid w:val="004A3EC8"/>
    <w:rsid w:val="004A3F71"/>
    <w:rsid w:val="004A4237"/>
    <w:rsid w:val="004A551A"/>
    <w:rsid w:val="004A60AD"/>
    <w:rsid w:val="004A662F"/>
    <w:rsid w:val="004A77B3"/>
    <w:rsid w:val="004A7A8E"/>
    <w:rsid w:val="004B033C"/>
    <w:rsid w:val="004B059B"/>
    <w:rsid w:val="004B074B"/>
    <w:rsid w:val="004B197E"/>
    <w:rsid w:val="004B1F70"/>
    <w:rsid w:val="004B36C9"/>
    <w:rsid w:val="004B39CB"/>
    <w:rsid w:val="004B4445"/>
    <w:rsid w:val="004B4662"/>
    <w:rsid w:val="004B4CDA"/>
    <w:rsid w:val="004B53F0"/>
    <w:rsid w:val="004B56B2"/>
    <w:rsid w:val="004B596E"/>
    <w:rsid w:val="004B59F3"/>
    <w:rsid w:val="004B5A36"/>
    <w:rsid w:val="004B5F1C"/>
    <w:rsid w:val="004B655F"/>
    <w:rsid w:val="004B6E16"/>
    <w:rsid w:val="004B7C1C"/>
    <w:rsid w:val="004C0099"/>
    <w:rsid w:val="004C05B6"/>
    <w:rsid w:val="004C0B66"/>
    <w:rsid w:val="004C0D8A"/>
    <w:rsid w:val="004C17D6"/>
    <w:rsid w:val="004C30A9"/>
    <w:rsid w:val="004C32BF"/>
    <w:rsid w:val="004C5040"/>
    <w:rsid w:val="004C5AD8"/>
    <w:rsid w:val="004C6A86"/>
    <w:rsid w:val="004C7581"/>
    <w:rsid w:val="004C79A6"/>
    <w:rsid w:val="004D0373"/>
    <w:rsid w:val="004D1047"/>
    <w:rsid w:val="004D1246"/>
    <w:rsid w:val="004D1D8E"/>
    <w:rsid w:val="004D2E34"/>
    <w:rsid w:val="004D3093"/>
    <w:rsid w:val="004D38CF"/>
    <w:rsid w:val="004D3DD2"/>
    <w:rsid w:val="004D515C"/>
    <w:rsid w:val="004D582B"/>
    <w:rsid w:val="004D5DB5"/>
    <w:rsid w:val="004D69C4"/>
    <w:rsid w:val="004D6B79"/>
    <w:rsid w:val="004D6FEC"/>
    <w:rsid w:val="004D7E17"/>
    <w:rsid w:val="004E02AD"/>
    <w:rsid w:val="004E030F"/>
    <w:rsid w:val="004E0581"/>
    <w:rsid w:val="004E16AA"/>
    <w:rsid w:val="004E345F"/>
    <w:rsid w:val="004E3633"/>
    <w:rsid w:val="004E38FF"/>
    <w:rsid w:val="004E3C1F"/>
    <w:rsid w:val="004E4BAD"/>
    <w:rsid w:val="004E74A5"/>
    <w:rsid w:val="004F0C39"/>
    <w:rsid w:val="004F13F5"/>
    <w:rsid w:val="004F1452"/>
    <w:rsid w:val="004F158C"/>
    <w:rsid w:val="004F2369"/>
    <w:rsid w:val="004F2B01"/>
    <w:rsid w:val="004F2ECA"/>
    <w:rsid w:val="004F3DB6"/>
    <w:rsid w:val="004F4B9C"/>
    <w:rsid w:val="004F4CAD"/>
    <w:rsid w:val="004F541B"/>
    <w:rsid w:val="004F5888"/>
    <w:rsid w:val="004F68CB"/>
    <w:rsid w:val="004F6E6F"/>
    <w:rsid w:val="004F6E80"/>
    <w:rsid w:val="004F78A9"/>
    <w:rsid w:val="005001B4"/>
    <w:rsid w:val="00501284"/>
    <w:rsid w:val="00501C11"/>
    <w:rsid w:val="00502D6B"/>
    <w:rsid w:val="00502F94"/>
    <w:rsid w:val="005036D3"/>
    <w:rsid w:val="00503F01"/>
    <w:rsid w:val="0050425B"/>
    <w:rsid w:val="00504E70"/>
    <w:rsid w:val="0050512A"/>
    <w:rsid w:val="00505C13"/>
    <w:rsid w:val="005068BD"/>
    <w:rsid w:val="005101BA"/>
    <w:rsid w:val="0051030C"/>
    <w:rsid w:val="00510587"/>
    <w:rsid w:val="00513702"/>
    <w:rsid w:val="005158DA"/>
    <w:rsid w:val="00515A4C"/>
    <w:rsid w:val="00515C8A"/>
    <w:rsid w:val="00515E19"/>
    <w:rsid w:val="0051629C"/>
    <w:rsid w:val="00516948"/>
    <w:rsid w:val="00516AFB"/>
    <w:rsid w:val="00517F8D"/>
    <w:rsid w:val="00520326"/>
    <w:rsid w:val="00520D3D"/>
    <w:rsid w:val="00521778"/>
    <w:rsid w:val="00522D2D"/>
    <w:rsid w:val="00523D41"/>
    <w:rsid w:val="005243D9"/>
    <w:rsid w:val="00524B6F"/>
    <w:rsid w:val="00524E41"/>
    <w:rsid w:val="00526EF2"/>
    <w:rsid w:val="00526F16"/>
    <w:rsid w:val="00526F2D"/>
    <w:rsid w:val="0052794C"/>
    <w:rsid w:val="00527C32"/>
    <w:rsid w:val="00527D58"/>
    <w:rsid w:val="0053027B"/>
    <w:rsid w:val="005307C0"/>
    <w:rsid w:val="00530A8B"/>
    <w:rsid w:val="00531DBA"/>
    <w:rsid w:val="00532072"/>
    <w:rsid w:val="005320E1"/>
    <w:rsid w:val="0053257B"/>
    <w:rsid w:val="0053265C"/>
    <w:rsid w:val="0053420C"/>
    <w:rsid w:val="005347D9"/>
    <w:rsid w:val="00535CC4"/>
    <w:rsid w:val="00536388"/>
    <w:rsid w:val="00536B3D"/>
    <w:rsid w:val="00537AE6"/>
    <w:rsid w:val="005412C7"/>
    <w:rsid w:val="00541FD6"/>
    <w:rsid w:val="00542A1F"/>
    <w:rsid w:val="00542CD6"/>
    <w:rsid w:val="00543F64"/>
    <w:rsid w:val="00544BB2"/>
    <w:rsid w:val="005450F3"/>
    <w:rsid w:val="00545951"/>
    <w:rsid w:val="00545C7E"/>
    <w:rsid w:val="00550CB4"/>
    <w:rsid w:val="00551680"/>
    <w:rsid w:val="005516B4"/>
    <w:rsid w:val="00551706"/>
    <w:rsid w:val="00551AA2"/>
    <w:rsid w:val="00551DFD"/>
    <w:rsid w:val="0055255F"/>
    <w:rsid w:val="005527BB"/>
    <w:rsid w:val="00552933"/>
    <w:rsid w:val="0055400C"/>
    <w:rsid w:val="005545B3"/>
    <w:rsid w:val="00554CF2"/>
    <w:rsid w:val="0055571C"/>
    <w:rsid w:val="00555BBE"/>
    <w:rsid w:val="005568B2"/>
    <w:rsid w:val="00556907"/>
    <w:rsid w:val="00556CD9"/>
    <w:rsid w:val="00556D12"/>
    <w:rsid w:val="00557161"/>
    <w:rsid w:val="00557446"/>
    <w:rsid w:val="00560639"/>
    <w:rsid w:val="00560C13"/>
    <w:rsid w:val="005618F5"/>
    <w:rsid w:val="00561E64"/>
    <w:rsid w:val="00562021"/>
    <w:rsid w:val="00562FF1"/>
    <w:rsid w:val="00563540"/>
    <w:rsid w:val="00563D1C"/>
    <w:rsid w:val="0056485B"/>
    <w:rsid w:val="00564995"/>
    <w:rsid w:val="00564A25"/>
    <w:rsid w:val="00565292"/>
    <w:rsid w:val="00566C18"/>
    <w:rsid w:val="0056734D"/>
    <w:rsid w:val="00567BD8"/>
    <w:rsid w:val="005706B8"/>
    <w:rsid w:val="005707E5"/>
    <w:rsid w:val="00570C78"/>
    <w:rsid w:val="005718B3"/>
    <w:rsid w:val="00572175"/>
    <w:rsid w:val="00572304"/>
    <w:rsid w:val="00573283"/>
    <w:rsid w:val="0057356C"/>
    <w:rsid w:val="00573B16"/>
    <w:rsid w:val="00574736"/>
    <w:rsid w:val="00575237"/>
    <w:rsid w:val="005759AD"/>
    <w:rsid w:val="00575C40"/>
    <w:rsid w:val="00575F85"/>
    <w:rsid w:val="0057653A"/>
    <w:rsid w:val="00576AFB"/>
    <w:rsid w:val="00580678"/>
    <w:rsid w:val="0058091F"/>
    <w:rsid w:val="005818CE"/>
    <w:rsid w:val="005819F0"/>
    <w:rsid w:val="00581FEE"/>
    <w:rsid w:val="00582A59"/>
    <w:rsid w:val="00582B54"/>
    <w:rsid w:val="005834F6"/>
    <w:rsid w:val="0058474C"/>
    <w:rsid w:val="00584BD8"/>
    <w:rsid w:val="00584D98"/>
    <w:rsid w:val="00585FA0"/>
    <w:rsid w:val="00586585"/>
    <w:rsid w:val="00586E9C"/>
    <w:rsid w:val="005873B6"/>
    <w:rsid w:val="00587847"/>
    <w:rsid w:val="00587F53"/>
    <w:rsid w:val="00590070"/>
    <w:rsid w:val="00590741"/>
    <w:rsid w:val="00591CDD"/>
    <w:rsid w:val="00591E8C"/>
    <w:rsid w:val="00592868"/>
    <w:rsid w:val="00592B1E"/>
    <w:rsid w:val="00593F60"/>
    <w:rsid w:val="00593FA4"/>
    <w:rsid w:val="0059497C"/>
    <w:rsid w:val="00594F1F"/>
    <w:rsid w:val="0059500A"/>
    <w:rsid w:val="00595671"/>
    <w:rsid w:val="00595745"/>
    <w:rsid w:val="00595809"/>
    <w:rsid w:val="00596835"/>
    <w:rsid w:val="00597B35"/>
    <w:rsid w:val="005A08FD"/>
    <w:rsid w:val="005A33C6"/>
    <w:rsid w:val="005A3889"/>
    <w:rsid w:val="005A3B48"/>
    <w:rsid w:val="005A4437"/>
    <w:rsid w:val="005A57FF"/>
    <w:rsid w:val="005A63D1"/>
    <w:rsid w:val="005A66F0"/>
    <w:rsid w:val="005A71C8"/>
    <w:rsid w:val="005A73EF"/>
    <w:rsid w:val="005A7994"/>
    <w:rsid w:val="005A7C22"/>
    <w:rsid w:val="005A7E6E"/>
    <w:rsid w:val="005B0305"/>
    <w:rsid w:val="005B08EC"/>
    <w:rsid w:val="005B1578"/>
    <w:rsid w:val="005B35D3"/>
    <w:rsid w:val="005B3BF0"/>
    <w:rsid w:val="005B44C9"/>
    <w:rsid w:val="005B64A2"/>
    <w:rsid w:val="005B6B58"/>
    <w:rsid w:val="005B702D"/>
    <w:rsid w:val="005B7172"/>
    <w:rsid w:val="005B73B4"/>
    <w:rsid w:val="005C0636"/>
    <w:rsid w:val="005C072F"/>
    <w:rsid w:val="005C0822"/>
    <w:rsid w:val="005C0CD1"/>
    <w:rsid w:val="005C120F"/>
    <w:rsid w:val="005C2B40"/>
    <w:rsid w:val="005C3BEA"/>
    <w:rsid w:val="005C659A"/>
    <w:rsid w:val="005C6732"/>
    <w:rsid w:val="005C7754"/>
    <w:rsid w:val="005C783A"/>
    <w:rsid w:val="005D0451"/>
    <w:rsid w:val="005D0D84"/>
    <w:rsid w:val="005D10AB"/>
    <w:rsid w:val="005D13A7"/>
    <w:rsid w:val="005D15F1"/>
    <w:rsid w:val="005D1639"/>
    <w:rsid w:val="005D17A6"/>
    <w:rsid w:val="005D1E0B"/>
    <w:rsid w:val="005D2345"/>
    <w:rsid w:val="005D2823"/>
    <w:rsid w:val="005D3464"/>
    <w:rsid w:val="005D37E8"/>
    <w:rsid w:val="005D37F2"/>
    <w:rsid w:val="005D406C"/>
    <w:rsid w:val="005D4561"/>
    <w:rsid w:val="005D5A1D"/>
    <w:rsid w:val="005D5ED9"/>
    <w:rsid w:val="005D60DE"/>
    <w:rsid w:val="005D67DF"/>
    <w:rsid w:val="005D6858"/>
    <w:rsid w:val="005D6B4D"/>
    <w:rsid w:val="005D735F"/>
    <w:rsid w:val="005E004C"/>
    <w:rsid w:val="005E0886"/>
    <w:rsid w:val="005E1134"/>
    <w:rsid w:val="005E1500"/>
    <w:rsid w:val="005E164B"/>
    <w:rsid w:val="005E1E63"/>
    <w:rsid w:val="005E37D4"/>
    <w:rsid w:val="005E3D45"/>
    <w:rsid w:val="005E44C6"/>
    <w:rsid w:val="005E45A1"/>
    <w:rsid w:val="005E45FF"/>
    <w:rsid w:val="005E4650"/>
    <w:rsid w:val="005E5682"/>
    <w:rsid w:val="005E6196"/>
    <w:rsid w:val="005E64B4"/>
    <w:rsid w:val="005E7164"/>
    <w:rsid w:val="005E7C73"/>
    <w:rsid w:val="005E7E88"/>
    <w:rsid w:val="005E7F62"/>
    <w:rsid w:val="005F086F"/>
    <w:rsid w:val="005F2234"/>
    <w:rsid w:val="005F224E"/>
    <w:rsid w:val="005F2492"/>
    <w:rsid w:val="005F2A1E"/>
    <w:rsid w:val="005F3824"/>
    <w:rsid w:val="005F3AD2"/>
    <w:rsid w:val="005F3C86"/>
    <w:rsid w:val="005F4197"/>
    <w:rsid w:val="005F488B"/>
    <w:rsid w:val="005F533E"/>
    <w:rsid w:val="005F5BBE"/>
    <w:rsid w:val="005F6C6D"/>
    <w:rsid w:val="005F7023"/>
    <w:rsid w:val="005F7DD8"/>
    <w:rsid w:val="00600791"/>
    <w:rsid w:val="0060084E"/>
    <w:rsid w:val="006031DF"/>
    <w:rsid w:val="0060540B"/>
    <w:rsid w:val="00605DAF"/>
    <w:rsid w:val="0060639C"/>
    <w:rsid w:val="006063C4"/>
    <w:rsid w:val="00607058"/>
    <w:rsid w:val="006075B6"/>
    <w:rsid w:val="00607C2D"/>
    <w:rsid w:val="00610602"/>
    <w:rsid w:val="00610DE5"/>
    <w:rsid w:val="0061163A"/>
    <w:rsid w:val="00611D55"/>
    <w:rsid w:val="0061242E"/>
    <w:rsid w:val="0061272C"/>
    <w:rsid w:val="006129AF"/>
    <w:rsid w:val="00612B37"/>
    <w:rsid w:val="00612C11"/>
    <w:rsid w:val="00612D6F"/>
    <w:rsid w:val="00614156"/>
    <w:rsid w:val="0061426C"/>
    <w:rsid w:val="006151B8"/>
    <w:rsid w:val="00615F3C"/>
    <w:rsid w:val="00616A93"/>
    <w:rsid w:val="00616D33"/>
    <w:rsid w:val="006202F1"/>
    <w:rsid w:val="00620819"/>
    <w:rsid w:val="00620F90"/>
    <w:rsid w:val="006240C7"/>
    <w:rsid w:val="00624325"/>
    <w:rsid w:val="006246AD"/>
    <w:rsid w:val="006251A1"/>
    <w:rsid w:val="0062540E"/>
    <w:rsid w:val="006256A6"/>
    <w:rsid w:val="00626303"/>
    <w:rsid w:val="006271C9"/>
    <w:rsid w:val="00627BA1"/>
    <w:rsid w:val="0063010A"/>
    <w:rsid w:val="00630ED2"/>
    <w:rsid w:val="00631732"/>
    <w:rsid w:val="006319B7"/>
    <w:rsid w:val="00631E5B"/>
    <w:rsid w:val="00632AD1"/>
    <w:rsid w:val="00632F30"/>
    <w:rsid w:val="006331D0"/>
    <w:rsid w:val="00633551"/>
    <w:rsid w:val="00633889"/>
    <w:rsid w:val="006340C6"/>
    <w:rsid w:val="006343D2"/>
    <w:rsid w:val="00634E5E"/>
    <w:rsid w:val="00634FCF"/>
    <w:rsid w:val="006355F6"/>
    <w:rsid w:val="006362E2"/>
    <w:rsid w:val="006364BD"/>
    <w:rsid w:val="00636712"/>
    <w:rsid w:val="00636BF3"/>
    <w:rsid w:val="00637273"/>
    <w:rsid w:val="00637A0C"/>
    <w:rsid w:val="00640B2A"/>
    <w:rsid w:val="00640C82"/>
    <w:rsid w:val="00641013"/>
    <w:rsid w:val="00641D11"/>
    <w:rsid w:val="00641FCC"/>
    <w:rsid w:val="0064211D"/>
    <w:rsid w:val="0064230E"/>
    <w:rsid w:val="00642AAA"/>
    <w:rsid w:val="00643636"/>
    <w:rsid w:val="0064586C"/>
    <w:rsid w:val="0065025A"/>
    <w:rsid w:val="0065091C"/>
    <w:rsid w:val="00650B1C"/>
    <w:rsid w:val="00650B53"/>
    <w:rsid w:val="00650CD5"/>
    <w:rsid w:val="00650CD8"/>
    <w:rsid w:val="00650CFE"/>
    <w:rsid w:val="00651CFE"/>
    <w:rsid w:val="006522FF"/>
    <w:rsid w:val="0065258C"/>
    <w:rsid w:val="0065297F"/>
    <w:rsid w:val="00653740"/>
    <w:rsid w:val="0065383B"/>
    <w:rsid w:val="0065389D"/>
    <w:rsid w:val="006547A6"/>
    <w:rsid w:val="006547E9"/>
    <w:rsid w:val="0065494F"/>
    <w:rsid w:val="006557E1"/>
    <w:rsid w:val="00656859"/>
    <w:rsid w:val="00657807"/>
    <w:rsid w:val="00657873"/>
    <w:rsid w:val="0066040D"/>
    <w:rsid w:val="0066142E"/>
    <w:rsid w:val="00661A5C"/>
    <w:rsid w:val="006632B8"/>
    <w:rsid w:val="0066533E"/>
    <w:rsid w:val="006656BD"/>
    <w:rsid w:val="00665A8E"/>
    <w:rsid w:val="00665ECC"/>
    <w:rsid w:val="00666CA1"/>
    <w:rsid w:val="00666CD4"/>
    <w:rsid w:val="00667579"/>
    <w:rsid w:val="00667620"/>
    <w:rsid w:val="00670842"/>
    <w:rsid w:val="00670922"/>
    <w:rsid w:val="006709C5"/>
    <w:rsid w:val="00671194"/>
    <w:rsid w:val="00671CFF"/>
    <w:rsid w:val="0067280C"/>
    <w:rsid w:val="00672960"/>
    <w:rsid w:val="0067296C"/>
    <w:rsid w:val="006729C9"/>
    <w:rsid w:val="00673707"/>
    <w:rsid w:val="00673880"/>
    <w:rsid w:val="00674083"/>
    <w:rsid w:val="0067415E"/>
    <w:rsid w:val="00674B89"/>
    <w:rsid w:val="00674C55"/>
    <w:rsid w:val="00674FE8"/>
    <w:rsid w:val="00675B27"/>
    <w:rsid w:val="00676B4E"/>
    <w:rsid w:val="00677505"/>
    <w:rsid w:val="006777F2"/>
    <w:rsid w:val="0067788F"/>
    <w:rsid w:val="00680742"/>
    <w:rsid w:val="006809E7"/>
    <w:rsid w:val="006817FB"/>
    <w:rsid w:val="00681919"/>
    <w:rsid w:val="00682121"/>
    <w:rsid w:val="00682EF9"/>
    <w:rsid w:val="00682F5C"/>
    <w:rsid w:val="00683164"/>
    <w:rsid w:val="00683503"/>
    <w:rsid w:val="0068384E"/>
    <w:rsid w:val="0068384F"/>
    <w:rsid w:val="0068389F"/>
    <w:rsid w:val="00683A24"/>
    <w:rsid w:val="006848F4"/>
    <w:rsid w:val="00684F36"/>
    <w:rsid w:val="00685F37"/>
    <w:rsid w:val="006860FB"/>
    <w:rsid w:val="00686C1D"/>
    <w:rsid w:val="00686E52"/>
    <w:rsid w:val="0068700A"/>
    <w:rsid w:val="0068766A"/>
    <w:rsid w:val="0069116D"/>
    <w:rsid w:val="006913C6"/>
    <w:rsid w:val="006921EA"/>
    <w:rsid w:val="00692699"/>
    <w:rsid w:val="00692BDE"/>
    <w:rsid w:val="0069318D"/>
    <w:rsid w:val="0069354D"/>
    <w:rsid w:val="00693664"/>
    <w:rsid w:val="0069378F"/>
    <w:rsid w:val="006943CC"/>
    <w:rsid w:val="006951D9"/>
    <w:rsid w:val="00695A5C"/>
    <w:rsid w:val="00695AC3"/>
    <w:rsid w:val="00696C42"/>
    <w:rsid w:val="00696FBD"/>
    <w:rsid w:val="0069768F"/>
    <w:rsid w:val="006979F5"/>
    <w:rsid w:val="006A03F4"/>
    <w:rsid w:val="006A1582"/>
    <w:rsid w:val="006A16AA"/>
    <w:rsid w:val="006A26DD"/>
    <w:rsid w:val="006A30E6"/>
    <w:rsid w:val="006A45DE"/>
    <w:rsid w:val="006A4793"/>
    <w:rsid w:val="006A4BFE"/>
    <w:rsid w:val="006A4C25"/>
    <w:rsid w:val="006A5AFE"/>
    <w:rsid w:val="006A6772"/>
    <w:rsid w:val="006A7612"/>
    <w:rsid w:val="006A7F8D"/>
    <w:rsid w:val="006B0BB1"/>
    <w:rsid w:val="006B150F"/>
    <w:rsid w:val="006B244C"/>
    <w:rsid w:val="006B2DA7"/>
    <w:rsid w:val="006B37F4"/>
    <w:rsid w:val="006B3833"/>
    <w:rsid w:val="006B39C6"/>
    <w:rsid w:val="006B3F8C"/>
    <w:rsid w:val="006B3FC8"/>
    <w:rsid w:val="006B49D2"/>
    <w:rsid w:val="006B5208"/>
    <w:rsid w:val="006B588F"/>
    <w:rsid w:val="006B5944"/>
    <w:rsid w:val="006B6D57"/>
    <w:rsid w:val="006C09EC"/>
    <w:rsid w:val="006C0FCD"/>
    <w:rsid w:val="006C158C"/>
    <w:rsid w:val="006C20A6"/>
    <w:rsid w:val="006C263A"/>
    <w:rsid w:val="006C3941"/>
    <w:rsid w:val="006C4186"/>
    <w:rsid w:val="006C429D"/>
    <w:rsid w:val="006C5835"/>
    <w:rsid w:val="006C642A"/>
    <w:rsid w:val="006C6441"/>
    <w:rsid w:val="006C7027"/>
    <w:rsid w:val="006C745F"/>
    <w:rsid w:val="006C77A2"/>
    <w:rsid w:val="006D09F1"/>
    <w:rsid w:val="006D2024"/>
    <w:rsid w:val="006D22D6"/>
    <w:rsid w:val="006D25B9"/>
    <w:rsid w:val="006D27BA"/>
    <w:rsid w:val="006D3FA0"/>
    <w:rsid w:val="006D457B"/>
    <w:rsid w:val="006D4B85"/>
    <w:rsid w:val="006D4E6D"/>
    <w:rsid w:val="006D53C5"/>
    <w:rsid w:val="006D5603"/>
    <w:rsid w:val="006D5CC9"/>
    <w:rsid w:val="006D5E83"/>
    <w:rsid w:val="006D6032"/>
    <w:rsid w:val="006D6069"/>
    <w:rsid w:val="006D61B5"/>
    <w:rsid w:val="006D643A"/>
    <w:rsid w:val="006D68D1"/>
    <w:rsid w:val="006D75E3"/>
    <w:rsid w:val="006D7796"/>
    <w:rsid w:val="006E0040"/>
    <w:rsid w:val="006E00BC"/>
    <w:rsid w:val="006E0521"/>
    <w:rsid w:val="006E0CE1"/>
    <w:rsid w:val="006E237C"/>
    <w:rsid w:val="006E3AC5"/>
    <w:rsid w:val="006E506D"/>
    <w:rsid w:val="006E51AA"/>
    <w:rsid w:val="006E52E8"/>
    <w:rsid w:val="006E572A"/>
    <w:rsid w:val="006E582B"/>
    <w:rsid w:val="006E5E02"/>
    <w:rsid w:val="006E6F2D"/>
    <w:rsid w:val="006E7998"/>
    <w:rsid w:val="006E7D1E"/>
    <w:rsid w:val="006F1373"/>
    <w:rsid w:val="006F19A9"/>
    <w:rsid w:val="006F1BAB"/>
    <w:rsid w:val="006F204A"/>
    <w:rsid w:val="006F26B5"/>
    <w:rsid w:val="006F292D"/>
    <w:rsid w:val="006F2B8A"/>
    <w:rsid w:val="006F2BCA"/>
    <w:rsid w:val="006F37DA"/>
    <w:rsid w:val="006F3D25"/>
    <w:rsid w:val="006F47EB"/>
    <w:rsid w:val="006F5304"/>
    <w:rsid w:val="006F5689"/>
    <w:rsid w:val="006F5CC6"/>
    <w:rsid w:val="006F65BA"/>
    <w:rsid w:val="006F6DF7"/>
    <w:rsid w:val="006F7043"/>
    <w:rsid w:val="006F75BB"/>
    <w:rsid w:val="00700139"/>
    <w:rsid w:val="00700352"/>
    <w:rsid w:val="007005F6"/>
    <w:rsid w:val="00700A0D"/>
    <w:rsid w:val="00700D9D"/>
    <w:rsid w:val="00701C11"/>
    <w:rsid w:val="00701E85"/>
    <w:rsid w:val="0070275B"/>
    <w:rsid w:val="0070456D"/>
    <w:rsid w:val="00704E20"/>
    <w:rsid w:val="007051C4"/>
    <w:rsid w:val="0070594B"/>
    <w:rsid w:val="00705D30"/>
    <w:rsid w:val="00705DEE"/>
    <w:rsid w:val="00706D26"/>
    <w:rsid w:val="00707A10"/>
    <w:rsid w:val="00707C8C"/>
    <w:rsid w:val="0071002A"/>
    <w:rsid w:val="0071016A"/>
    <w:rsid w:val="007101F9"/>
    <w:rsid w:val="00710ABC"/>
    <w:rsid w:val="00711099"/>
    <w:rsid w:val="0071109D"/>
    <w:rsid w:val="00712EDA"/>
    <w:rsid w:val="00713153"/>
    <w:rsid w:val="007145F3"/>
    <w:rsid w:val="00714D09"/>
    <w:rsid w:val="007150EE"/>
    <w:rsid w:val="0071535F"/>
    <w:rsid w:val="0071576D"/>
    <w:rsid w:val="00715AC5"/>
    <w:rsid w:val="007161DD"/>
    <w:rsid w:val="007201D1"/>
    <w:rsid w:val="00720267"/>
    <w:rsid w:val="0072156E"/>
    <w:rsid w:val="00722CDD"/>
    <w:rsid w:val="00723366"/>
    <w:rsid w:val="007233F9"/>
    <w:rsid w:val="007251F8"/>
    <w:rsid w:val="0072589B"/>
    <w:rsid w:val="007259AE"/>
    <w:rsid w:val="00725DAB"/>
    <w:rsid w:val="00726144"/>
    <w:rsid w:val="00726DD3"/>
    <w:rsid w:val="0072709B"/>
    <w:rsid w:val="0073026F"/>
    <w:rsid w:val="00730BE7"/>
    <w:rsid w:val="007312F7"/>
    <w:rsid w:val="0073135B"/>
    <w:rsid w:val="007313F1"/>
    <w:rsid w:val="007314DB"/>
    <w:rsid w:val="00731783"/>
    <w:rsid w:val="00731E37"/>
    <w:rsid w:val="00732D51"/>
    <w:rsid w:val="007338F4"/>
    <w:rsid w:val="00733A7A"/>
    <w:rsid w:val="00734CCD"/>
    <w:rsid w:val="00734DBD"/>
    <w:rsid w:val="007362AE"/>
    <w:rsid w:val="00736C17"/>
    <w:rsid w:val="00737F92"/>
    <w:rsid w:val="0074029C"/>
    <w:rsid w:val="007408F0"/>
    <w:rsid w:val="007409C3"/>
    <w:rsid w:val="007416A4"/>
    <w:rsid w:val="007417BA"/>
    <w:rsid w:val="00741AE0"/>
    <w:rsid w:val="0074243C"/>
    <w:rsid w:val="00742BD6"/>
    <w:rsid w:val="0074372D"/>
    <w:rsid w:val="00744469"/>
    <w:rsid w:val="00745405"/>
    <w:rsid w:val="00745976"/>
    <w:rsid w:val="00745BE2"/>
    <w:rsid w:val="00745F43"/>
    <w:rsid w:val="00746906"/>
    <w:rsid w:val="00746BB1"/>
    <w:rsid w:val="00746D8F"/>
    <w:rsid w:val="00747696"/>
    <w:rsid w:val="0075103B"/>
    <w:rsid w:val="00751326"/>
    <w:rsid w:val="00751D34"/>
    <w:rsid w:val="00752BAC"/>
    <w:rsid w:val="00752C2B"/>
    <w:rsid w:val="00752DA5"/>
    <w:rsid w:val="0075360E"/>
    <w:rsid w:val="007536EA"/>
    <w:rsid w:val="00753C0B"/>
    <w:rsid w:val="00753D58"/>
    <w:rsid w:val="007548A0"/>
    <w:rsid w:val="007557C7"/>
    <w:rsid w:val="00756701"/>
    <w:rsid w:val="0075690A"/>
    <w:rsid w:val="007571F9"/>
    <w:rsid w:val="007575D4"/>
    <w:rsid w:val="00760233"/>
    <w:rsid w:val="00761299"/>
    <w:rsid w:val="0076204F"/>
    <w:rsid w:val="00762547"/>
    <w:rsid w:val="00762583"/>
    <w:rsid w:val="00762604"/>
    <w:rsid w:val="00762F16"/>
    <w:rsid w:val="00763710"/>
    <w:rsid w:val="007642D5"/>
    <w:rsid w:val="007644D1"/>
    <w:rsid w:val="007645D7"/>
    <w:rsid w:val="00765576"/>
    <w:rsid w:val="007662DD"/>
    <w:rsid w:val="00767348"/>
    <w:rsid w:val="00767A49"/>
    <w:rsid w:val="00770694"/>
    <w:rsid w:val="007714BE"/>
    <w:rsid w:val="0077197F"/>
    <w:rsid w:val="007719F8"/>
    <w:rsid w:val="00771CAE"/>
    <w:rsid w:val="00771DFC"/>
    <w:rsid w:val="007724EE"/>
    <w:rsid w:val="00772FCA"/>
    <w:rsid w:val="00773663"/>
    <w:rsid w:val="007742A2"/>
    <w:rsid w:val="0077471A"/>
    <w:rsid w:val="0077517F"/>
    <w:rsid w:val="00775466"/>
    <w:rsid w:val="007754EF"/>
    <w:rsid w:val="007754FC"/>
    <w:rsid w:val="00775686"/>
    <w:rsid w:val="00776633"/>
    <w:rsid w:val="007773C5"/>
    <w:rsid w:val="00777B1E"/>
    <w:rsid w:val="0078014D"/>
    <w:rsid w:val="00780505"/>
    <w:rsid w:val="00780686"/>
    <w:rsid w:val="007806E8"/>
    <w:rsid w:val="00780F6C"/>
    <w:rsid w:val="00781977"/>
    <w:rsid w:val="0078230C"/>
    <w:rsid w:val="0078626B"/>
    <w:rsid w:val="007863BA"/>
    <w:rsid w:val="00786D3A"/>
    <w:rsid w:val="00787F1E"/>
    <w:rsid w:val="00790A25"/>
    <w:rsid w:val="007910BD"/>
    <w:rsid w:val="007912B9"/>
    <w:rsid w:val="0079165A"/>
    <w:rsid w:val="00791779"/>
    <w:rsid w:val="0079248B"/>
    <w:rsid w:val="0079263B"/>
    <w:rsid w:val="00794A33"/>
    <w:rsid w:val="00794ADB"/>
    <w:rsid w:val="00794DC2"/>
    <w:rsid w:val="0079598A"/>
    <w:rsid w:val="00797932"/>
    <w:rsid w:val="007A05E6"/>
    <w:rsid w:val="007A0857"/>
    <w:rsid w:val="007A0C46"/>
    <w:rsid w:val="007A0FA8"/>
    <w:rsid w:val="007A1777"/>
    <w:rsid w:val="007A3BCF"/>
    <w:rsid w:val="007A3CC0"/>
    <w:rsid w:val="007A3FB6"/>
    <w:rsid w:val="007A4817"/>
    <w:rsid w:val="007A5186"/>
    <w:rsid w:val="007A5D0F"/>
    <w:rsid w:val="007A5DE3"/>
    <w:rsid w:val="007A782D"/>
    <w:rsid w:val="007B0106"/>
    <w:rsid w:val="007B0B75"/>
    <w:rsid w:val="007B0D7D"/>
    <w:rsid w:val="007B11F6"/>
    <w:rsid w:val="007B1447"/>
    <w:rsid w:val="007B23A6"/>
    <w:rsid w:val="007B327B"/>
    <w:rsid w:val="007B374A"/>
    <w:rsid w:val="007B37FC"/>
    <w:rsid w:val="007B3843"/>
    <w:rsid w:val="007B3AFC"/>
    <w:rsid w:val="007B4ECA"/>
    <w:rsid w:val="007B500D"/>
    <w:rsid w:val="007B57AC"/>
    <w:rsid w:val="007B5B18"/>
    <w:rsid w:val="007B5F80"/>
    <w:rsid w:val="007B636E"/>
    <w:rsid w:val="007B6813"/>
    <w:rsid w:val="007B6DC6"/>
    <w:rsid w:val="007B7CCE"/>
    <w:rsid w:val="007C0673"/>
    <w:rsid w:val="007C10CD"/>
    <w:rsid w:val="007C11C1"/>
    <w:rsid w:val="007C14CB"/>
    <w:rsid w:val="007C18D7"/>
    <w:rsid w:val="007C490E"/>
    <w:rsid w:val="007C4C45"/>
    <w:rsid w:val="007C6E8F"/>
    <w:rsid w:val="007C72C3"/>
    <w:rsid w:val="007C73B2"/>
    <w:rsid w:val="007D03D0"/>
    <w:rsid w:val="007D1825"/>
    <w:rsid w:val="007D1BF8"/>
    <w:rsid w:val="007D2375"/>
    <w:rsid w:val="007D23C4"/>
    <w:rsid w:val="007D3049"/>
    <w:rsid w:val="007D3297"/>
    <w:rsid w:val="007D347B"/>
    <w:rsid w:val="007D37BA"/>
    <w:rsid w:val="007D37C6"/>
    <w:rsid w:val="007D37EA"/>
    <w:rsid w:val="007D3C87"/>
    <w:rsid w:val="007D3CBF"/>
    <w:rsid w:val="007D411D"/>
    <w:rsid w:val="007D4582"/>
    <w:rsid w:val="007D4865"/>
    <w:rsid w:val="007D4911"/>
    <w:rsid w:val="007D4F04"/>
    <w:rsid w:val="007D616C"/>
    <w:rsid w:val="007D6AEC"/>
    <w:rsid w:val="007D6B12"/>
    <w:rsid w:val="007E0680"/>
    <w:rsid w:val="007E10E7"/>
    <w:rsid w:val="007E13F3"/>
    <w:rsid w:val="007E1D53"/>
    <w:rsid w:val="007E2D6B"/>
    <w:rsid w:val="007E49BC"/>
    <w:rsid w:val="007E4D43"/>
    <w:rsid w:val="007E534A"/>
    <w:rsid w:val="007E5B94"/>
    <w:rsid w:val="007E61E5"/>
    <w:rsid w:val="007E63ED"/>
    <w:rsid w:val="007E783E"/>
    <w:rsid w:val="007F0166"/>
    <w:rsid w:val="007F0819"/>
    <w:rsid w:val="007F0F63"/>
    <w:rsid w:val="007F12AE"/>
    <w:rsid w:val="007F17FF"/>
    <w:rsid w:val="007F199C"/>
    <w:rsid w:val="007F19E1"/>
    <w:rsid w:val="007F21FB"/>
    <w:rsid w:val="007F3439"/>
    <w:rsid w:val="007F346F"/>
    <w:rsid w:val="007F35CD"/>
    <w:rsid w:val="007F411C"/>
    <w:rsid w:val="007F46C5"/>
    <w:rsid w:val="007F53E8"/>
    <w:rsid w:val="007F5707"/>
    <w:rsid w:val="007F5DF3"/>
    <w:rsid w:val="007F6206"/>
    <w:rsid w:val="007F697F"/>
    <w:rsid w:val="007F75AB"/>
    <w:rsid w:val="007F792A"/>
    <w:rsid w:val="007F7B04"/>
    <w:rsid w:val="007F7B45"/>
    <w:rsid w:val="008001EE"/>
    <w:rsid w:val="00800E8E"/>
    <w:rsid w:val="008013FF"/>
    <w:rsid w:val="00801971"/>
    <w:rsid w:val="00801D49"/>
    <w:rsid w:val="0080209A"/>
    <w:rsid w:val="00802382"/>
    <w:rsid w:val="00802E4F"/>
    <w:rsid w:val="008034F7"/>
    <w:rsid w:val="00803EFC"/>
    <w:rsid w:val="008044BF"/>
    <w:rsid w:val="00805F2D"/>
    <w:rsid w:val="00806119"/>
    <w:rsid w:val="0080792B"/>
    <w:rsid w:val="008100A2"/>
    <w:rsid w:val="00810178"/>
    <w:rsid w:val="00810506"/>
    <w:rsid w:val="008109F1"/>
    <w:rsid w:val="00811108"/>
    <w:rsid w:val="008121C3"/>
    <w:rsid w:val="008128CA"/>
    <w:rsid w:val="00812BC8"/>
    <w:rsid w:val="00812E32"/>
    <w:rsid w:val="00813155"/>
    <w:rsid w:val="00813B67"/>
    <w:rsid w:val="00815E8F"/>
    <w:rsid w:val="0081616A"/>
    <w:rsid w:val="008166D8"/>
    <w:rsid w:val="00817651"/>
    <w:rsid w:val="00817D2C"/>
    <w:rsid w:val="008200A9"/>
    <w:rsid w:val="008202C1"/>
    <w:rsid w:val="008203CE"/>
    <w:rsid w:val="0082069A"/>
    <w:rsid w:val="00820C2F"/>
    <w:rsid w:val="0082208E"/>
    <w:rsid w:val="008227CB"/>
    <w:rsid w:val="00822882"/>
    <w:rsid w:val="00822C1D"/>
    <w:rsid w:val="00822F7D"/>
    <w:rsid w:val="0082398A"/>
    <w:rsid w:val="0082458D"/>
    <w:rsid w:val="0082500B"/>
    <w:rsid w:val="00825F67"/>
    <w:rsid w:val="00826F90"/>
    <w:rsid w:val="00830206"/>
    <w:rsid w:val="008309C8"/>
    <w:rsid w:val="00831648"/>
    <w:rsid w:val="00834676"/>
    <w:rsid w:val="00834F1A"/>
    <w:rsid w:val="00835E81"/>
    <w:rsid w:val="00836DBF"/>
    <w:rsid w:val="00837500"/>
    <w:rsid w:val="00837567"/>
    <w:rsid w:val="00837D9A"/>
    <w:rsid w:val="0084004A"/>
    <w:rsid w:val="00840270"/>
    <w:rsid w:val="0084090D"/>
    <w:rsid w:val="00840BEA"/>
    <w:rsid w:val="00840C48"/>
    <w:rsid w:val="00840EEE"/>
    <w:rsid w:val="00841D08"/>
    <w:rsid w:val="00841D4F"/>
    <w:rsid w:val="008422CA"/>
    <w:rsid w:val="0084239E"/>
    <w:rsid w:val="00842832"/>
    <w:rsid w:val="00842BD0"/>
    <w:rsid w:val="00842D03"/>
    <w:rsid w:val="00842E17"/>
    <w:rsid w:val="0084381C"/>
    <w:rsid w:val="00844778"/>
    <w:rsid w:val="008456FD"/>
    <w:rsid w:val="00845F9E"/>
    <w:rsid w:val="00846C1D"/>
    <w:rsid w:val="0084781F"/>
    <w:rsid w:val="00847CAE"/>
    <w:rsid w:val="00847CD9"/>
    <w:rsid w:val="00850307"/>
    <w:rsid w:val="008503A9"/>
    <w:rsid w:val="00850D00"/>
    <w:rsid w:val="00852184"/>
    <w:rsid w:val="00852517"/>
    <w:rsid w:val="0085276B"/>
    <w:rsid w:val="00852CF7"/>
    <w:rsid w:val="00852DA3"/>
    <w:rsid w:val="00852F22"/>
    <w:rsid w:val="008530CD"/>
    <w:rsid w:val="008534EC"/>
    <w:rsid w:val="008536B3"/>
    <w:rsid w:val="00853CBA"/>
    <w:rsid w:val="0085511F"/>
    <w:rsid w:val="008551C0"/>
    <w:rsid w:val="00855AFD"/>
    <w:rsid w:val="00856320"/>
    <w:rsid w:val="008564B2"/>
    <w:rsid w:val="0085651E"/>
    <w:rsid w:val="008575B7"/>
    <w:rsid w:val="00857F9D"/>
    <w:rsid w:val="00860163"/>
    <w:rsid w:val="00860F38"/>
    <w:rsid w:val="0086100C"/>
    <w:rsid w:val="00861A61"/>
    <w:rsid w:val="00862B44"/>
    <w:rsid w:val="00862E56"/>
    <w:rsid w:val="00863039"/>
    <w:rsid w:val="0086383C"/>
    <w:rsid w:val="00863F0E"/>
    <w:rsid w:val="00864D01"/>
    <w:rsid w:val="00864EB6"/>
    <w:rsid w:val="0086526B"/>
    <w:rsid w:val="00865382"/>
    <w:rsid w:val="00867DC9"/>
    <w:rsid w:val="008703EE"/>
    <w:rsid w:val="00870E91"/>
    <w:rsid w:val="00871089"/>
    <w:rsid w:val="00871145"/>
    <w:rsid w:val="00871539"/>
    <w:rsid w:val="0087216D"/>
    <w:rsid w:val="00873E38"/>
    <w:rsid w:val="00875363"/>
    <w:rsid w:val="008758C4"/>
    <w:rsid w:val="00876071"/>
    <w:rsid w:val="00876D11"/>
    <w:rsid w:val="0087752D"/>
    <w:rsid w:val="00877683"/>
    <w:rsid w:val="00877B35"/>
    <w:rsid w:val="00877F67"/>
    <w:rsid w:val="0088068E"/>
    <w:rsid w:val="00880B44"/>
    <w:rsid w:val="00880C19"/>
    <w:rsid w:val="008810B8"/>
    <w:rsid w:val="00881E89"/>
    <w:rsid w:val="008824B2"/>
    <w:rsid w:val="00882D54"/>
    <w:rsid w:val="00883872"/>
    <w:rsid w:val="00885F3A"/>
    <w:rsid w:val="008866F6"/>
    <w:rsid w:val="00886929"/>
    <w:rsid w:val="00891B66"/>
    <w:rsid w:val="008920E8"/>
    <w:rsid w:val="008921E4"/>
    <w:rsid w:val="008926B1"/>
    <w:rsid w:val="00892B37"/>
    <w:rsid w:val="00892C50"/>
    <w:rsid w:val="0089301E"/>
    <w:rsid w:val="00894521"/>
    <w:rsid w:val="0089456E"/>
    <w:rsid w:val="00894AAE"/>
    <w:rsid w:val="00894AF7"/>
    <w:rsid w:val="00894D44"/>
    <w:rsid w:val="008966C3"/>
    <w:rsid w:val="008969B4"/>
    <w:rsid w:val="00896EFF"/>
    <w:rsid w:val="00897A5A"/>
    <w:rsid w:val="00897BF6"/>
    <w:rsid w:val="00897EEA"/>
    <w:rsid w:val="008A005B"/>
    <w:rsid w:val="008A097F"/>
    <w:rsid w:val="008A12CF"/>
    <w:rsid w:val="008A178C"/>
    <w:rsid w:val="008A1AC8"/>
    <w:rsid w:val="008A1F9E"/>
    <w:rsid w:val="008A2381"/>
    <w:rsid w:val="008A34ED"/>
    <w:rsid w:val="008A3508"/>
    <w:rsid w:val="008A379C"/>
    <w:rsid w:val="008A4CFF"/>
    <w:rsid w:val="008A4F52"/>
    <w:rsid w:val="008A779B"/>
    <w:rsid w:val="008A796F"/>
    <w:rsid w:val="008A7CF1"/>
    <w:rsid w:val="008B04FD"/>
    <w:rsid w:val="008B06E9"/>
    <w:rsid w:val="008B09FE"/>
    <w:rsid w:val="008B1F59"/>
    <w:rsid w:val="008B202C"/>
    <w:rsid w:val="008B26C9"/>
    <w:rsid w:val="008B3A9D"/>
    <w:rsid w:val="008B540A"/>
    <w:rsid w:val="008B60A0"/>
    <w:rsid w:val="008B6B11"/>
    <w:rsid w:val="008B7077"/>
    <w:rsid w:val="008B7F48"/>
    <w:rsid w:val="008C0944"/>
    <w:rsid w:val="008C13AF"/>
    <w:rsid w:val="008C18E3"/>
    <w:rsid w:val="008C1F98"/>
    <w:rsid w:val="008C1FA2"/>
    <w:rsid w:val="008C21B4"/>
    <w:rsid w:val="008C22EC"/>
    <w:rsid w:val="008C29B8"/>
    <w:rsid w:val="008C2B1A"/>
    <w:rsid w:val="008C3BEB"/>
    <w:rsid w:val="008C3D35"/>
    <w:rsid w:val="008C444B"/>
    <w:rsid w:val="008C483B"/>
    <w:rsid w:val="008C6CA7"/>
    <w:rsid w:val="008C7287"/>
    <w:rsid w:val="008C7B95"/>
    <w:rsid w:val="008C7D6F"/>
    <w:rsid w:val="008D07E9"/>
    <w:rsid w:val="008D0AA9"/>
    <w:rsid w:val="008D115F"/>
    <w:rsid w:val="008D2470"/>
    <w:rsid w:val="008D30EF"/>
    <w:rsid w:val="008D4437"/>
    <w:rsid w:val="008D478B"/>
    <w:rsid w:val="008D4BE6"/>
    <w:rsid w:val="008D5ADD"/>
    <w:rsid w:val="008D5D38"/>
    <w:rsid w:val="008D5E15"/>
    <w:rsid w:val="008D69F4"/>
    <w:rsid w:val="008D6B16"/>
    <w:rsid w:val="008D6E0E"/>
    <w:rsid w:val="008D7AC7"/>
    <w:rsid w:val="008E0066"/>
    <w:rsid w:val="008E01E9"/>
    <w:rsid w:val="008E0695"/>
    <w:rsid w:val="008E07E0"/>
    <w:rsid w:val="008E1084"/>
    <w:rsid w:val="008E1D77"/>
    <w:rsid w:val="008E2972"/>
    <w:rsid w:val="008E3732"/>
    <w:rsid w:val="008E3C28"/>
    <w:rsid w:val="008E3DCD"/>
    <w:rsid w:val="008E413B"/>
    <w:rsid w:val="008E4A61"/>
    <w:rsid w:val="008E4BAB"/>
    <w:rsid w:val="008E5D34"/>
    <w:rsid w:val="008E6077"/>
    <w:rsid w:val="008E7175"/>
    <w:rsid w:val="008E76FE"/>
    <w:rsid w:val="008E7CDD"/>
    <w:rsid w:val="008F0A37"/>
    <w:rsid w:val="008F10F4"/>
    <w:rsid w:val="008F190F"/>
    <w:rsid w:val="008F2324"/>
    <w:rsid w:val="008F251E"/>
    <w:rsid w:val="008F2901"/>
    <w:rsid w:val="008F2FAF"/>
    <w:rsid w:val="008F304E"/>
    <w:rsid w:val="008F4556"/>
    <w:rsid w:val="008F4829"/>
    <w:rsid w:val="008F4BA6"/>
    <w:rsid w:val="008F4BD2"/>
    <w:rsid w:val="008F4E17"/>
    <w:rsid w:val="008F62D4"/>
    <w:rsid w:val="008F73D7"/>
    <w:rsid w:val="00900C1C"/>
    <w:rsid w:val="00900D54"/>
    <w:rsid w:val="0090326A"/>
    <w:rsid w:val="00904053"/>
    <w:rsid w:val="00904B33"/>
    <w:rsid w:val="00904B46"/>
    <w:rsid w:val="009054B9"/>
    <w:rsid w:val="00905992"/>
    <w:rsid w:val="00905BF4"/>
    <w:rsid w:val="00906573"/>
    <w:rsid w:val="009072F1"/>
    <w:rsid w:val="00907888"/>
    <w:rsid w:val="00907B4B"/>
    <w:rsid w:val="00907D28"/>
    <w:rsid w:val="009113BB"/>
    <w:rsid w:val="009129C6"/>
    <w:rsid w:val="009156D0"/>
    <w:rsid w:val="00916115"/>
    <w:rsid w:val="009163AD"/>
    <w:rsid w:val="009169A3"/>
    <w:rsid w:val="00916C8E"/>
    <w:rsid w:val="00916EE7"/>
    <w:rsid w:val="00917413"/>
    <w:rsid w:val="00920514"/>
    <w:rsid w:val="00920B5A"/>
    <w:rsid w:val="00921886"/>
    <w:rsid w:val="00921E2E"/>
    <w:rsid w:val="0092202F"/>
    <w:rsid w:val="009224FE"/>
    <w:rsid w:val="00922686"/>
    <w:rsid w:val="0092271B"/>
    <w:rsid w:val="00922CF3"/>
    <w:rsid w:val="00922FC5"/>
    <w:rsid w:val="0092319F"/>
    <w:rsid w:val="009239DB"/>
    <w:rsid w:val="009242CA"/>
    <w:rsid w:val="0092448F"/>
    <w:rsid w:val="00924A7B"/>
    <w:rsid w:val="0092538D"/>
    <w:rsid w:val="0092586C"/>
    <w:rsid w:val="00925D60"/>
    <w:rsid w:val="0092608B"/>
    <w:rsid w:val="00927563"/>
    <w:rsid w:val="00927DFE"/>
    <w:rsid w:val="00931D4A"/>
    <w:rsid w:val="00931E35"/>
    <w:rsid w:val="0093207B"/>
    <w:rsid w:val="00932561"/>
    <w:rsid w:val="00933538"/>
    <w:rsid w:val="00933EC3"/>
    <w:rsid w:val="00934790"/>
    <w:rsid w:val="009372AD"/>
    <w:rsid w:val="00937425"/>
    <w:rsid w:val="00937A13"/>
    <w:rsid w:val="009400E3"/>
    <w:rsid w:val="00940CF8"/>
    <w:rsid w:val="009410C2"/>
    <w:rsid w:val="009418D1"/>
    <w:rsid w:val="00942749"/>
    <w:rsid w:val="009427BE"/>
    <w:rsid w:val="009432A8"/>
    <w:rsid w:val="00943C7F"/>
    <w:rsid w:val="00943FA6"/>
    <w:rsid w:val="0094460C"/>
    <w:rsid w:val="009471D3"/>
    <w:rsid w:val="0094795D"/>
    <w:rsid w:val="00947D5E"/>
    <w:rsid w:val="00950405"/>
    <w:rsid w:val="00950491"/>
    <w:rsid w:val="00950592"/>
    <w:rsid w:val="00950714"/>
    <w:rsid w:val="0095191C"/>
    <w:rsid w:val="00951BDC"/>
    <w:rsid w:val="00952053"/>
    <w:rsid w:val="00953867"/>
    <w:rsid w:val="0095389E"/>
    <w:rsid w:val="00953E29"/>
    <w:rsid w:val="0095659B"/>
    <w:rsid w:val="00956665"/>
    <w:rsid w:val="00957A97"/>
    <w:rsid w:val="00962440"/>
    <w:rsid w:val="00963115"/>
    <w:rsid w:val="00963192"/>
    <w:rsid w:val="009642EE"/>
    <w:rsid w:val="009657DE"/>
    <w:rsid w:val="0096583E"/>
    <w:rsid w:val="00965861"/>
    <w:rsid w:val="0096653F"/>
    <w:rsid w:val="00967188"/>
    <w:rsid w:val="00967922"/>
    <w:rsid w:val="00967D76"/>
    <w:rsid w:val="00970E27"/>
    <w:rsid w:val="00971376"/>
    <w:rsid w:val="00971DBA"/>
    <w:rsid w:val="009725B5"/>
    <w:rsid w:val="0097263D"/>
    <w:rsid w:val="0097321B"/>
    <w:rsid w:val="00973284"/>
    <w:rsid w:val="00973398"/>
    <w:rsid w:val="0097369D"/>
    <w:rsid w:val="00974473"/>
    <w:rsid w:val="0097556F"/>
    <w:rsid w:val="00975E8E"/>
    <w:rsid w:val="009764A5"/>
    <w:rsid w:val="00977417"/>
    <w:rsid w:val="0098133B"/>
    <w:rsid w:val="00981638"/>
    <w:rsid w:val="00981E36"/>
    <w:rsid w:val="009845A9"/>
    <w:rsid w:val="009848BF"/>
    <w:rsid w:val="00984F0F"/>
    <w:rsid w:val="00984F40"/>
    <w:rsid w:val="00985122"/>
    <w:rsid w:val="00985C20"/>
    <w:rsid w:val="00985EDB"/>
    <w:rsid w:val="00986164"/>
    <w:rsid w:val="0098640A"/>
    <w:rsid w:val="009866C9"/>
    <w:rsid w:val="00986E59"/>
    <w:rsid w:val="00986E9F"/>
    <w:rsid w:val="009871EB"/>
    <w:rsid w:val="0098791B"/>
    <w:rsid w:val="00991237"/>
    <w:rsid w:val="00991716"/>
    <w:rsid w:val="0099229E"/>
    <w:rsid w:val="009922F2"/>
    <w:rsid w:val="009924C2"/>
    <w:rsid w:val="00992AA9"/>
    <w:rsid w:val="00992BDA"/>
    <w:rsid w:val="009931D1"/>
    <w:rsid w:val="00993338"/>
    <w:rsid w:val="00993E4A"/>
    <w:rsid w:val="00993EE8"/>
    <w:rsid w:val="00994480"/>
    <w:rsid w:val="009949C6"/>
    <w:rsid w:val="00996AE9"/>
    <w:rsid w:val="00997788"/>
    <w:rsid w:val="00997990"/>
    <w:rsid w:val="009A04F6"/>
    <w:rsid w:val="009A0A52"/>
    <w:rsid w:val="009A1B69"/>
    <w:rsid w:val="009A1C9A"/>
    <w:rsid w:val="009A1EC4"/>
    <w:rsid w:val="009A2430"/>
    <w:rsid w:val="009A2692"/>
    <w:rsid w:val="009A2A2E"/>
    <w:rsid w:val="009A31BC"/>
    <w:rsid w:val="009A3475"/>
    <w:rsid w:val="009A39F8"/>
    <w:rsid w:val="009A4234"/>
    <w:rsid w:val="009A46BD"/>
    <w:rsid w:val="009A4B91"/>
    <w:rsid w:val="009A5980"/>
    <w:rsid w:val="009A5C56"/>
    <w:rsid w:val="009A64D1"/>
    <w:rsid w:val="009A6CC7"/>
    <w:rsid w:val="009A7711"/>
    <w:rsid w:val="009B01AE"/>
    <w:rsid w:val="009B167B"/>
    <w:rsid w:val="009B2739"/>
    <w:rsid w:val="009B2D82"/>
    <w:rsid w:val="009B3EDD"/>
    <w:rsid w:val="009B4C05"/>
    <w:rsid w:val="009B55CB"/>
    <w:rsid w:val="009B5E0E"/>
    <w:rsid w:val="009B6358"/>
    <w:rsid w:val="009B63BC"/>
    <w:rsid w:val="009B6E78"/>
    <w:rsid w:val="009C0F7D"/>
    <w:rsid w:val="009C152B"/>
    <w:rsid w:val="009C27AE"/>
    <w:rsid w:val="009C2A0A"/>
    <w:rsid w:val="009C2BE4"/>
    <w:rsid w:val="009C4C49"/>
    <w:rsid w:val="009C6298"/>
    <w:rsid w:val="009C6A50"/>
    <w:rsid w:val="009C76D6"/>
    <w:rsid w:val="009C7AE5"/>
    <w:rsid w:val="009D03A7"/>
    <w:rsid w:val="009D03D2"/>
    <w:rsid w:val="009D05FE"/>
    <w:rsid w:val="009D0B05"/>
    <w:rsid w:val="009D0BB4"/>
    <w:rsid w:val="009D1004"/>
    <w:rsid w:val="009D163E"/>
    <w:rsid w:val="009D22FB"/>
    <w:rsid w:val="009D277E"/>
    <w:rsid w:val="009D282A"/>
    <w:rsid w:val="009D2FED"/>
    <w:rsid w:val="009D475F"/>
    <w:rsid w:val="009D4D68"/>
    <w:rsid w:val="009D4E60"/>
    <w:rsid w:val="009D514C"/>
    <w:rsid w:val="009D53FF"/>
    <w:rsid w:val="009D5E99"/>
    <w:rsid w:val="009D632F"/>
    <w:rsid w:val="009D690C"/>
    <w:rsid w:val="009D6F46"/>
    <w:rsid w:val="009D7A46"/>
    <w:rsid w:val="009E1F16"/>
    <w:rsid w:val="009E2105"/>
    <w:rsid w:val="009E25BD"/>
    <w:rsid w:val="009E2626"/>
    <w:rsid w:val="009E2D45"/>
    <w:rsid w:val="009E2F33"/>
    <w:rsid w:val="009E3C8F"/>
    <w:rsid w:val="009E3F14"/>
    <w:rsid w:val="009E4003"/>
    <w:rsid w:val="009E4BE2"/>
    <w:rsid w:val="009E59AE"/>
    <w:rsid w:val="009E5E9D"/>
    <w:rsid w:val="009E6C93"/>
    <w:rsid w:val="009E7075"/>
    <w:rsid w:val="009F0248"/>
    <w:rsid w:val="009F1280"/>
    <w:rsid w:val="009F1DD3"/>
    <w:rsid w:val="009F2BD1"/>
    <w:rsid w:val="009F402A"/>
    <w:rsid w:val="009F44B0"/>
    <w:rsid w:val="009F4728"/>
    <w:rsid w:val="009F5271"/>
    <w:rsid w:val="009F6D5D"/>
    <w:rsid w:val="009F718C"/>
    <w:rsid w:val="009F7F2B"/>
    <w:rsid w:val="00A001C7"/>
    <w:rsid w:val="00A007D4"/>
    <w:rsid w:val="00A00D5A"/>
    <w:rsid w:val="00A00FD7"/>
    <w:rsid w:val="00A02146"/>
    <w:rsid w:val="00A04A83"/>
    <w:rsid w:val="00A052EE"/>
    <w:rsid w:val="00A05A3A"/>
    <w:rsid w:val="00A06263"/>
    <w:rsid w:val="00A073DA"/>
    <w:rsid w:val="00A0748B"/>
    <w:rsid w:val="00A078A8"/>
    <w:rsid w:val="00A10993"/>
    <w:rsid w:val="00A11B61"/>
    <w:rsid w:val="00A126EF"/>
    <w:rsid w:val="00A128CE"/>
    <w:rsid w:val="00A12A11"/>
    <w:rsid w:val="00A13215"/>
    <w:rsid w:val="00A13B78"/>
    <w:rsid w:val="00A14D0B"/>
    <w:rsid w:val="00A155DF"/>
    <w:rsid w:val="00A163BC"/>
    <w:rsid w:val="00A1762C"/>
    <w:rsid w:val="00A17834"/>
    <w:rsid w:val="00A201B6"/>
    <w:rsid w:val="00A22093"/>
    <w:rsid w:val="00A22761"/>
    <w:rsid w:val="00A22BEA"/>
    <w:rsid w:val="00A23EA3"/>
    <w:rsid w:val="00A2496B"/>
    <w:rsid w:val="00A2516B"/>
    <w:rsid w:val="00A25309"/>
    <w:rsid w:val="00A263A3"/>
    <w:rsid w:val="00A2792C"/>
    <w:rsid w:val="00A30C11"/>
    <w:rsid w:val="00A315EC"/>
    <w:rsid w:val="00A32185"/>
    <w:rsid w:val="00A32328"/>
    <w:rsid w:val="00A326ED"/>
    <w:rsid w:val="00A32BF9"/>
    <w:rsid w:val="00A32E4B"/>
    <w:rsid w:val="00A3371F"/>
    <w:rsid w:val="00A33C39"/>
    <w:rsid w:val="00A33F8A"/>
    <w:rsid w:val="00A3465D"/>
    <w:rsid w:val="00A34B49"/>
    <w:rsid w:val="00A35A21"/>
    <w:rsid w:val="00A36222"/>
    <w:rsid w:val="00A36945"/>
    <w:rsid w:val="00A36B66"/>
    <w:rsid w:val="00A36FCD"/>
    <w:rsid w:val="00A37416"/>
    <w:rsid w:val="00A37A6A"/>
    <w:rsid w:val="00A409CF"/>
    <w:rsid w:val="00A40C54"/>
    <w:rsid w:val="00A40FEA"/>
    <w:rsid w:val="00A41863"/>
    <w:rsid w:val="00A4201E"/>
    <w:rsid w:val="00A42578"/>
    <w:rsid w:val="00A43159"/>
    <w:rsid w:val="00A431C9"/>
    <w:rsid w:val="00A43CA2"/>
    <w:rsid w:val="00A441B1"/>
    <w:rsid w:val="00A44225"/>
    <w:rsid w:val="00A4496C"/>
    <w:rsid w:val="00A449E1"/>
    <w:rsid w:val="00A45336"/>
    <w:rsid w:val="00A4555C"/>
    <w:rsid w:val="00A4563A"/>
    <w:rsid w:val="00A45953"/>
    <w:rsid w:val="00A45AB3"/>
    <w:rsid w:val="00A467D9"/>
    <w:rsid w:val="00A477CC"/>
    <w:rsid w:val="00A47FCE"/>
    <w:rsid w:val="00A509C0"/>
    <w:rsid w:val="00A52210"/>
    <w:rsid w:val="00A52469"/>
    <w:rsid w:val="00A52880"/>
    <w:rsid w:val="00A543F0"/>
    <w:rsid w:val="00A544A1"/>
    <w:rsid w:val="00A54941"/>
    <w:rsid w:val="00A558A1"/>
    <w:rsid w:val="00A55F50"/>
    <w:rsid w:val="00A56666"/>
    <w:rsid w:val="00A5668D"/>
    <w:rsid w:val="00A56732"/>
    <w:rsid w:val="00A56E98"/>
    <w:rsid w:val="00A5750B"/>
    <w:rsid w:val="00A578AB"/>
    <w:rsid w:val="00A579CE"/>
    <w:rsid w:val="00A6082B"/>
    <w:rsid w:val="00A61293"/>
    <w:rsid w:val="00A61339"/>
    <w:rsid w:val="00A64446"/>
    <w:rsid w:val="00A65796"/>
    <w:rsid w:val="00A66010"/>
    <w:rsid w:val="00A66096"/>
    <w:rsid w:val="00A660FE"/>
    <w:rsid w:val="00A6618C"/>
    <w:rsid w:val="00A66734"/>
    <w:rsid w:val="00A66DDF"/>
    <w:rsid w:val="00A66E01"/>
    <w:rsid w:val="00A66E79"/>
    <w:rsid w:val="00A66EDC"/>
    <w:rsid w:val="00A71452"/>
    <w:rsid w:val="00A723C4"/>
    <w:rsid w:val="00A7331A"/>
    <w:rsid w:val="00A73F2B"/>
    <w:rsid w:val="00A74DB4"/>
    <w:rsid w:val="00A75333"/>
    <w:rsid w:val="00A75A23"/>
    <w:rsid w:val="00A76704"/>
    <w:rsid w:val="00A77DA0"/>
    <w:rsid w:val="00A77FAA"/>
    <w:rsid w:val="00A80A81"/>
    <w:rsid w:val="00A80AC7"/>
    <w:rsid w:val="00A80CF6"/>
    <w:rsid w:val="00A80F87"/>
    <w:rsid w:val="00A8120A"/>
    <w:rsid w:val="00A81B5B"/>
    <w:rsid w:val="00A820F0"/>
    <w:rsid w:val="00A82CD5"/>
    <w:rsid w:val="00A8357A"/>
    <w:rsid w:val="00A83A07"/>
    <w:rsid w:val="00A841E0"/>
    <w:rsid w:val="00A84638"/>
    <w:rsid w:val="00A85694"/>
    <w:rsid w:val="00A85B05"/>
    <w:rsid w:val="00A85F97"/>
    <w:rsid w:val="00A8635A"/>
    <w:rsid w:val="00A87454"/>
    <w:rsid w:val="00A87CAA"/>
    <w:rsid w:val="00A87D0A"/>
    <w:rsid w:val="00A90A0E"/>
    <w:rsid w:val="00A90F70"/>
    <w:rsid w:val="00A910F4"/>
    <w:rsid w:val="00A915F8"/>
    <w:rsid w:val="00A92122"/>
    <w:rsid w:val="00A92C58"/>
    <w:rsid w:val="00A92F1D"/>
    <w:rsid w:val="00A94592"/>
    <w:rsid w:val="00A94B2A"/>
    <w:rsid w:val="00A94F6D"/>
    <w:rsid w:val="00A951BC"/>
    <w:rsid w:val="00A95D4D"/>
    <w:rsid w:val="00A9604A"/>
    <w:rsid w:val="00A961D0"/>
    <w:rsid w:val="00A96B4B"/>
    <w:rsid w:val="00A970DF"/>
    <w:rsid w:val="00A97C90"/>
    <w:rsid w:val="00AA0561"/>
    <w:rsid w:val="00AA0C49"/>
    <w:rsid w:val="00AA0D26"/>
    <w:rsid w:val="00AA0FFE"/>
    <w:rsid w:val="00AA2A53"/>
    <w:rsid w:val="00AA303F"/>
    <w:rsid w:val="00AA3AC4"/>
    <w:rsid w:val="00AA3C2E"/>
    <w:rsid w:val="00AA484A"/>
    <w:rsid w:val="00AA4A75"/>
    <w:rsid w:val="00AA50D4"/>
    <w:rsid w:val="00AA526F"/>
    <w:rsid w:val="00AA5758"/>
    <w:rsid w:val="00AA60F7"/>
    <w:rsid w:val="00AA664B"/>
    <w:rsid w:val="00AA73EA"/>
    <w:rsid w:val="00AA7690"/>
    <w:rsid w:val="00AA77A9"/>
    <w:rsid w:val="00AA7F2C"/>
    <w:rsid w:val="00AB110D"/>
    <w:rsid w:val="00AB1755"/>
    <w:rsid w:val="00AB1DE9"/>
    <w:rsid w:val="00AB2242"/>
    <w:rsid w:val="00AB242F"/>
    <w:rsid w:val="00AB33D3"/>
    <w:rsid w:val="00AB41C8"/>
    <w:rsid w:val="00AB453F"/>
    <w:rsid w:val="00AB4F8C"/>
    <w:rsid w:val="00AB53CD"/>
    <w:rsid w:val="00AB5D96"/>
    <w:rsid w:val="00AB6438"/>
    <w:rsid w:val="00AB679A"/>
    <w:rsid w:val="00AB6E74"/>
    <w:rsid w:val="00AB6FCC"/>
    <w:rsid w:val="00AB73AB"/>
    <w:rsid w:val="00AC0195"/>
    <w:rsid w:val="00AC053E"/>
    <w:rsid w:val="00AC08AE"/>
    <w:rsid w:val="00AC0C0D"/>
    <w:rsid w:val="00AC143B"/>
    <w:rsid w:val="00AC1D39"/>
    <w:rsid w:val="00AC3295"/>
    <w:rsid w:val="00AC3592"/>
    <w:rsid w:val="00AC3764"/>
    <w:rsid w:val="00AC3E80"/>
    <w:rsid w:val="00AC4BE7"/>
    <w:rsid w:val="00AC6C47"/>
    <w:rsid w:val="00AC6D5D"/>
    <w:rsid w:val="00AC74DD"/>
    <w:rsid w:val="00AC75B8"/>
    <w:rsid w:val="00AC7696"/>
    <w:rsid w:val="00AC789F"/>
    <w:rsid w:val="00AD0072"/>
    <w:rsid w:val="00AD0579"/>
    <w:rsid w:val="00AD0BD5"/>
    <w:rsid w:val="00AD1213"/>
    <w:rsid w:val="00AD1F36"/>
    <w:rsid w:val="00AD2480"/>
    <w:rsid w:val="00AD289D"/>
    <w:rsid w:val="00AD2BEF"/>
    <w:rsid w:val="00AD3772"/>
    <w:rsid w:val="00AD3D12"/>
    <w:rsid w:val="00AD5373"/>
    <w:rsid w:val="00AD5E1C"/>
    <w:rsid w:val="00AD6EE5"/>
    <w:rsid w:val="00AD6F88"/>
    <w:rsid w:val="00AD73A0"/>
    <w:rsid w:val="00AE01C9"/>
    <w:rsid w:val="00AE0340"/>
    <w:rsid w:val="00AE0ACB"/>
    <w:rsid w:val="00AE0E60"/>
    <w:rsid w:val="00AE1016"/>
    <w:rsid w:val="00AE1390"/>
    <w:rsid w:val="00AE22A7"/>
    <w:rsid w:val="00AE29A4"/>
    <w:rsid w:val="00AE2CE9"/>
    <w:rsid w:val="00AE2EB2"/>
    <w:rsid w:val="00AE3AE7"/>
    <w:rsid w:val="00AE45FC"/>
    <w:rsid w:val="00AE4AF0"/>
    <w:rsid w:val="00AE576E"/>
    <w:rsid w:val="00AE6705"/>
    <w:rsid w:val="00AE7A3F"/>
    <w:rsid w:val="00AE7E24"/>
    <w:rsid w:val="00AF018B"/>
    <w:rsid w:val="00AF040D"/>
    <w:rsid w:val="00AF08BF"/>
    <w:rsid w:val="00AF0AFC"/>
    <w:rsid w:val="00AF148D"/>
    <w:rsid w:val="00AF15FB"/>
    <w:rsid w:val="00AF1C8E"/>
    <w:rsid w:val="00AF1F74"/>
    <w:rsid w:val="00AF355F"/>
    <w:rsid w:val="00AF364F"/>
    <w:rsid w:val="00AF408E"/>
    <w:rsid w:val="00AF4301"/>
    <w:rsid w:val="00AF53CE"/>
    <w:rsid w:val="00AF594F"/>
    <w:rsid w:val="00AF5F59"/>
    <w:rsid w:val="00AF685C"/>
    <w:rsid w:val="00B003AA"/>
    <w:rsid w:val="00B0069E"/>
    <w:rsid w:val="00B0071C"/>
    <w:rsid w:val="00B00960"/>
    <w:rsid w:val="00B00AF3"/>
    <w:rsid w:val="00B00EC0"/>
    <w:rsid w:val="00B011F5"/>
    <w:rsid w:val="00B01B24"/>
    <w:rsid w:val="00B02862"/>
    <w:rsid w:val="00B02BEC"/>
    <w:rsid w:val="00B032FD"/>
    <w:rsid w:val="00B03DB3"/>
    <w:rsid w:val="00B045D6"/>
    <w:rsid w:val="00B060C6"/>
    <w:rsid w:val="00B06318"/>
    <w:rsid w:val="00B063B0"/>
    <w:rsid w:val="00B06AFD"/>
    <w:rsid w:val="00B072E4"/>
    <w:rsid w:val="00B07D4C"/>
    <w:rsid w:val="00B10D56"/>
    <w:rsid w:val="00B10D8F"/>
    <w:rsid w:val="00B11003"/>
    <w:rsid w:val="00B11327"/>
    <w:rsid w:val="00B11CB4"/>
    <w:rsid w:val="00B126A0"/>
    <w:rsid w:val="00B128ED"/>
    <w:rsid w:val="00B12A73"/>
    <w:rsid w:val="00B12C45"/>
    <w:rsid w:val="00B13B76"/>
    <w:rsid w:val="00B14329"/>
    <w:rsid w:val="00B1484E"/>
    <w:rsid w:val="00B157E3"/>
    <w:rsid w:val="00B158F9"/>
    <w:rsid w:val="00B15C0C"/>
    <w:rsid w:val="00B15F20"/>
    <w:rsid w:val="00B162A1"/>
    <w:rsid w:val="00B16B3E"/>
    <w:rsid w:val="00B174E8"/>
    <w:rsid w:val="00B17A2F"/>
    <w:rsid w:val="00B2003B"/>
    <w:rsid w:val="00B20A51"/>
    <w:rsid w:val="00B20DEF"/>
    <w:rsid w:val="00B2268E"/>
    <w:rsid w:val="00B22867"/>
    <w:rsid w:val="00B2298F"/>
    <w:rsid w:val="00B22AB0"/>
    <w:rsid w:val="00B2366C"/>
    <w:rsid w:val="00B23AF7"/>
    <w:rsid w:val="00B24D5E"/>
    <w:rsid w:val="00B25BC9"/>
    <w:rsid w:val="00B25ECC"/>
    <w:rsid w:val="00B26498"/>
    <w:rsid w:val="00B27940"/>
    <w:rsid w:val="00B30FD0"/>
    <w:rsid w:val="00B31488"/>
    <w:rsid w:val="00B31BEC"/>
    <w:rsid w:val="00B31C2E"/>
    <w:rsid w:val="00B32838"/>
    <w:rsid w:val="00B333F6"/>
    <w:rsid w:val="00B3407A"/>
    <w:rsid w:val="00B34099"/>
    <w:rsid w:val="00B348BB"/>
    <w:rsid w:val="00B348FA"/>
    <w:rsid w:val="00B35204"/>
    <w:rsid w:val="00B36A4B"/>
    <w:rsid w:val="00B36DD1"/>
    <w:rsid w:val="00B37660"/>
    <w:rsid w:val="00B37DEA"/>
    <w:rsid w:val="00B40306"/>
    <w:rsid w:val="00B404CE"/>
    <w:rsid w:val="00B4078E"/>
    <w:rsid w:val="00B40804"/>
    <w:rsid w:val="00B40AD1"/>
    <w:rsid w:val="00B40AFC"/>
    <w:rsid w:val="00B40B1E"/>
    <w:rsid w:val="00B40CA8"/>
    <w:rsid w:val="00B411F2"/>
    <w:rsid w:val="00B4134F"/>
    <w:rsid w:val="00B416A4"/>
    <w:rsid w:val="00B41A47"/>
    <w:rsid w:val="00B41C36"/>
    <w:rsid w:val="00B42696"/>
    <w:rsid w:val="00B42E3E"/>
    <w:rsid w:val="00B42F09"/>
    <w:rsid w:val="00B43195"/>
    <w:rsid w:val="00B43499"/>
    <w:rsid w:val="00B43DFA"/>
    <w:rsid w:val="00B4409C"/>
    <w:rsid w:val="00B443DD"/>
    <w:rsid w:val="00B44EEA"/>
    <w:rsid w:val="00B45077"/>
    <w:rsid w:val="00B45246"/>
    <w:rsid w:val="00B47331"/>
    <w:rsid w:val="00B476DE"/>
    <w:rsid w:val="00B502E2"/>
    <w:rsid w:val="00B506F9"/>
    <w:rsid w:val="00B51F35"/>
    <w:rsid w:val="00B523E8"/>
    <w:rsid w:val="00B53788"/>
    <w:rsid w:val="00B54227"/>
    <w:rsid w:val="00B54AA5"/>
    <w:rsid w:val="00B55938"/>
    <w:rsid w:val="00B55987"/>
    <w:rsid w:val="00B55ACA"/>
    <w:rsid w:val="00B60083"/>
    <w:rsid w:val="00B60560"/>
    <w:rsid w:val="00B60594"/>
    <w:rsid w:val="00B60D5B"/>
    <w:rsid w:val="00B6141A"/>
    <w:rsid w:val="00B6162E"/>
    <w:rsid w:val="00B6400F"/>
    <w:rsid w:val="00B6492D"/>
    <w:rsid w:val="00B65A57"/>
    <w:rsid w:val="00B663AF"/>
    <w:rsid w:val="00B66B84"/>
    <w:rsid w:val="00B67027"/>
    <w:rsid w:val="00B67937"/>
    <w:rsid w:val="00B67FD5"/>
    <w:rsid w:val="00B70299"/>
    <w:rsid w:val="00B70E3B"/>
    <w:rsid w:val="00B71326"/>
    <w:rsid w:val="00B71ED9"/>
    <w:rsid w:val="00B720E0"/>
    <w:rsid w:val="00B72361"/>
    <w:rsid w:val="00B725B9"/>
    <w:rsid w:val="00B7296E"/>
    <w:rsid w:val="00B72DC9"/>
    <w:rsid w:val="00B72DF9"/>
    <w:rsid w:val="00B72E12"/>
    <w:rsid w:val="00B7325E"/>
    <w:rsid w:val="00B7519E"/>
    <w:rsid w:val="00B75939"/>
    <w:rsid w:val="00B75F6F"/>
    <w:rsid w:val="00B7643A"/>
    <w:rsid w:val="00B76510"/>
    <w:rsid w:val="00B7664E"/>
    <w:rsid w:val="00B7738A"/>
    <w:rsid w:val="00B774CB"/>
    <w:rsid w:val="00B775BF"/>
    <w:rsid w:val="00B807FE"/>
    <w:rsid w:val="00B809C6"/>
    <w:rsid w:val="00B80A56"/>
    <w:rsid w:val="00B81194"/>
    <w:rsid w:val="00B8173F"/>
    <w:rsid w:val="00B81CA0"/>
    <w:rsid w:val="00B826FA"/>
    <w:rsid w:val="00B82AD7"/>
    <w:rsid w:val="00B82C57"/>
    <w:rsid w:val="00B834B9"/>
    <w:rsid w:val="00B840F2"/>
    <w:rsid w:val="00B84C5D"/>
    <w:rsid w:val="00B85315"/>
    <w:rsid w:val="00B85581"/>
    <w:rsid w:val="00B85E26"/>
    <w:rsid w:val="00B85FAF"/>
    <w:rsid w:val="00B8620E"/>
    <w:rsid w:val="00B863DF"/>
    <w:rsid w:val="00B8681D"/>
    <w:rsid w:val="00B8719B"/>
    <w:rsid w:val="00B87291"/>
    <w:rsid w:val="00B87D19"/>
    <w:rsid w:val="00B9031A"/>
    <w:rsid w:val="00B90877"/>
    <w:rsid w:val="00B92AC2"/>
    <w:rsid w:val="00B92AD6"/>
    <w:rsid w:val="00B92D72"/>
    <w:rsid w:val="00B9310D"/>
    <w:rsid w:val="00B93433"/>
    <w:rsid w:val="00B95148"/>
    <w:rsid w:val="00B95234"/>
    <w:rsid w:val="00B95DCA"/>
    <w:rsid w:val="00B9671D"/>
    <w:rsid w:val="00B97126"/>
    <w:rsid w:val="00B97377"/>
    <w:rsid w:val="00B97588"/>
    <w:rsid w:val="00B97610"/>
    <w:rsid w:val="00B978B1"/>
    <w:rsid w:val="00B97951"/>
    <w:rsid w:val="00B97EBD"/>
    <w:rsid w:val="00BA03EC"/>
    <w:rsid w:val="00BA0829"/>
    <w:rsid w:val="00BA0A24"/>
    <w:rsid w:val="00BA0E0F"/>
    <w:rsid w:val="00BA1148"/>
    <w:rsid w:val="00BA1397"/>
    <w:rsid w:val="00BA1529"/>
    <w:rsid w:val="00BA1C94"/>
    <w:rsid w:val="00BA2290"/>
    <w:rsid w:val="00BA2D7D"/>
    <w:rsid w:val="00BA33A0"/>
    <w:rsid w:val="00BA3D2A"/>
    <w:rsid w:val="00BA445F"/>
    <w:rsid w:val="00BA4877"/>
    <w:rsid w:val="00BA4BF6"/>
    <w:rsid w:val="00BA557D"/>
    <w:rsid w:val="00BA5988"/>
    <w:rsid w:val="00BA5BFB"/>
    <w:rsid w:val="00BA6F38"/>
    <w:rsid w:val="00BA7366"/>
    <w:rsid w:val="00BA74DA"/>
    <w:rsid w:val="00BA7670"/>
    <w:rsid w:val="00BA7FD9"/>
    <w:rsid w:val="00BB00D7"/>
    <w:rsid w:val="00BB072D"/>
    <w:rsid w:val="00BB0C6F"/>
    <w:rsid w:val="00BB0E3B"/>
    <w:rsid w:val="00BB16B1"/>
    <w:rsid w:val="00BB1EC9"/>
    <w:rsid w:val="00BB2A6B"/>
    <w:rsid w:val="00BB2BA9"/>
    <w:rsid w:val="00BB2E93"/>
    <w:rsid w:val="00BB3445"/>
    <w:rsid w:val="00BB3BAE"/>
    <w:rsid w:val="00BB3DFF"/>
    <w:rsid w:val="00BB4342"/>
    <w:rsid w:val="00BB471D"/>
    <w:rsid w:val="00BB5213"/>
    <w:rsid w:val="00BB5766"/>
    <w:rsid w:val="00BB57E2"/>
    <w:rsid w:val="00BB666C"/>
    <w:rsid w:val="00BB6B7D"/>
    <w:rsid w:val="00BB70DF"/>
    <w:rsid w:val="00BC01E8"/>
    <w:rsid w:val="00BC0540"/>
    <w:rsid w:val="00BC0AE1"/>
    <w:rsid w:val="00BC2474"/>
    <w:rsid w:val="00BC31A6"/>
    <w:rsid w:val="00BC4003"/>
    <w:rsid w:val="00BC499D"/>
    <w:rsid w:val="00BC6F3F"/>
    <w:rsid w:val="00BC7CA4"/>
    <w:rsid w:val="00BD064E"/>
    <w:rsid w:val="00BD0651"/>
    <w:rsid w:val="00BD159C"/>
    <w:rsid w:val="00BD1C09"/>
    <w:rsid w:val="00BD2623"/>
    <w:rsid w:val="00BD383A"/>
    <w:rsid w:val="00BD3EBE"/>
    <w:rsid w:val="00BD5A8D"/>
    <w:rsid w:val="00BD6392"/>
    <w:rsid w:val="00BD66E2"/>
    <w:rsid w:val="00BD72AF"/>
    <w:rsid w:val="00BD7324"/>
    <w:rsid w:val="00BD7353"/>
    <w:rsid w:val="00BD74D4"/>
    <w:rsid w:val="00BE0104"/>
    <w:rsid w:val="00BE036D"/>
    <w:rsid w:val="00BE04CE"/>
    <w:rsid w:val="00BE0AB1"/>
    <w:rsid w:val="00BE1CE1"/>
    <w:rsid w:val="00BE255A"/>
    <w:rsid w:val="00BE256F"/>
    <w:rsid w:val="00BE2826"/>
    <w:rsid w:val="00BE2B96"/>
    <w:rsid w:val="00BE2D64"/>
    <w:rsid w:val="00BE33F3"/>
    <w:rsid w:val="00BE396C"/>
    <w:rsid w:val="00BE3D16"/>
    <w:rsid w:val="00BE3F7F"/>
    <w:rsid w:val="00BE4E5D"/>
    <w:rsid w:val="00BE50C6"/>
    <w:rsid w:val="00BE5296"/>
    <w:rsid w:val="00BE55E1"/>
    <w:rsid w:val="00BE59A3"/>
    <w:rsid w:val="00BE5BFC"/>
    <w:rsid w:val="00BE7D70"/>
    <w:rsid w:val="00BE7D75"/>
    <w:rsid w:val="00BF1257"/>
    <w:rsid w:val="00BF150A"/>
    <w:rsid w:val="00BF2297"/>
    <w:rsid w:val="00BF23F0"/>
    <w:rsid w:val="00BF2F44"/>
    <w:rsid w:val="00BF33A4"/>
    <w:rsid w:val="00BF4475"/>
    <w:rsid w:val="00BF4569"/>
    <w:rsid w:val="00BF49B1"/>
    <w:rsid w:val="00BF4D89"/>
    <w:rsid w:val="00BF507D"/>
    <w:rsid w:val="00BF584A"/>
    <w:rsid w:val="00BF5998"/>
    <w:rsid w:val="00BF5C7C"/>
    <w:rsid w:val="00BF6189"/>
    <w:rsid w:val="00BF65EB"/>
    <w:rsid w:val="00BF67AF"/>
    <w:rsid w:val="00BF6931"/>
    <w:rsid w:val="00BF6DEC"/>
    <w:rsid w:val="00BF6F6D"/>
    <w:rsid w:val="00BF6F89"/>
    <w:rsid w:val="00C02DBD"/>
    <w:rsid w:val="00C0338B"/>
    <w:rsid w:val="00C03F4B"/>
    <w:rsid w:val="00C040BF"/>
    <w:rsid w:val="00C05CD4"/>
    <w:rsid w:val="00C06F1D"/>
    <w:rsid w:val="00C06FE4"/>
    <w:rsid w:val="00C073D1"/>
    <w:rsid w:val="00C107D6"/>
    <w:rsid w:val="00C11156"/>
    <w:rsid w:val="00C11508"/>
    <w:rsid w:val="00C12330"/>
    <w:rsid w:val="00C1284D"/>
    <w:rsid w:val="00C13AD7"/>
    <w:rsid w:val="00C13C83"/>
    <w:rsid w:val="00C14002"/>
    <w:rsid w:val="00C1580B"/>
    <w:rsid w:val="00C15B69"/>
    <w:rsid w:val="00C15F98"/>
    <w:rsid w:val="00C1658A"/>
    <w:rsid w:val="00C17A74"/>
    <w:rsid w:val="00C17AD2"/>
    <w:rsid w:val="00C20E93"/>
    <w:rsid w:val="00C20EEC"/>
    <w:rsid w:val="00C21115"/>
    <w:rsid w:val="00C21244"/>
    <w:rsid w:val="00C2141E"/>
    <w:rsid w:val="00C21845"/>
    <w:rsid w:val="00C21A07"/>
    <w:rsid w:val="00C21C74"/>
    <w:rsid w:val="00C247BD"/>
    <w:rsid w:val="00C24AA1"/>
    <w:rsid w:val="00C25021"/>
    <w:rsid w:val="00C2606D"/>
    <w:rsid w:val="00C261F6"/>
    <w:rsid w:val="00C268D1"/>
    <w:rsid w:val="00C27C44"/>
    <w:rsid w:val="00C305D9"/>
    <w:rsid w:val="00C30D85"/>
    <w:rsid w:val="00C31239"/>
    <w:rsid w:val="00C31C5B"/>
    <w:rsid w:val="00C32687"/>
    <w:rsid w:val="00C32743"/>
    <w:rsid w:val="00C330DB"/>
    <w:rsid w:val="00C33E84"/>
    <w:rsid w:val="00C347CD"/>
    <w:rsid w:val="00C35114"/>
    <w:rsid w:val="00C35D01"/>
    <w:rsid w:val="00C36859"/>
    <w:rsid w:val="00C3753D"/>
    <w:rsid w:val="00C375ED"/>
    <w:rsid w:val="00C4052D"/>
    <w:rsid w:val="00C416E1"/>
    <w:rsid w:val="00C41D99"/>
    <w:rsid w:val="00C42D95"/>
    <w:rsid w:val="00C43064"/>
    <w:rsid w:val="00C43E94"/>
    <w:rsid w:val="00C44493"/>
    <w:rsid w:val="00C445B9"/>
    <w:rsid w:val="00C45CF9"/>
    <w:rsid w:val="00C46A25"/>
    <w:rsid w:val="00C47E76"/>
    <w:rsid w:val="00C5039F"/>
    <w:rsid w:val="00C5156B"/>
    <w:rsid w:val="00C51E7F"/>
    <w:rsid w:val="00C52281"/>
    <w:rsid w:val="00C52498"/>
    <w:rsid w:val="00C525D7"/>
    <w:rsid w:val="00C52776"/>
    <w:rsid w:val="00C52B86"/>
    <w:rsid w:val="00C52FDD"/>
    <w:rsid w:val="00C534B4"/>
    <w:rsid w:val="00C53DA2"/>
    <w:rsid w:val="00C53EE5"/>
    <w:rsid w:val="00C53F11"/>
    <w:rsid w:val="00C5572A"/>
    <w:rsid w:val="00C5583B"/>
    <w:rsid w:val="00C559B0"/>
    <w:rsid w:val="00C562B2"/>
    <w:rsid w:val="00C563B0"/>
    <w:rsid w:val="00C56FCA"/>
    <w:rsid w:val="00C56FEC"/>
    <w:rsid w:val="00C57B80"/>
    <w:rsid w:val="00C60075"/>
    <w:rsid w:val="00C604A9"/>
    <w:rsid w:val="00C607BA"/>
    <w:rsid w:val="00C6114F"/>
    <w:rsid w:val="00C6126E"/>
    <w:rsid w:val="00C61279"/>
    <w:rsid w:val="00C61522"/>
    <w:rsid w:val="00C61DCB"/>
    <w:rsid w:val="00C61E99"/>
    <w:rsid w:val="00C62D50"/>
    <w:rsid w:val="00C63202"/>
    <w:rsid w:val="00C633EC"/>
    <w:rsid w:val="00C63662"/>
    <w:rsid w:val="00C642C1"/>
    <w:rsid w:val="00C64AB6"/>
    <w:rsid w:val="00C64D3C"/>
    <w:rsid w:val="00C65974"/>
    <w:rsid w:val="00C65D3F"/>
    <w:rsid w:val="00C65D96"/>
    <w:rsid w:val="00C662BF"/>
    <w:rsid w:val="00C662D8"/>
    <w:rsid w:val="00C66396"/>
    <w:rsid w:val="00C668C8"/>
    <w:rsid w:val="00C66A06"/>
    <w:rsid w:val="00C66A9E"/>
    <w:rsid w:val="00C67664"/>
    <w:rsid w:val="00C67AA4"/>
    <w:rsid w:val="00C67EC7"/>
    <w:rsid w:val="00C71646"/>
    <w:rsid w:val="00C72471"/>
    <w:rsid w:val="00C72FA5"/>
    <w:rsid w:val="00C72FC0"/>
    <w:rsid w:val="00C731A8"/>
    <w:rsid w:val="00C73CA0"/>
    <w:rsid w:val="00C74056"/>
    <w:rsid w:val="00C743F8"/>
    <w:rsid w:val="00C748E2"/>
    <w:rsid w:val="00C74BC4"/>
    <w:rsid w:val="00C74BD4"/>
    <w:rsid w:val="00C74BE0"/>
    <w:rsid w:val="00C75B5F"/>
    <w:rsid w:val="00C760C3"/>
    <w:rsid w:val="00C76579"/>
    <w:rsid w:val="00C76B91"/>
    <w:rsid w:val="00C76EF1"/>
    <w:rsid w:val="00C77564"/>
    <w:rsid w:val="00C77E12"/>
    <w:rsid w:val="00C80152"/>
    <w:rsid w:val="00C8060D"/>
    <w:rsid w:val="00C80754"/>
    <w:rsid w:val="00C809B5"/>
    <w:rsid w:val="00C80D7A"/>
    <w:rsid w:val="00C8276E"/>
    <w:rsid w:val="00C83681"/>
    <w:rsid w:val="00C84021"/>
    <w:rsid w:val="00C841FD"/>
    <w:rsid w:val="00C86028"/>
    <w:rsid w:val="00C87030"/>
    <w:rsid w:val="00C87F0E"/>
    <w:rsid w:val="00C91FDA"/>
    <w:rsid w:val="00C932E9"/>
    <w:rsid w:val="00C93554"/>
    <w:rsid w:val="00C93E91"/>
    <w:rsid w:val="00C93F29"/>
    <w:rsid w:val="00C953EB"/>
    <w:rsid w:val="00C96E1E"/>
    <w:rsid w:val="00C97094"/>
    <w:rsid w:val="00C9718E"/>
    <w:rsid w:val="00C97AB0"/>
    <w:rsid w:val="00CA022B"/>
    <w:rsid w:val="00CA041A"/>
    <w:rsid w:val="00CA090C"/>
    <w:rsid w:val="00CA2015"/>
    <w:rsid w:val="00CA2426"/>
    <w:rsid w:val="00CA2B48"/>
    <w:rsid w:val="00CA4683"/>
    <w:rsid w:val="00CA4B75"/>
    <w:rsid w:val="00CA4C5D"/>
    <w:rsid w:val="00CA4C96"/>
    <w:rsid w:val="00CA5921"/>
    <w:rsid w:val="00CA61B5"/>
    <w:rsid w:val="00CA6479"/>
    <w:rsid w:val="00CA6693"/>
    <w:rsid w:val="00CA68F3"/>
    <w:rsid w:val="00CA7302"/>
    <w:rsid w:val="00CA7446"/>
    <w:rsid w:val="00CA7C05"/>
    <w:rsid w:val="00CB02D7"/>
    <w:rsid w:val="00CB065E"/>
    <w:rsid w:val="00CB06C1"/>
    <w:rsid w:val="00CB0861"/>
    <w:rsid w:val="00CB18B9"/>
    <w:rsid w:val="00CB1F8D"/>
    <w:rsid w:val="00CB2002"/>
    <w:rsid w:val="00CB202D"/>
    <w:rsid w:val="00CB26D5"/>
    <w:rsid w:val="00CB290D"/>
    <w:rsid w:val="00CB2BE1"/>
    <w:rsid w:val="00CB30DB"/>
    <w:rsid w:val="00CB3278"/>
    <w:rsid w:val="00CB32AA"/>
    <w:rsid w:val="00CB355B"/>
    <w:rsid w:val="00CB3C19"/>
    <w:rsid w:val="00CB5DC9"/>
    <w:rsid w:val="00CB79D3"/>
    <w:rsid w:val="00CC06E3"/>
    <w:rsid w:val="00CC09E7"/>
    <w:rsid w:val="00CC0C70"/>
    <w:rsid w:val="00CC0E48"/>
    <w:rsid w:val="00CC2034"/>
    <w:rsid w:val="00CC225E"/>
    <w:rsid w:val="00CC2607"/>
    <w:rsid w:val="00CC2CDF"/>
    <w:rsid w:val="00CC2F02"/>
    <w:rsid w:val="00CC5DEF"/>
    <w:rsid w:val="00CC7278"/>
    <w:rsid w:val="00CC7665"/>
    <w:rsid w:val="00CC7BAD"/>
    <w:rsid w:val="00CD00CD"/>
    <w:rsid w:val="00CD0349"/>
    <w:rsid w:val="00CD1972"/>
    <w:rsid w:val="00CD2776"/>
    <w:rsid w:val="00CD2A67"/>
    <w:rsid w:val="00CD2F17"/>
    <w:rsid w:val="00CD34E5"/>
    <w:rsid w:val="00CD39D7"/>
    <w:rsid w:val="00CD551D"/>
    <w:rsid w:val="00CD5E03"/>
    <w:rsid w:val="00CD5F25"/>
    <w:rsid w:val="00CD6030"/>
    <w:rsid w:val="00CD6CE1"/>
    <w:rsid w:val="00CD70C4"/>
    <w:rsid w:val="00CD754F"/>
    <w:rsid w:val="00CD7698"/>
    <w:rsid w:val="00CD7780"/>
    <w:rsid w:val="00CE0229"/>
    <w:rsid w:val="00CE0AF0"/>
    <w:rsid w:val="00CE1409"/>
    <w:rsid w:val="00CE1C68"/>
    <w:rsid w:val="00CE1D2D"/>
    <w:rsid w:val="00CE208B"/>
    <w:rsid w:val="00CE27A9"/>
    <w:rsid w:val="00CE2864"/>
    <w:rsid w:val="00CE3148"/>
    <w:rsid w:val="00CE390B"/>
    <w:rsid w:val="00CE4DF5"/>
    <w:rsid w:val="00CE5104"/>
    <w:rsid w:val="00CE52BA"/>
    <w:rsid w:val="00CE5599"/>
    <w:rsid w:val="00CE6037"/>
    <w:rsid w:val="00CE61ED"/>
    <w:rsid w:val="00CE6669"/>
    <w:rsid w:val="00CE6C87"/>
    <w:rsid w:val="00CE7750"/>
    <w:rsid w:val="00CE7D43"/>
    <w:rsid w:val="00CF0CA9"/>
    <w:rsid w:val="00CF0D07"/>
    <w:rsid w:val="00CF1059"/>
    <w:rsid w:val="00CF1A70"/>
    <w:rsid w:val="00CF1E4E"/>
    <w:rsid w:val="00CF298E"/>
    <w:rsid w:val="00CF3A9F"/>
    <w:rsid w:val="00CF4360"/>
    <w:rsid w:val="00CF4906"/>
    <w:rsid w:val="00CF4FE1"/>
    <w:rsid w:val="00CF504A"/>
    <w:rsid w:val="00CF67B6"/>
    <w:rsid w:val="00CF6D84"/>
    <w:rsid w:val="00CF73AA"/>
    <w:rsid w:val="00CF7DF3"/>
    <w:rsid w:val="00D01EA6"/>
    <w:rsid w:val="00D02FD2"/>
    <w:rsid w:val="00D0309A"/>
    <w:rsid w:val="00D035AD"/>
    <w:rsid w:val="00D0395F"/>
    <w:rsid w:val="00D03C83"/>
    <w:rsid w:val="00D04253"/>
    <w:rsid w:val="00D04F1A"/>
    <w:rsid w:val="00D050EA"/>
    <w:rsid w:val="00D05988"/>
    <w:rsid w:val="00D05A4F"/>
    <w:rsid w:val="00D05CD3"/>
    <w:rsid w:val="00D0634F"/>
    <w:rsid w:val="00D07333"/>
    <w:rsid w:val="00D075B7"/>
    <w:rsid w:val="00D079C3"/>
    <w:rsid w:val="00D07D4D"/>
    <w:rsid w:val="00D07E15"/>
    <w:rsid w:val="00D10658"/>
    <w:rsid w:val="00D10A5C"/>
    <w:rsid w:val="00D10A7D"/>
    <w:rsid w:val="00D11323"/>
    <w:rsid w:val="00D12727"/>
    <w:rsid w:val="00D12E62"/>
    <w:rsid w:val="00D13159"/>
    <w:rsid w:val="00D13168"/>
    <w:rsid w:val="00D1326A"/>
    <w:rsid w:val="00D138A6"/>
    <w:rsid w:val="00D13A9F"/>
    <w:rsid w:val="00D14419"/>
    <w:rsid w:val="00D15778"/>
    <w:rsid w:val="00D15B09"/>
    <w:rsid w:val="00D15F67"/>
    <w:rsid w:val="00D162E7"/>
    <w:rsid w:val="00D16740"/>
    <w:rsid w:val="00D16C5A"/>
    <w:rsid w:val="00D177B7"/>
    <w:rsid w:val="00D179F9"/>
    <w:rsid w:val="00D17D26"/>
    <w:rsid w:val="00D17F23"/>
    <w:rsid w:val="00D20896"/>
    <w:rsid w:val="00D21003"/>
    <w:rsid w:val="00D21208"/>
    <w:rsid w:val="00D21A0A"/>
    <w:rsid w:val="00D22313"/>
    <w:rsid w:val="00D2267C"/>
    <w:rsid w:val="00D228CD"/>
    <w:rsid w:val="00D23894"/>
    <w:rsid w:val="00D23BDB"/>
    <w:rsid w:val="00D2422F"/>
    <w:rsid w:val="00D2434A"/>
    <w:rsid w:val="00D2537F"/>
    <w:rsid w:val="00D255A8"/>
    <w:rsid w:val="00D25A24"/>
    <w:rsid w:val="00D26357"/>
    <w:rsid w:val="00D269D4"/>
    <w:rsid w:val="00D26A13"/>
    <w:rsid w:val="00D26C59"/>
    <w:rsid w:val="00D27CE4"/>
    <w:rsid w:val="00D30622"/>
    <w:rsid w:val="00D30841"/>
    <w:rsid w:val="00D319B8"/>
    <w:rsid w:val="00D3207B"/>
    <w:rsid w:val="00D32AA0"/>
    <w:rsid w:val="00D32F38"/>
    <w:rsid w:val="00D33C92"/>
    <w:rsid w:val="00D33E49"/>
    <w:rsid w:val="00D34B03"/>
    <w:rsid w:val="00D34B7D"/>
    <w:rsid w:val="00D34BE8"/>
    <w:rsid w:val="00D34CD1"/>
    <w:rsid w:val="00D363B1"/>
    <w:rsid w:val="00D36F90"/>
    <w:rsid w:val="00D37FDD"/>
    <w:rsid w:val="00D40436"/>
    <w:rsid w:val="00D406DC"/>
    <w:rsid w:val="00D42D7E"/>
    <w:rsid w:val="00D44761"/>
    <w:rsid w:val="00D44D70"/>
    <w:rsid w:val="00D44E2E"/>
    <w:rsid w:val="00D45A6D"/>
    <w:rsid w:val="00D478D2"/>
    <w:rsid w:val="00D503F1"/>
    <w:rsid w:val="00D51789"/>
    <w:rsid w:val="00D51B9C"/>
    <w:rsid w:val="00D52309"/>
    <w:rsid w:val="00D52349"/>
    <w:rsid w:val="00D53349"/>
    <w:rsid w:val="00D5336B"/>
    <w:rsid w:val="00D54539"/>
    <w:rsid w:val="00D548BA"/>
    <w:rsid w:val="00D54B9B"/>
    <w:rsid w:val="00D554A8"/>
    <w:rsid w:val="00D5581C"/>
    <w:rsid w:val="00D55E19"/>
    <w:rsid w:val="00D5657C"/>
    <w:rsid w:val="00D57E22"/>
    <w:rsid w:val="00D57EB6"/>
    <w:rsid w:val="00D603C0"/>
    <w:rsid w:val="00D608E7"/>
    <w:rsid w:val="00D60C8C"/>
    <w:rsid w:val="00D60DB5"/>
    <w:rsid w:val="00D61151"/>
    <w:rsid w:val="00D611CC"/>
    <w:rsid w:val="00D6129A"/>
    <w:rsid w:val="00D62D35"/>
    <w:rsid w:val="00D62FFF"/>
    <w:rsid w:val="00D63B86"/>
    <w:rsid w:val="00D642ED"/>
    <w:rsid w:val="00D64F52"/>
    <w:rsid w:val="00D65A6D"/>
    <w:rsid w:val="00D669EF"/>
    <w:rsid w:val="00D670B8"/>
    <w:rsid w:val="00D676E0"/>
    <w:rsid w:val="00D708BC"/>
    <w:rsid w:val="00D70A61"/>
    <w:rsid w:val="00D7196A"/>
    <w:rsid w:val="00D71BDD"/>
    <w:rsid w:val="00D71E3B"/>
    <w:rsid w:val="00D72568"/>
    <w:rsid w:val="00D72A7A"/>
    <w:rsid w:val="00D72B9C"/>
    <w:rsid w:val="00D730C9"/>
    <w:rsid w:val="00D73B53"/>
    <w:rsid w:val="00D746EE"/>
    <w:rsid w:val="00D74827"/>
    <w:rsid w:val="00D75FAF"/>
    <w:rsid w:val="00D76973"/>
    <w:rsid w:val="00D76B95"/>
    <w:rsid w:val="00D76E4C"/>
    <w:rsid w:val="00D77171"/>
    <w:rsid w:val="00D77C80"/>
    <w:rsid w:val="00D77D96"/>
    <w:rsid w:val="00D77E10"/>
    <w:rsid w:val="00D8085D"/>
    <w:rsid w:val="00D80A42"/>
    <w:rsid w:val="00D80DB6"/>
    <w:rsid w:val="00D80E57"/>
    <w:rsid w:val="00D813C9"/>
    <w:rsid w:val="00D81D9A"/>
    <w:rsid w:val="00D81FBE"/>
    <w:rsid w:val="00D822EA"/>
    <w:rsid w:val="00D824BE"/>
    <w:rsid w:val="00D82796"/>
    <w:rsid w:val="00D83321"/>
    <w:rsid w:val="00D834BF"/>
    <w:rsid w:val="00D8421B"/>
    <w:rsid w:val="00D8521A"/>
    <w:rsid w:val="00D85744"/>
    <w:rsid w:val="00D85E6F"/>
    <w:rsid w:val="00D865BA"/>
    <w:rsid w:val="00D86FF5"/>
    <w:rsid w:val="00D873C3"/>
    <w:rsid w:val="00D903E0"/>
    <w:rsid w:val="00D931C3"/>
    <w:rsid w:val="00D93A0E"/>
    <w:rsid w:val="00D9440B"/>
    <w:rsid w:val="00D94DE1"/>
    <w:rsid w:val="00D94ED8"/>
    <w:rsid w:val="00D94FAF"/>
    <w:rsid w:val="00D95138"/>
    <w:rsid w:val="00D9526D"/>
    <w:rsid w:val="00D955C0"/>
    <w:rsid w:val="00D958ED"/>
    <w:rsid w:val="00D96415"/>
    <w:rsid w:val="00D9649A"/>
    <w:rsid w:val="00D979D6"/>
    <w:rsid w:val="00DA0D48"/>
    <w:rsid w:val="00DA1659"/>
    <w:rsid w:val="00DA200A"/>
    <w:rsid w:val="00DA2D7D"/>
    <w:rsid w:val="00DA30C4"/>
    <w:rsid w:val="00DA498C"/>
    <w:rsid w:val="00DA4A70"/>
    <w:rsid w:val="00DA51C8"/>
    <w:rsid w:val="00DA5DEA"/>
    <w:rsid w:val="00DA605F"/>
    <w:rsid w:val="00DA6082"/>
    <w:rsid w:val="00DA7011"/>
    <w:rsid w:val="00DA7663"/>
    <w:rsid w:val="00DA7A4C"/>
    <w:rsid w:val="00DB02AE"/>
    <w:rsid w:val="00DB0E84"/>
    <w:rsid w:val="00DB0EE4"/>
    <w:rsid w:val="00DB1CB0"/>
    <w:rsid w:val="00DB1D1E"/>
    <w:rsid w:val="00DB1DCA"/>
    <w:rsid w:val="00DB236C"/>
    <w:rsid w:val="00DB285B"/>
    <w:rsid w:val="00DB321F"/>
    <w:rsid w:val="00DB3A57"/>
    <w:rsid w:val="00DB43FA"/>
    <w:rsid w:val="00DB4C88"/>
    <w:rsid w:val="00DB5234"/>
    <w:rsid w:val="00DB5450"/>
    <w:rsid w:val="00DB5818"/>
    <w:rsid w:val="00DB5CBE"/>
    <w:rsid w:val="00DB601A"/>
    <w:rsid w:val="00DB65B8"/>
    <w:rsid w:val="00DB6D56"/>
    <w:rsid w:val="00DB794E"/>
    <w:rsid w:val="00DC1B76"/>
    <w:rsid w:val="00DC1BEA"/>
    <w:rsid w:val="00DC24A9"/>
    <w:rsid w:val="00DC2874"/>
    <w:rsid w:val="00DC3D2D"/>
    <w:rsid w:val="00DC465B"/>
    <w:rsid w:val="00DC562D"/>
    <w:rsid w:val="00DC64C6"/>
    <w:rsid w:val="00DC71A7"/>
    <w:rsid w:val="00DC77D7"/>
    <w:rsid w:val="00DD0B36"/>
    <w:rsid w:val="00DD121B"/>
    <w:rsid w:val="00DD20E7"/>
    <w:rsid w:val="00DD29A5"/>
    <w:rsid w:val="00DD3094"/>
    <w:rsid w:val="00DD3308"/>
    <w:rsid w:val="00DD3480"/>
    <w:rsid w:val="00DD38E6"/>
    <w:rsid w:val="00DD3BFD"/>
    <w:rsid w:val="00DD3D7E"/>
    <w:rsid w:val="00DD4A22"/>
    <w:rsid w:val="00DD4C57"/>
    <w:rsid w:val="00DD6F0E"/>
    <w:rsid w:val="00DE009B"/>
    <w:rsid w:val="00DE0833"/>
    <w:rsid w:val="00DE0977"/>
    <w:rsid w:val="00DE09BC"/>
    <w:rsid w:val="00DE0A0A"/>
    <w:rsid w:val="00DE0F9C"/>
    <w:rsid w:val="00DE106B"/>
    <w:rsid w:val="00DE10FA"/>
    <w:rsid w:val="00DE1744"/>
    <w:rsid w:val="00DE2A83"/>
    <w:rsid w:val="00DE2A94"/>
    <w:rsid w:val="00DE32A3"/>
    <w:rsid w:val="00DE394E"/>
    <w:rsid w:val="00DE402B"/>
    <w:rsid w:val="00DE4593"/>
    <w:rsid w:val="00DE46D9"/>
    <w:rsid w:val="00DE4C8D"/>
    <w:rsid w:val="00DE5BDE"/>
    <w:rsid w:val="00DE6C3D"/>
    <w:rsid w:val="00DE6EE8"/>
    <w:rsid w:val="00DE7606"/>
    <w:rsid w:val="00DE779C"/>
    <w:rsid w:val="00DE7C32"/>
    <w:rsid w:val="00DE7FEB"/>
    <w:rsid w:val="00DF0F0B"/>
    <w:rsid w:val="00DF121F"/>
    <w:rsid w:val="00DF1AF0"/>
    <w:rsid w:val="00DF3895"/>
    <w:rsid w:val="00DF4661"/>
    <w:rsid w:val="00DF46CA"/>
    <w:rsid w:val="00DF46EF"/>
    <w:rsid w:val="00DF46F7"/>
    <w:rsid w:val="00DF5459"/>
    <w:rsid w:val="00DF58BA"/>
    <w:rsid w:val="00DF5A5F"/>
    <w:rsid w:val="00DF647F"/>
    <w:rsid w:val="00DF7A6F"/>
    <w:rsid w:val="00E00C80"/>
    <w:rsid w:val="00E01165"/>
    <w:rsid w:val="00E0202B"/>
    <w:rsid w:val="00E02133"/>
    <w:rsid w:val="00E0242D"/>
    <w:rsid w:val="00E02BC9"/>
    <w:rsid w:val="00E0330A"/>
    <w:rsid w:val="00E03321"/>
    <w:rsid w:val="00E0349C"/>
    <w:rsid w:val="00E040C3"/>
    <w:rsid w:val="00E0470B"/>
    <w:rsid w:val="00E04A5D"/>
    <w:rsid w:val="00E04EA9"/>
    <w:rsid w:val="00E05040"/>
    <w:rsid w:val="00E0531C"/>
    <w:rsid w:val="00E05818"/>
    <w:rsid w:val="00E05928"/>
    <w:rsid w:val="00E05E8D"/>
    <w:rsid w:val="00E06FCD"/>
    <w:rsid w:val="00E07EFC"/>
    <w:rsid w:val="00E1183C"/>
    <w:rsid w:val="00E11B32"/>
    <w:rsid w:val="00E11E12"/>
    <w:rsid w:val="00E13B28"/>
    <w:rsid w:val="00E1474C"/>
    <w:rsid w:val="00E14C7B"/>
    <w:rsid w:val="00E17043"/>
    <w:rsid w:val="00E17834"/>
    <w:rsid w:val="00E20EE1"/>
    <w:rsid w:val="00E218CA"/>
    <w:rsid w:val="00E220B2"/>
    <w:rsid w:val="00E23644"/>
    <w:rsid w:val="00E249C3"/>
    <w:rsid w:val="00E25293"/>
    <w:rsid w:val="00E261C4"/>
    <w:rsid w:val="00E26DC4"/>
    <w:rsid w:val="00E275AD"/>
    <w:rsid w:val="00E27BAA"/>
    <w:rsid w:val="00E30884"/>
    <w:rsid w:val="00E3109F"/>
    <w:rsid w:val="00E31B5A"/>
    <w:rsid w:val="00E3223E"/>
    <w:rsid w:val="00E32529"/>
    <w:rsid w:val="00E327C5"/>
    <w:rsid w:val="00E3284D"/>
    <w:rsid w:val="00E32DE4"/>
    <w:rsid w:val="00E33803"/>
    <w:rsid w:val="00E33E6D"/>
    <w:rsid w:val="00E34865"/>
    <w:rsid w:val="00E34CD7"/>
    <w:rsid w:val="00E3567B"/>
    <w:rsid w:val="00E35789"/>
    <w:rsid w:val="00E363F5"/>
    <w:rsid w:val="00E36E94"/>
    <w:rsid w:val="00E36F74"/>
    <w:rsid w:val="00E37181"/>
    <w:rsid w:val="00E373ED"/>
    <w:rsid w:val="00E37A18"/>
    <w:rsid w:val="00E41747"/>
    <w:rsid w:val="00E42321"/>
    <w:rsid w:val="00E4232E"/>
    <w:rsid w:val="00E42C64"/>
    <w:rsid w:val="00E43086"/>
    <w:rsid w:val="00E43963"/>
    <w:rsid w:val="00E43CED"/>
    <w:rsid w:val="00E43F10"/>
    <w:rsid w:val="00E44ECF"/>
    <w:rsid w:val="00E44EE3"/>
    <w:rsid w:val="00E450C1"/>
    <w:rsid w:val="00E458B5"/>
    <w:rsid w:val="00E45B76"/>
    <w:rsid w:val="00E45B87"/>
    <w:rsid w:val="00E45FE0"/>
    <w:rsid w:val="00E461DF"/>
    <w:rsid w:val="00E46C12"/>
    <w:rsid w:val="00E46F73"/>
    <w:rsid w:val="00E47DAB"/>
    <w:rsid w:val="00E50128"/>
    <w:rsid w:val="00E50825"/>
    <w:rsid w:val="00E514EF"/>
    <w:rsid w:val="00E51BA2"/>
    <w:rsid w:val="00E534DB"/>
    <w:rsid w:val="00E53600"/>
    <w:rsid w:val="00E546AF"/>
    <w:rsid w:val="00E55189"/>
    <w:rsid w:val="00E5546B"/>
    <w:rsid w:val="00E55984"/>
    <w:rsid w:val="00E55C8F"/>
    <w:rsid w:val="00E55DEA"/>
    <w:rsid w:val="00E5665D"/>
    <w:rsid w:val="00E56982"/>
    <w:rsid w:val="00E56BB2"/>
    <w:rsid w:val="00E56C90"/>
    <w:rsid w:val="00E57142"/>
    <w:rsid w:val="00E579ED"/>
    <w:rsid w:val="00E605AE"/>
    <w:rsid w:val="00E60F98"/>
    <w:rsid w:val="00E61333"/>
    <w:rsid w:val="00E616B3"/>
    <w:rsid w:val="00E61733"/>
    <w:rsid w:val="00E6208F"/>
    <w:rsid w:val="00E6218E"/>
    <w:rsid w:val="00E624D5"/>
    <w:rsid w:val="00E63085"/>
    <w:rsid w:val="00E635F6"/>
    <w:rsid w:val="00E637EB"/>
    <w:rsid w:val="00E63D04"/>
    <w:rsid w:val="00E63D5E"/>
    <w:rsid w:val="00E64F2C"/>
    <w:rsid w:val="00E6573F"/>
    <w:rsid w:val="00E65C2A"/>
    <w:rsid w:val="00E65E29"/>
    <w:rsid w:val="00E6652C"/>
    <w:rsid w:val="00E672A3"/>
    <w:rsid w:val="00E67814"/>
    <w:rsid w:val="00E67D35"/>
    <w:rsid w:val="00E7001B"/>
    <w:rsid w:val="00E7089B"/>
    <w:rsid w:val="00E719F6"/>
    <w:rsid w:val="00E723E3"/>
    <w:rsid w:val="00E72703"/>
    <w:rsid w:val="00E736C3"/>
    <w:rsid w:val="00E73713"/>
    <w:rsid w:val="00E7401E"/>
    <w:rsid w:val="00E74923"/>
    <w:rsid w:val="00E749A2"/>
    <w:rsid w:val="00E767C1"/>
    <w:rsid w:val="00E776F0"/>
    <w:rsid w:val="00E7778B"/>
    <w:rsid w:val="00E77D04"/>
    <w:rsid w:val="00E81456"/>
    <w:rsid w:val="00E815F6"/>
    <w:rsid w:val="00E81625"/>
    <w:rsid w:val="00E81839"/>
    <w:rsid w:val="00E81BD4"/>
    <w:rsid w:val="00E82472"/>
    <w:rsid w:val="00E824EF"/>
    <w:rsid w:val="00E826B8"/>
    <w:rsid w:val="00E8385E"/>
    <w:rsid w:val="00E838D2"/>
    <w:rsid w:val="00E83926"/>
    <w:rsid w:val="00E8520E"/>
    <w:rsid w:val="00E8545D"/>
    <w:rsid w:val="00E86278"/>
    <w:rsid w:val="00E8692B"/>
    <w:rsid w:val="00E86CBC"/>
    <w:rsid w:val="00E874CC"/>
    <w:rsid w:val="00E902C7"/>
    <w:rsid w:val="00E902F5"/>
    <w:rsid w:val="00E90989"/>
    <w:rsid w:val="00E90FE6"/>
    <w:rsid w:val="00E91060"/>
    <w:rsid w:val="00E9216C"/>
    <w:rsid w:val="00E921FA"/>
    <w:rsid w:val="00E923DA"/>
    <w:rsid w:val="00E923F8"/>
    <w:rsid w:val="00E934D7"/>
    <w:rsid w:val="00E9418E"/>
    <w:rsid w:val="00E94577"/>
    <w:rsid w:val="00E946E0"/>
    <w:rsid w:val="00E947FE"/>
    <w:rsid w:val="00E949D9"/>
    <w:rsid w:val="00E94A24"/>
    <w:rsid w:val="00E94B78"/>
    <w:rsid w:val="00E95158"/>
    <w:rsid w:val="00E9561C"/>
    <w:rsid w:val="00E970F1"/>
    <w:rsid w:val="00E9762B"/>
    <w:rsid w:val="00E978D2"/>
    <w:rsid w:val="00EA0860"/>
    <w:rsid w:val="00EA0A87"/>
    <w:rsid w:val="00EA133D"/>
    <w:rsid w:val="00EA16BA"/>
    <w:rsid w:val="00EA1CA7"/>
    <w:rsid w:val="00EA1DEB"/>
    <w:rsid w:val="00EA2502"/>
    <w:rsid w:val="00EA3EE7"/>
    <w:rsid w:val="00EA53A7"/>
    <w:rsid w:val="00EA55F0"/>
    <w:rsid w:val="00EA605A"/>
    <w:rsid w:val="00EA66D6"/>
    <w:rsid w:val="00EA684B"/>
    <w:rsid w:val="00EA6920"/>
    <w:rsid w:val="00EA6B00"/>
    <w:rsid w:val="00EA6D4E"/>
    <w:rsid w:val="00EA775C"/>
    <w:rsid w:val="00EA793C"/>
    <w:rsid w:val="00EB066C"/>
    <w:rsid w:val="00EB0BD0"/>
    <w:rsid w:val="00EB0F36"/>
    <w:rsid w:val="00EB1C44"/>
    <w:rsid w:val="00EB1FA9"/>
    <w:rsid w:val="00EB24FF"/>
    <w:rsid w:val="00EB37F2"/>
    <w:rsid w:val="00EB5409"/>
    <w:rsid w:val="00EB5FB8"/>
    <w:rsid w:val="00EB6411"/>
    <w:rsid w:val="00EB6453"/>
    <w:rsid w:val="00EB66C9"/>
    <w:rsid w:val="00EB67F3"/>
    <w:rsid w:val="00EB69D8"/>
    <w:rsid w:val="00EB7023"/>
    <w:rsid w:val="00EB737C"/>
    <w:rsid w:val="00EB7853"/>
    <w:rsid w:val="00EC02C3"/>
    <w:rsid w:val="00EC0393"/>
    <w:rsid w:val="00EC07E7"/>
    <w:rsid w:val="00EC087E"/>
    <w:rsid w:val="00EC1740"/>
    <w:rsid w:val="00EC2DAE"/>
    <w:rsid w:val="00EC3351"/>
    <w:rsid w:val="00EC37D8"/>
    <w:rsid w:val="00EC52BC"/>
    <w:rsid w:val="00EC661A"/>
    <w:rsid w:val="00EC6B08"/>
    <w:rsid w:val="00EC7260"/>
    <w:rsid w:val="00EC7457"/>
    <w:rsid w:val="00EC7DA8"/>
    <w:rsid w:val="00EC7F9F"/>
    <w:rsid w:val="00ED002E"/>
    <w:rsid w:val="00ED0B29"/>
    <w:rsid w:val="00ED16F5"/>
    <w:rsid w:val="00ED2C70"/>
    <w:rsid w:val="00ED3B7C"/>
    <w:rsid w:val="00ED428E"/>
    <w:rsid w:val="00ED4A10"/>
    <w:rsid w:val="00ED5C5D"/>
    <w:rsid w:val="00ED5F03"/>
    <w:rsid w:val="00ED6061"/>
    <w:rsid w:val="00ED6AC7"/>
    <w:rsid w:val="00ED7C07"/>
    <w:rsid w:val="00EE02D9"/>
    <w:rsid w:val="00EE0C7E"/>
    <w:rsid w:val="00EE1042"/>
    <w:rsid w:val="00EE1C89"/>
    <w:rsid w:val="00EE353E"/>
    <w:rsid w:val="00EE3D64"/>
    <w:rsid w:val="00EE40BA"/>
    <w:rsid w:val="00EE4197"/>
    <w:rsid w:val="00EE421A"/>
    <w:rsid w:val="00EE514D"/>
    <w:rsid w:val="00EE63B9"/>
    <w:rsid w:val="00EE70D2"/>
    <w:rsid w:val="00EE7169"/>
    <w:rsid w:val="00EE7DB8"/>
    <w:rsid w:val="00EF014E"/>
    <w:rsid w:val="00EF031F"/>
    <w:rsid w:val="00EF2454"/>
    <w:rsid w:val="00EF36AE"/>
    <w:rsid w:val="00EF37CF"/>
    <w:rsid w:val="00EF5F4F"/>
    <w:rsid w:val="00EF6C4F"/>
    <w:rsid w:val="00EF6D8C"/>
    <w:rsid w:val="00EF745B"/>
    <w:rsid w:val="00F015EF"/>
    <w:rsid w:val="00F02142"/>
    <w:rsid w:val="00F02AEA"/>
    <w:rsid w:val="00F03471"/>
    <w:rsid w:val="00F034A2"/>
    <w:rsid w:val="00F039FE"/>
    <w:rsid w:val="00F0473A"/>
    <w:rsid w:val="00F0523F"/>
    <w:rsid w:val="00F05D6E"/>
    <w:rsid w:val="00F0719A"/>
    <w:rsid w:val="00F076DC"/>
    <w:rsid w:val="00F07D71"/>
    <w:rsid w:val="00F10280"/>
    <w:rsid w:val="00F110C3"/>
    <w:rsid w:val="00F11C13"/>
    <w:rsid w:val="00F121E1"/>
    <w:rsid w:val="00F126A5"/>
    <w:rsid w:val="00F131BC"/>
    <w:rsid w:val="00F1379C"/>
    <w:rsid w:val="00F1559E"/>
    <w:rsid w:val="00F1579C"/>
    <w:rsid w:val="00F16137"/>
    <w:rsid w:val="00F1685C"/>
    <w:rsid w:val="00F16931"/>
    <w:rsid w:val="00F16BD5"/>
    <w:rsid w:val="00F16CAC"/>
    <w:rsid w:val="00F1792E"/>
    <w:rsid w:val="00F209DE"/>
    <w:rsid w:val="00F219C7"/>
    <w:rsid w:val="00F22E48"/>
    <w:rsid w:val="00F22E8E"/>
    <w:rsid w:val="00F23A3F"/>
    <w:rsid w:val="00F23CF4"/>
    <w:rsid w:val="00F24055"/>
    <w:rsid w:val="00F24A6B"/>
    <w:rsid w:val="00F24E61"/>
    <w:rsid w:val="00F25276"/>
    <w:rsid w:val="00F25C0F"/>
    <w:rsid w:val="00F26D25"/>
    <w:rsid w:val="00F26E75"/>
    <w:rsid w:val="00F306CF"/>
    <w:rsid w:val="00F30BAA"/>
    <w:rsid w:val="00F31975"/>
    <w:rsid w:val="00F32A6C"/>
    <w:rsid w:val="00F32D18"/>
    <w:rsid w:val="00F3311C"/>
    <w:rsid w:val="00F33D3F"/>
    <w:rsid w:val="00F349FA"/>
    <w:rsid w:val="00F3530F"/>
    <w:rsid w:val="00F355E7"/>
    <w:rsid w:val="00F36090"/>
    <w:rsid w:val="00F36843"/>
    <w:rsid w:val="00F36910"/>
    <w:rsid w:val="00F37177"/>
    <w:rsid w:val="00F37A1D"/>
    <w:rsid w:val="00F4043E"/>
    <w:rsid w:val="00F407F4"/>
    <w:rsid w:val="00F41AA2"/>
    <w:rsid w:val="00F41F07"/>
    <w:rsid w:val="00F423BA"/>
    <w:rsid w:val="00F42C1F"/>
    <w:rsid w:val="00F43148"/>
    <w:rsid w:val="00F433B6"/>
    <w:rsid w:val="00F4350C"/>
    <w:rsid w:val="00F442DF"/>
    <w:rsid w:val="00F44509"/>
    <w:rsid w:val="00F45322"/>
    <w:rsid w:val="00F45C32"/>
    <w:rsid w:val="00F45E73"/>
    <w:rsid w:val="00F46D6F"/>
    <w:rsid w:val="00F5033C"/>
    <w:rsid w:val="00F51D83"/>
    <w:rsid w:val="00F521DF"/>
    <w:rsid w:val="00F525B3"/>
    <w:rsid w:val="00F534C5"/>
    <w:rsid w:val="00F5505B"/>
    <w:rsid w:val="00F55725"/>
    <w:rsid w:val="00F55F0F"/>
    <w:rsid w:val="00F56FE4"/>
    <w:rsid w:val="00F60D60"/>
    <w:rsid w:val="00F60EE8"/>
    <w:rsid w:val="00F61A0C"/>
    <w:rsid w:val="00F61DEB"/>
    <w:rsid w:val="00F639D4"/>
    <w:rsid w:val="00F63D27"/>
    <w:rsid w:val="00F647FE"/>
    <w:rsid w:val="00F65143"/>
    <w:rsid w:val="00F65DA3"/>
    <w:rsid w:val="00F66861"/>
    <w:rsid w:val="00F668C5"/>
    <w:rsid w:val="00F668C7"/>
    <w:rsid w:val="00F6722A"/>
    <w:rsid w:val="00F67A2C"/>
    <w:rsid w:val="00F67EE6"/>
    <w:rsid w:val="00F70779"/>
    <w:rsid w:val="00F707A0"/>
    <w:rsid w:val="00F70E80"/>
    <w:rsid w:val="00F71ED9"/>
    <w:rsid w:val="00F72174"/>
    <w:rsid w:val="00F727E4"/>
    <w:rsid w:val="00F72E83"/>
    <w:rsid w:val="00F7300B"/>
    <w:rsid w:val="00F735A0"/>
    <w:rsid w:val="00F7375C"/>
    <w:rsid w:val="00F739A1"/>
    <w:rsid w:val="00F73B95"/>
    <w:rsid w:val="00F74422"/>
    <w:rsid w:val="00F74954"/>
    <w:rsid w:val="00F74A39"/>
    <w:rsid w:val="00F75B9B"/>
    <w:rsid w:val="00F77020"/>
    <w:rsid w:val="00F77887"/>
    <w:rsid w:val="00F77F43"/>
    <w:rsid w:val="00F80C67"/>
    <w:rsid w:val="00F80E53"/>
    <w:rsid w:val="00F81BF1"/>
    <w:rsid w:val="00F82399"/>
    <w:rsid w:val="00F82F51"/>
    <w:rsid w:val="00F8309F"/>
    <w:rsid w:val="00F835FE"/>
    <w:rsid w:val="00F836CA"/>
    <w:rsid w:val="00F837F9"/>
    <w:rsid w:val="00F83C30"/>
    <w:rsid w:val="00F83C85"/>
    <w:rsid w:val="00F83CE4"/>
    <w:rsid w:val="00F8489D"/>
    <w:rsid w:val="00F8506C"/>
    <w:rsid w:val="00F854FE"/>
    <w:rsid w:val="00F85E2E"/>
    <w:rsid w:val="00F85E8E"/>
    <w:rsid w:val="00F85F79"/>
    <w:rsid w:val="00F85FF2"/>
    <w:rsid w:val="00F861A2"/>
    <w:rsid w:val="00F90D77"/>
    <w:rsid w:val="00F90E9D"/>
    <w:rsid w:val="00F9128E"/>
    <w:rsid w:val="00F913B8"/>
    <w:rsid w:val="00F913C3"/>
    <w:rsid w:val="00F91C1E"/>
    <w:rsid w:val="00F92DF8"/>
    <w:rsid w:val="00F9325E"/>
    <w:rsid w:val="00F944F0"/>
    <w:rsid w:val="00F94BBE"/>
    <w:rsid w:val="00F95957"/>
    <w:rsid w:val="00F959CB"/>
    <w:rsid w:val="00F959E3"/>
    <w:rsid w:val="00F964BE"/>
    <w:rsid w:val="00F96732"/>
    <w:rsid w:val="00F96A3A"/>
    <w:rsid w:val="00F96B72"/>
    <w:rsid w:val="00F97948"/>
    <w:rsid w:val="00FA0867"/>
    <w:rsid w:val="00FA0CDE"/>
    <w:rsid w:val="00FA100B"/>
    <w:rsid w:val="00FA1436"/>
    <w:rsid w:val="00FA1DAB"/>
    <w:rsid w:val="00FA1E6B"/>
    <w:rsid w:val="00FA2611"/>
    <w:rsid w:val="00FA2CD9"/>
    <w:rsid w:val="00FA47C8"/>
    <w:rsid w:val="00FA4A26"/>
    <w:rsid w:val="00FA4B8F"/>
    <w:rsid w:val="00FA4D89"/>
    <w:rsid w:val="00FA5E75"/>
    <w:rsid w:val="00FA62E9"/>
    <w:rsid w:val="00FA6385"/>
    <w:rsid w:val="00FA7F41"/>
    <w:rsid w:val="00FB03C9"/>
    <w:rsid w:val="00FB0C75"/>
    <w:rsid w:val="00FB0C7A"/>
    <w:rsid w:val="00FB0F66"/>
    <w:rsid w:val="00FB1E35"/>
    <w:rsid w:val="00FB23AB"/>
    <w:rsid w:val="00FB28DE"/>
    <w:rsid w:val="00FB3501"/>
    <w:rsid w:val="00FB3685"/>
    <w:rsid w:val="00FB39A8"/>
    <w:rsid w:val="00FB3F7F"/>
    <w:rsid w:val="00FB517E"/>
    <w:rsid w:val="00FB54FF"/>
    <w:rsid w:val="00FB56D2"/>
    <w:rsid w:val="00FB5B1A"/>
    <w:rsid w:val="00FB6047"/>
    <w:rsid w:val="00FB6636"/>
    <w:rsid w:val="00FB7466"/>
    <w:rsid w:val="00FC0694"/>
    <w:rsid w:val="00FC172A"/>
    <w:rsid w:val="00FC1AE5"/>
    <w:rsid w:val="00FC2BA4"/>
    <w:rsid w:val="00FC3DB0"/>
    <w:rsid w:val="00FC3E1B"/>
    <w:rsid w:val="00FC4F38"/>
    <w:rsid w:val="00FC5490"/>
    <w:rsid w:val="00FC62B1"/>
    <w:rsid w:val="00FC64C2"/>
    <w:rsid w:val="00FC76A4"/>
    <w:rsid w:val="00FD00B6"/>
    <w:rsid w:val="00FD0521"/>
    <w:rsid w:val="00FD0DBD"/>
    <w:rsid w:val="00FD0DDB"/>
    <w:rsid w:val="00FD129B"/>
    <w:rsid w:val="00FD1400"/>
    <w:rsid w:val="00FD1DCB"/>
    <w:rsid w:val="00FD1DEC"/>
    <w:rsid w:val="00FD27BA"/>
    <w:rsid w:val="00FD37B2"/>
    <w:rsid w:val="00FD4387"/>
    <w:rsid w:val="00FD4540"/>
    <w:rsid w:val="00FD57B0"/>
    <w:rsid w:val="00FD66B7"/>
    <w:rsid w:val="00FD7B57"/>
    <w:rsid w:val="00FE0A52"/>
    <w:rsid w:val="00FE301F"/>
    <w:rsid w:val="00FE528C"/>
    <w:rsid w:val="00FE6B10"/>
    <w:rsid w:val="00FE719D"/>
    <w:rsid w:val="00FE77B5"/>
    <w:rsid w:val="00FE7B5F"/>
    <w:rsid w:val="00FE7DC6"/>
    <w:rsid w:val="00FF02CD"/>
    <w:rsid w:val="00FF0BEB"/>
    <w:rsid w:val="00FF1160"/>
    <w:rsid w:val="00FF1314"/>
    <w:rsid w:val="00FF1326"/>
    <w:rsid w:val="00FF18C7"/>
    <w:rsid w:val="00FF2583"/>
    <w:rsid w:val="00FF261F"/>
    <w:rsid w:val="00FF2CAB"/>
    <w:rsid w:val="00FF3395"/>
    <w:rsid w:val="00FF3547"/>
    <w:rsid w:val="00FF3BDE"/>
    <w:rsid w:val="00FF4EB1"/>
    <w:rsid w:val="00FF7454"/>
    <w:rsid w:val="00FF791C"/>
    <w:rsid w:val="00FF7EB3"/>
    <w:rsid w:val="010018CE"/>
    <w:rsid w:val="01161381"/>
    <w:rsid w:val="01181DD9"/>
    <w:rsid w:val="014035EB"/>
    <w:rsid w:val="014B5F51"/>
    <w:rsid w:val="015B71E8"/>
    <w:rsid w:val="01611D93"/>
    <w:rsid w:val="01641635"/>
    <w:rsid w:val="017D31AE"/>
    <w:rsid w:val="01851694"/>
    <w:rsid w:val="01930571"/>
    <w:rsid w:val="019D147D"/>
    <w:rsid w:val="01A108DC"/>
    <w:rsid w:val="01BA5672"/>
    <w:rsid w:val="01BE3C8E"/>
    <w:rsid w:val="01CF1530"/>
    <w:rsid w:val="01D45D8F"/>
    <w:rsid w:val="01D73353"/>
    <w:rsid w:val="01D84888"/>
    <w:rsid w:val="01DA2E72"/>
    <w:rsid w:val="01DC539A"/>
    <w:rsid w:val="01EB2D0A"/>
    <w:rsid w:val="01EF3980"/>
    <w:rsid w:val="01F01BD2"/>
    <w:rsid w:val="01F571E8"/>
    <w:rsid w:val="0202112B"/>
    <w:rsid w:val="02072A78"/>
    <w:rsid w:val="02085203"/>
    <w:rsid w:val="020F5CF5"/>
    <w:rsid w:val="0224187C"/>
    <w:rsid w:val="02336B3B"/>
    <w:rsid w:val="023B0C37"/>
    <w:rsid w:val="0241242E"/>
    <w:rsid w:val="02421D02"/>
    <w:rsid w:val="0261487E"/>
    <w:rsid w:val="026F58EE"/>
    <w:rsid w:val="027503C9"/>
    <w:rsid w:val="027653AF"/>
    <w:rsid w:val="027F0426"/>
    <w:rsid w:val="02857A70"/>
    <w:rsid w:val="02864DCE"/>
    <w:rsid w:val="028975AE"/>
    <w:rsid w:val="028C1F3F"/>
    <w:rsid w:val="029E5443"/>
    <w:rsid w:val="02A0095B"/>
    <w:rsid w:val="02A06C41"/>
    <w:rsid w:val="02A1710F"/>
    <w:rsid w:val="02AE478C"/>
    <w:rsid w:val="02B240F8"/>
    <w:rsid w:val="02B37C3D"/>
    <w:rsid w:val="02B6136E"/>
    <w:rsid w:val="02B8347C"/>
    <w:rsid w:val="02C91C2D"/>
    <w:rsid w:val="02DF21EF"/>
    <w:rsid w:val="02EE1D5F"/>
    <w:rsid w:val="02F900F0"/>
    <w:rsid w:val="02FA5B72"/>
    <w:rsid w:val="03082909"/>
    <w:rsid w:val="0308368E"/>
    <w:rsid w:val="030E7907"/>
    <w:rsid w:val="03121B0D"/>
    <w:rsid w:val="03137677"/>
    <w:rsid w:val="0329503C"/>
    <w:rsid w:val="032E73A0"/>
    <w:rsid w:val="034659BC"/>
    <w:rsid w:val="034C7850"/>
    <w:rsid w:val="034E1A4E"/>
    <w:rsid w:val="034F2928"/>
    <w:rsid w:val="0356048A"/>
    <w:rsid w:val="03597303"/>
    <w:rsid w:val="035A307B"/>
    <w:rsid w:val="035A360D"/>
    <w:rsid w:val="035A48A6"/>
    <w:rsid w:val="03634626"/>
    <w:rsid w:val="036A7363"/>
    <w:rsid w:val="036B5288"/>
    <w:rsid w:val="036E20CA"/>
    <w:rsid w:val="036F653B"/>
    <w:rsid w:val="037554BB"/>
    <w:rsid w:val="037A1943"/>
    <w:rsid w:val="037E6BB8"/>
    <w:rsid w:val="037F787D"/>
    <w:rsid w:val="038469C2"/>
    <w:rsid w:val="038A3960"/>
    <w:rsid w:val="039667A9"/>
    <w:rsid w:val="0397607D"/>
    <w:rsid w:val="03A10E4B"/>
    <w:rsid w:val="03A85C19"/>
    <w:rsid w:val="03B56DB1"/>
    <w:rsid w:val="03BC7892"/>
    <w:rsid w:val="03CD73B1"/>
    <w:rsid w:val="03CE5F43"/>
    <w:rsid w:val="03CF34E3"/>
    <w:rsid w:val="03D80B70"/>
    <w:rsid w:val="03E017D2"/>
    <w:rsid w:val="03F81439"/>
    <w:rsid w:val="03F92894"/>
    <w:rsid w:val="04021749"/>
    <w:rsid w:val="04163446"/>
    <w:rsid w:val="041B653B"/>
    <w:rsid w:val="04264033"/>
    <w:rsid w:val="042D4C6A"/>
    <w:rsid w:val="042E7504"/>
    <w:rsid w:val="04447FB3"/>
    <w:rsid w:val="04460E6B"/>
    <w:rsid w:val="0462603D"/>
    <w:rsid w:val="04654DC4"/>
    <w:rsid w:val="046B0929"/>
    <w:rsid w:val="04716995"/>
    <w:rsid w:val="04870534"/>
    <w:rsid w:val="04914B02"/>
    <w:rsid w:val="04A36EB7"/>
    <w:rsid w:val="04AE7FF9"/>
    <w:rsid w:val="04BB1F4F"/>
    <w:rsid w:val="04CD1839"/>
    <w:rsid w:val="04E0470D"/>
    <w:rsid w:val="04E357F7"/>
    <w:rsid w:val="04EA2152"/>
    <w:rsid w:val="04EC501C"/>
    <w:rsid w:val="04ED4785"/>
    <w:rsid w:val="04F217BD"/>
    <w:rsid w:val="04F574FF"/>
    <w:rsid w:val="04F97836"/>
    <w:rsid w:val="050068DC"/>
    <w:rsid w:val="05017C52"/>
    <w:rsid w:val="051060E7"/>
    <w:rsid w:val="05382B9E"/>
    <w:rsid w:val="053C6EDC"/>
    <w:rsid w:val="05410997"/>
    <w:rsid w:val="054753B6"/>
    <w:rsid w:val="054A19C3"/>
    <w:rsid w:val="05504736"/>
    <w:rsid w:val="055C7B56"/>
    <w:rsid w:val="056D1C26"/>
    <w:rsid w:val="056D4888"/>
    <w:rsid w:val="05772978"/>
    <w:rsid w:val="05790131"/>
    <w:rsid w:val="058938A1"/>
    <w:rsid w:val="058D14E6"/>
    <w:rsid w:val="059B4E40"/>
    <w:rsid w:val="05AC50B9"/>
    <w:rsid w:val="05AF3E04"/>
    <w:rsid w:val="05BB3177"/>
    <w:rsid w:val="05C36382"/>
    <w:rsid w:val="05C374EE"/>
    <w:rsid w:val="05D8381C"/>
    <w:rsid w:val="05DA35BA"/>
    <w:rsid w:val="05DE61E6"/>
    <w:rsid w:val="05E17EE5"/>
    <w:rsid w:val="05E30AB8"/>
    <w:rsid w:val="05E53ECA"/>
    <w:rsid w:val="05F544D3"/>
    <w:rsid w:val="05F60ADE"/>
    <w:rsid w:val="05FC035D"/>
    <w:rsid w:val="05FF0490"/>
    <w:rsid w:val="060C3ECA"/>
    <w:rsid w:val="060E11DB"/>
    <w:rsid w:val="061C48FA"/>
    <w:rsid w:val="061D2A41"/>
    <w:rsid w:val="06224324"/>
    <w:rsid w:val="06382740"/>
    <w:rsid w:val="063F547A"/>
    <w:rsid w:val="064321EB"/>
    <w:rsid w:val="06441DE0"/>
    <w:rsid w:val="06514C09"/>
    <w:rsid w:val="065331DA"/>
    <w:rsid w:val="065C7F61"/>
    <w:rsid w:val="065E6A20"/>
    <w:rsid w:val="066237F9"/>
    <w:rsid w:val="066279D4"/>
    <w:rsid w:val="0664493D"/>
    <w:rsid w:val="066E55CF"/>
    <w:rsid w:val="068A254B"/>
    <w:rsid w:val="068E7B23"/>
    <w:rsid w:val="068F09AB"/>
    <w:rsid w:val="06911AC5"/>
    <w:rsid w:val="069D376A"/>
    <w:rsid w:val="06A35673"/>
    <w:rsid w:val="06AC3FE2"/>
    <w:rsid w:val="06AD3A04"/>
    <w:rsid w:val="06BB5876"/>
    <w:rsid w:val="06C35752"/>
    <w:rsid w:val="06D505D2"/>
    <w:rsid w:val="06DC2744"/>
    <w:rsid w:val="06DF2215"/>
    <w:rsid w:val="06E23AB3"/>
    <w:rsid w:val="06ED5344"/>
    <w:rsid w:val="06F53E3D"/>
    <w:rsid w:val="06F6179A"/>
    <w:rsid w:val="07031F5F"/>
    <w:rsid w:val="07081F73"/>
    <w:rsid w:val="070C181F"/>
    <w:rsid w:val="07195F0C"/>
    <w:rsid w:val="071D4D23"/>
    <w:rsid w:val="07246E25"/>
    <w:rsid w:val="072B0FB7"/>
    <w:rsid w:val="07311F4D"/>
    <w:rsid w:val="07325E00"/>
    <w:rsid w:val="07351E35"/>
    <w:rsid w:val="073A4B0E"/>
    <w:rsid w:val="074E358D"/>
    <w:rsid w:val="0755664B"/>
    <w:rsid w:val="0757640C"/>
    <w:rsid w:val="0759609B"/>
    <w:rsid w:val="075B7F9A"/>
    <w:rsid w:val="07627EB4"/>
    <w:rsid w:val="076538AC"/>
    <w:rsid w:val="07667F1E"/>
    <w:rsid w:val="076B1CFB"/>
    <w:rsid w:val="0774295E"/>
    <w:rsid w:val="07771AE7"/>
    <w:rsid w:val="078311DD"/>
    <w:rsid w:val="078D3072"/>
    <w:rsid w:val="07940115"/>
    <w:rsid w:val="079E43F1"/>
    <w:rsid w:val="07AA20A0"/>
    <w:rsid w:val="07AB20F7"/>
    <w:rsid w:val="07D00C50"/>
    <w:rsid w:val="07ED4390"/>
    <w:rsid w:val="07EF6488"/>
    <w:rsid w:val="07F910B5"/>
    <w:rsid w:val="07FD6DF7"/>
    <w:rsid w:val="08042CA2"/>
    <w:rsid w:val="080E48C5"/>
    <w:rsid w:val="081A2D68"/>
    <w:rsid w:val="081C165C"/>
    <w:rsid w:val="082D7F7E"/>
    <w:rsid w:val="08326375"/>
    <w:rsid w:val="08534F1E"/>
    <w:rsid w:val="085602B5"/>
    <w:rsid w:val="085C0BFC"/>
    <w:rsid w:val="085F0FBF"/>
    <w:rsid w:val="086C7996"/>
    <w:rsid w:val="087F53D8"/>
    <w:rsid w:val="089B1EDA"/>
    <w:rsid w:val="08A118B5"/>
    <w:rsid w:val="08A54E0A"/>
    <w:rsid w:val="08BA69F7"/>
    <w:rsid w:val="08BB5CE2"/>
    <w:rsid w:val="08C448BE"/>
    <w:rsid w:val="08D631A4"/>
    <w:rsid w:val="08DB3B5A"/>
    <w:rsid w:val="08DF02AB"/>
    <w:rsid w:val="08E36614"/>
    <w:rsid w:val="08E8202A"/>
    <w:rsid w:val="08F74842"/>
    <w:rsid w:val="08F85B28"/>
    <w:rsid w:val="08FC7ABC"/>
    <w:rsid w:val="090076D0"/>
    <w:rsid w:val="09023F99"/>
    <w:rsid w:val="090B6D66"/>
    <w:rsid w:val="091C7130"/>
    <w:rsid w:val="091D0537"/>
    <w:rsid w:val="09213835"/>
    <w:rsid w:val="09225DD5"/>
    <w:rsid w:val="09276A6D"/>
    <w:rsid w:val="093648A8"/>
    <w:rsid w:val="093916BA"/>
    <w:rsid w:val="0946657C"/>
    <w:rsid w:val="0952160E"/>
    <w:rsid w:val="09597809"/>
    <w:rsid w:val="095C0DC4"/>
    <w:rsid w:val="095F390F"/>
    <w:rsid w:val="09630EDC"/>
    <w:rsid w:val="096E162E"/>
    <w:rsid w:val="0971670A"/>
    <w:rsid w:val="097F55EA"/>
    <w:rsid w:val="09810F23"/>
    <w:rsid w:val="098C48BA"/>
    <w:rsid w:val="0992531D"/>
    <w:rsid w:val="09A621FE"/>
    <w:rsid w:val="09AA7B69"/>
    <w:rsid w:val="09AD779C"/>
    <w:rsid w:val="09D467AF"/>
    <w:rsid w:val="09DF48E1"/>
    <w:rsid w:val="09E35B78"/>
    <w:rsid w:val="09E87633"/>
    <w:rsid w:val="09F24920"/>
    <w:rsid w:val="09F50D92"/>
    <w:rsid w:val="09FC40F0"/>
    <w:rsid w:val="0A012384"/>
    <w:rsid w:val="0A037FC9"/>
    <w:rsid w:val="0A073F5D"/>
    <w:rsid w:val="0A1200CE"/>
    <w:rsid w:val="0A140428"/>
    <w:rsid w:val="0A152D56"/>
    <w:rsid w:val="0A2148F3"/>
    <w:rsid w:val="0A4679E7"/>
    <w:rsid w:val="0A490536"/>
    <w:rsid w:val="0A5078F9"/>
    <w:rsid w:val="0A595E3B"/>
    <w:rsid w:val="0A671DCB"/>
    <w:rsid w:val="0A6A1B79"/>
    <w:rsid w:val="0A78588D"/>
    <w:rsid w:val="0A8235E3"/>
    <w:rsid w:val="0A921402"/>
    <w:rsid w:val="0A9B5C26"/>
    <w:rsid w:val="0AA97A8C"/>
    <w:rsid w:val="0AB22B63"/>
    <w:rsid w:val="0AB63A17"/>
    <w:rsid w:val="0AC47CD7"/>
    <w:rsid w:val="0AC7549A"/>
    <w:rsid w:val="0AD45840"/>
    <w:rsid w:val="0AD508F4"/>
    <w:rsid w:val="0ADB7197"/>
    <w:rsid w:val="0AE12395"/>
    <w:rsid w:val="0AE251D4"/>
    <w:rsid w:val="0AEC39F9"/>
    <w:rsid w:val="0AEF28D0"/>
    <w:rsid w:val="0AF40E05"/>
    <w:rsid w:val="0AFD1FFD"/>
    <w:rsid w:val="0B00615D"/>
    <w:rsid w:val="0B083329"/>
    <w:rsid w:val="0B0B5EA1"/>
    <w:rsid w:val="0B0D0CF5"/>
    <w:rsid w:val="0B0F75B1"/>
    <w:rsid w:val="0B1526A9"/>
    <w:rsid w:val="0B270E5D"/>
    <w:rsid w:val="0B45008E"/>
    <w:rsid w:val="0B546D35"/>
    <w:rsid w:val="0B5B1AAE"/>
    <w:rsid w:val="0B6B7F48"/>
    <w:rsid w:val="0B7329D8"/>
    <w:rsid w:val="0B75067A"/>
    <w:rsid w:val="0B822967"/>
    <w:rsid w:val="0B826F71"/>
    <w:rsid w:val="0B845139"/>
    <w:rsid w:val="0B87399B"/>
    <w:rsid w:val="0B8B0032"/>
    <w:rsid w:val="0B9A1E6F"/>
    <w:rsid w:val="0B9A670B"/>
    <w:rsid w:val="0BA53A2D"/>
    <w:rsid w:val="0BA65ED5"/>
    <w:rsid w:val="0BBF1DEA"/>
    <w:rsid w:val="0BC570D4"/>
    <w:rsid w:val="0BCE727D"/>
    <w:rsid w:val="0BD30A22"/>
    <w:rsid w:val="0BD31788"/>
    <w:rsid w:val="0BD5503F"/>
    <w:rsid w:val="0BD81707"/>
    <w:rsid w:val="0BDA6F9B"/>
    <w:rsid w:val="0BE34556"/>
    <w:rsid w:val="0BE51091"/>
    <w:rsid w:val="0BF16EB1"/>
    <w:rsid w:val="0C004E10"/>
    <w:rsid w:val="0C1C4FDC"/>
    <w:rsid w:val="0C277EFD"/>
    <w:rsid w:val="0C372BB3"/>
    <w:rsid w:val="0C3D6637"/>
    <w:rsid w:val="0C5C04B1"/>
    <w:rsid w:val="0C5D0644"/>
    <w:rsid w:val="0C6A76ED"/>
    <w:rsid w:val="0C6E02C3"/>
    <w:rsid w:val="0C811890"/>
    <w:rsid w:val="0C96783C"/>
    <w:rsid w:val="0CA6624D"/>
    <w:rsid w:val="0CAD0FDF"/>
    <w:rsid w:val="0CCD48BE"/>
    <w:rsid w:val="0CCF6888"/>
    <w:rsid w:val="0CDD7C7C"/>
    <w:rsid w:val="0CE02843"/>
    <w:rsid w:val="0CE16828"/>
    <w:rsid w:val="0CE31935"/>
    <w:rsid w:val="0CEE4F60"/>
    <w:rsid w:val="0CEF6BD7"/>
    <w:rsid w:val="0CF343DB"/>
    <w:rsid w:val="0CF3634C"/>
    <w:rsid w:val="0CF705BD"/>
    <w:rsid w:val="0CF76D88"/>
    <w:rsid w:val="0CF832CA"/>
    <w:rsid w:val="0CFD6C5C"/>
    <w:rsid w:val="0D015058"/>
    <w:rsid w:val="0D0429D6"/>
    <w:rsid w:val="0D0520DE"/>
    <w:rsid w:val="0D074FED"/>
    <w:rsid w:val="0D0F5C7C"/>
    <w:rsid w:val="0D2216EC"/>
    <w:rsid w:val="0D242282"/>
    <w:rsid w:val="0D2546FA"/>
    <w:rsid w:val="0D256B12"/>
    <w:rsid w:val="0D29243C"/>
    <w:rsid w:val="0D2C7836"/>
    <w:rsid w:val="0D2D33FB"/>
    <w:rsid w:val="0D3A63F7"/>
    <w:rsid w:val="0D3F04B7"/>
    <w:rsid w:val="0D4B47DC"/>
    <w:rsid w:val="0D4E28CF"/>
    <w:rsid w:val="0D620272"/>
    <w:rsid w:val="0D66199D"/>
    <w:rsid w:val="0D6A7E67"/>
    <w:rsid w:val="0D6B5490"/>
    <w:rsid w:val="0D703943"/>
    <w:rsid w:val="0D7511DD"/>
    <w:rsid w:val="0D755621"/>
    <w:rsid w:val="0D8164E3"/>
    <w:rsid w:val="0D842293"/>
    <w:rsid w:val="0D8544BC"/>
    <w:rsid w:val="0D874243"/>
    <w:rsid w:val="0DA65D93"/>
    <w:rsid w:val="0DC566A4"/>
    <w:rsid w:val="0DD81429"/>
    <w:rsid w:val="0DE55ABA"/>
    <w:rsid w:val="0DEA3D5B"/>
    <w:rsid w:val="0DF6420E"/>
    <w:rsid w:val="0DFA331F"/>
    <w:rsid w:val="0E0F3277"/>
    <w:rsid w:val="0E160A2D"/>
    <w:rsid w:val="0E2600AF"/>
    <w:rsid w:val="0E2F5167"/>
    <w:rsid w:val="0E302B72"/>
    <w:rsid w:val="0E344BF5"/>
    <w:rsid w:val="0E37455A"/>
    <w:rsid w:val="0E39045D"/>
    <w:rsid w:val="0E411871"/>
    <w:rsid w:val="0E4312DC"/>
    <w:rsid w:val="0E4759D0"/>
    <w:rsid w:val="0E4E0B87"/>
    <w:rsid w:val="0E515952"/>
    <w:rsid w:val="0E571FCE"/>
    <w:rsid w:val="0E5D7B1D"/>
    <w:rsid w:val="0E5E7EC3"/>
    <w:rsid w:val="0E6C41AF"/>
    <w:rsid w:val="0E860CE1"/>
    <w:rsid w:val="0E8B3DC2"/>
    <w:rsid w:val="0E8D0846"/>
    <w:rsid w:val="0E8F4991"/>
    <w:rsid w:val="0E990930"/>
    <w:rsid w:val="0EA12B90"/>
    <w:rsid w:val="0EA50E1D"/>
    <w:rsid w:val="0EA53D44"/>
    <w:rsid w:val="0EC60290"/>
    <w:rsid w:val="0EC87A33"/>
    <w:rsid w:val="0ECE329B"/>
    <w:rsid w:val="0EE35454"/>
    <w:rsid w:val="0EE53E88"/>
    <w:rsid w:val="0EFA2A3F"/>
    <w:rsid w:val="0F023FFF"/>
    <w:rsid w:val="0F113EB6"/>
    <w:rsid w:val="0F116CAF"/>
    <w:rsid w:val="0F1326F9"/>
    <w:rsid w:val="0F2354BA"/>
    <w:rsid w:val="0F3330FE"/>
    <w:rsid w:val="0F3B1FB3"/>
    <w:rsid w:val="0F3F5F11"/>
    <w:rsid w:val="0F476BA1"/>
    <w:rsid w:val="0F4B602A"/>
    <w:rsid w:val="0F566DED"/>
    <w:rsid w:val="0F615C2F"/>
    <w:rsid w:val="0F621C35"/>
    <w:rsid w:val="0F64150A"/>
    <w:rsid w:val="0F6458A6"/>
    <w:rsid w:val="0F6A005A"/>
    <w:rsid w:val="0F6D1704"/>
    <w:rsid w:val="0F702753"/>
    <w:rsid w:val="0F736CB4"/>
    <w:rsid w:val="0F75527C"/>
    <w:rsid w:val="0F825E34"/>
    <w:rsid w:val="0F826CDC"/>
    <w:rsid w:val="0F8C146F"/>
    <w:rsid w:val="0FA83CF6"/>
    <w:rsid w:val="0FAB538A"/>
    <w:rsid w:val="0FAC4C5F"/>
    <w:rsid w:val="0FB308F7"/>
    <w:rsid w:val="0FB7012C"/>
    <w:rsid w:val="0FBA4303"/>
    <w:rsid w:val="0FC15199"/>
    <w:rsid w:val="0FCB2FF8"/>
    <w:rsid w:val="0FCE15E5"/>
    <w:rsid w:val="0FCF1F7D"/>
    <w:rsid w:val="0FD10D03"/>
    <w:rsid w:val="0FD416B1"/>
    <w:rsid w:val="0FD541B5"/>
    <w:rsid w:val="0FDC3811"/>
    <w:rsid w:val="0FF46D31"/>
    <w:rsid w:val="10061FFB"/>
    <w:rsid w:val="100D434D"/>
    <w:rsid w:val="100D7863"/>
    <w:rsid w:val="101A2BA5"/>
    <w:rsid w:val="101C7E7E"/>
    <w:rsid w:val="103C7780"/>
    <w:rsid w:val="10606175"/>
    <w:rsid w:val="10637A13"/>
    <w:rsid w:val="10667503"/>
    <w:rsid w:val="1071082F"/>
    <w:rsid w:val="1074577C"/>
    <w:rsid w:val="107A2416"/>
    <w:rsid w:val="10817E99"/>
    <w:rsid w:val="1082318D"/>
    <w:rsid w:val="10A94BB8"/>
    <w:rsid w:val="10AB2BE5"/>
    <w:rsid w:val="10B93AD7"/>
    <w:rsid w:val="10BE25F8"/>
    <w:rsid w:val="10C009C2"/>
    <w:rsid w:val="10C26667"/>
    <w:rsid w:val="10D46BEA"/>
    <w:rsid w:val="10E00821"/>
    <w:rsid w:val="10E0563D"/>
    <w:rsid w:val="10E365C2"/>
    <w:rsid w:val="10E67546"/>
    <w:rsid w:val="10FD1C16"/>
    <w:rsid w:val="10FD7E68"/>
    <w:rsid w:val="110F1949"/>
    <w:rsid w:val="1110186D"/>
    <w:rsid w:val="11102465"/>
    <w:rsid w:val="11286E77"/>
    <w:rsid w:val="11347E65"/>
    <w:rsid w:val="114B6706"/>
    <w:rsid w:val="114D632E"/>
    <w:rsid w:val="11602B72"/>
    <w:rsid w:val="116A55A1"/>
    <w:rsid w:val="116D6526"/>
    <w:rsid w:val="116F5173"/>
    <w:rsid w:val="117513B4"/>
    <w:rsid w:val="11755507"/>
    <w:rsid w:val="117B6FDE"/>
    <w:rsid w:val="117F2E0D"/>
    <w:rsid w:val="11875983"/>
    <w:rsid w:val="118A0054"/>
    <w:rsid w:val="118D1FB4"/>
    <w:rsid w:val="119079DF"/>
    <w:rsid w:val="119107BF"/>
    <w:rsid w:val="11AC41C2"/>
    <w:rsid w:val="11B524F0"/>
    <w:rsid w:val="11C51A51"/>
    <w:rsid w:val="11D4749D"/>
    <w:rsid w:val="11E83C75"/>
    <w:rsid w:val="11FA4BEA"/>
    <w:rsid w:val="11FC1ECD"/>
    <w:rsid w:val="120D5505"/>
    <w:rsid w:val="121360EF"/>
    <w:rsid w:val="12180B4A"/>
    <w:rsid w:val="121F5966"/>
    <w:rsid w:val="122A1702"/>
    <w:rsid w:val="122D0B62"/>
    <w:rsid w:val="123A23F6"/>
    <w:rsid w:val="123E2FFB"/>
    <w:rsid w:val="123F4E2E"/>
    <w:rsid w:val="12411D81"/>
    <w:rsid w:val="124670B3"/>
    <w:rsid w:val="12604832"/>
    <w:rsid w:val="12604834"/>
    <w:rsid w:val="12611808"/>
    <w:rsid w:val="12696E37"/>
    <w:rsid w:val="126D6197"/>
    <w:rsid w:val="12724A88"/>
    <w:rsid w:val="1283614B"/>
    <w:rsid w:val="128B0EFC"/>
    <w:rsid w:val="128F7902"/>
    <w:rsid w:val="129413B7"/>
    <w:rsid w:val="1298498E"/>
    <w:rsid w:val="12A67527"/>
    <w:rsid w:val="12B87441"/>
    <w:rsid w:val="12BE716A"/>
    <w:rsid w:val="12C04C82"/>
    <w:rsid w:val="12C07B00"/>
    <w:rsid w:val="12CB18A0"/>
    <w:rsid w:val="12D62275"/>
    <w:rsid w:val="12D76496"/>
    <w:rsid w:val="12E22503"/>
    <w:rsid w:val="12F21BA5"/>
    <w:rsid w:val="12F72695"/>
    <w:rsid w:val="13062056"/>
    <w:rsid w:val="130A23C8"/>
    <w:rsid w:val="130F1CC1"/>
    <w:rsid w:val="13140156"/>
    <w:rsid w:val="13175E40"/>
    <w:rsid w:val="131B4645"/>
    <w:rsid w:val="131D659F"/>
    <w:rsid w:val="13205B09"/>
    <w:rsid w:val="13396A5E"/>
    <w:rsid w:val="1346162F"/>
    <w:rsid w:val="13465DAC"/>
    <w:rsid w:val="13484B32"/>
    <w:rsid w:val="134947B2"/>
    <w:rsid w:val="134A76B8"/>
    <w:rsid w:val="134B408F"/>
    <w:rsid w:val="13584016"/>
    <w:rsid w:val="136564CA"/>
    <w:rsid w:val="1379754E"/>
    <w:rsid w:val="139A7B4E"/>
    <w:rsid w:val="139D77BD"/>
    <w:rsid w:val="13A938D2"/>
    <w:rsid w:val="13AB5B4F"/>
    <w:rsid w:val="13B03DB3"/>
    <w:rsid w:val="13B30CB1"/>
    <w:rsid w:val="13C37E0F"/>
    <w:rsid w:val="13D36F63"/>
    <w:rsid w:val="13D80718"/>
    <w:rsid w:val="13F41A5D"/>
    <w:rsid w:val="13F856F3"/>
    <w:rsid w:val="13FC4AFF"/>
    <w:rsid w:val="140011FF"/>
    <w:rsid w:val="140B1C7C"/>
    <w:rsid w:val="140D5ACB"/>
    <w:rsid w:val="14101C60"/>
    <w:rsid w:val="14147860"/>
    <w:rsid w:val="14180B15"/>
    <w:rsid w:val="141D2158"/>
    <w:rsid w:val="142640A0"/>
    <w:rsid w:val="142E20E6"/>
    <w:rsid w:val="1434150D"/>
    <w:rsid w:val="143D5AD8"/>
    <w:rsid w:val="144114C7"/>
    <w:rsid w:val="14462E4D"/>
    <w:rsid w:val="144E5EA3"/>
    <w:rsid w:val="1457788F"/>
    <w:rsid w:val="145923F1"/>
    <w:rsid w:val="146F0633"/>
    <w:rsid w:val="14741DE5"/>
    <w:rsid w:val="14831A1F"/>
    <w:rsid w:val="14900FF3"/>
    <w:rsid w:val="14946D53"/>
    <w:rsid w:val="14961874"/>
    <w:rsid w:val="14A04D63"/>
    <w:rsid w:val="14A511EB"/>
    <w:rsid w:val="14BC0362"/>
    <w:rsid w:val="14E06A3C"/>
    <w:rsid w:val="14F645EC"/>
    <w:rsid w:val="14F72B52"/>
    <w:rsid w:val="150B17BD"/>
    <w:rsid w:val="150F26CC"/>
    <w:rsid w:val="151352B3"/>
    <w:rsid w:val="15202377"/>
    <w:rsid w:val="15243815"/>
    <w:rsid w:val="152C5229"/>
    <w:rsid w:val="15302182"/>
    <w:rsid w:val="153F2DB2"/>
    <w:rsid w:val="15473F56"/>
    <w:rsid w:val="1559294C"/>
    <w:rsid w:val="155A5817"/>
    <w:rsid w:val="15650BB8"/>
    <w:rsid w:val="15695ACC"/>
    <w:rsid w:val="156B0D20"/>
    <w:rsid w:val="156C4AD1"/>
    <w:rsid w:val="15774DC7"/>
    <w:rsid w:val="157D48DE"/>
    <w:rsid w:val="15864BF7"/>
    <w:rsid w:val="15881228"/>
    <w:rsid w:val="158B01E4"/>
    <w:rsid w:val="15910B7E"/>
    <w:rsid w:val="15973CBB"/>
    <w:rsid w:val="159A569D"/>
    <w:rsid w:val="15A52832"/>
    <w:rsid w:val="15A543F6"/>
    <w:rsid w:val="15A63E23"/>
    <w:rsid w:val="15A8661F"/>
    <w:rsid w:val="15AB7BBF"/>
    <w:rsid w:val="15B41FA8"/>
    <w:rsid w:val="15B44C2C"/>
    <w:rsid w:val="15BE749A"/>
    <w:rsid w:val="15C23F41"/>
    <w:rsid w:val="15C40BB9"/>
    <w:rsid w:val="15C47445"/>
    <w:rsid w:val="15D243FC"/>
    <w:rsid w:val="15E07C15"/>
    <w:rsid w:val="15E31EF8"/>
    <w:rsid w:val="15F63117"/>
    <w:rsid w:val="15F73C82"/>
    <w:rsid w:val="160A4336"/>
    <w:rsid w:val="160E6673"/>
    <w:rsid w:val="161D68B6"/>
    <w:rsid w:val="161F409A"/>
    <w:rsid w:val="162639BD"/>
    <w:rsid w:val="16371982"/>
    <w:rsid w:val="163A2906"/>
    <w:rsid w:val="163C5679"/>
    <w:rsid w:val="163E130D"/>
    <w:rsid w:val="16461969"/>
    <w:rsid w:val="166A6898"/>
    <w:rsid w:val="168453DE"/>
    <w:rsid w:val="1689179C"/>
    <w:rsid w:val="16916965"/>
    <w:rsid w:val="16A67A37"/>
    <w:rsid w:val="16B0768E"/>
    <w:rsid w:val="16BA66D8"/>
    <w:rsid w:val="16C40F1D"/>
    <w:rsid w:val="16C64858"/>
    <w:rsid w:val="16CB1563"/>
    <w:rsid w:val="16CB43F4"/>
    <w:rsid w:val="16CD47FE"/>
    <w:rsid w:val="16DE6045"/>
    <w:rsid w:val="16E06917"/>
    <w:rsid w:val="16E53537"/>
    <w:rsid w:val="16EB0762"/>
    <w:rsid w:val="16FE00C6"/>
    <w:rsid w:val="16FE0D17"/>
    <w:rsid w:val="17011D34"/>
    <w:rsid w:val="1708651B"/>
    <w:rsid w:val="170A508C"/>
    <w:rsid w:val="171A4BA4"/>
    <w:rsid w:val="171C7676"/>
    <w:rsid w:val="172779EC"/>
    <w:rsid w:val="1729524F"/>
    <w:rsid w:val="172B1AAA"/>
    <w:rsid w:val="17312619"/>
    <w:rsid w:val="173D5F29"/>
    <w:rsid w:val="1745083A"/>
    <w:rsid w:val="17485A33"/>
    <w:rsid w:val="1754216A"/>
    <w:rsid w:val="175C51BC"/>
    <w:rsid w:val="175E3962"/>
    <w:rsid w:val="17681825"/>
    <w:rsid w:val="176C18A3"/>
    <w:rsid w:val="17776A8B"/>
    <w:rsid w:val="177D3B7D"/>
    <w:rsid w:val="177E15D6"/>
    <w:rsid w:val="17AF2468"/>
    <w:rsid w:val="17B20944"/>
    <w:rsid w:val="17BC155D"/>
    <w:rsid w:val="17BD2A82"/>
    <w:rsid w:val="17C349C7"/>
    <w:rsid w:val="17C65910"/>
    <w:rsid w:val="17C85590"/>
    <w:rsid w:val="17CC22DD"/>
    <w:rsid w:val="17CF3D95"/>
    <w:rsid w:val="17CF5975"/>
    <w:rsid w:val="17D365AD"/>
    <w:rsid w:val="17DC5EA9"/>
    <w:rsid w:val="17E46D4F"/>
    <w:rsid w:val="17E470BF"/>
    <w:rsid w:val="17EA27C8"/>
    <w:rsid w:val="18024339"/>
    <w:rsid w:val="180C6BDB"/>
    <w:rsid w:val="18143491"/>
    <w:rsid w:val="18187B97"/>
    <w:rsid w:val="18332E0E"/>
    <w:rsid w:val="183710C7"/>
    <w:rsid w:val="18553EFB"/>
    <w:rsid w:val="18573B7A"/>
    <w:rsid w:val="186A2B9B"/>
    <w:rsid w:val="18700536"/>
    <w:rsid w:val="18775734"/>
    <w:rsid w:val="187F2B40"/>
    <w:rsid w:val="18856328"/>
    <w:rsid w:val="18866995"/>
    <w:rsid w:val="18986835"/>
    <w:rsid w:val="189F153D"/>
    <w:rsid w:val="18A6291F"/>
    <w:rsid w:val="18AB2207"/>
    <w:rsid w:val="18AC668D"/>
    <w:rsid w:val="18B105F4"/>
    <w:rsid w:val="18C253A6"/>
    <w:rsid w:val="18CB31CF"/>
    <w:rsid w:val="18D314AE"/>
    <w:rsid w:val="18DA5F66"/>
    <w:rsid w:val="18EA390D"/>
    <w:rsid w:val="18EC14F0"/>
    <w:rsid w:val="18ED5373"/>
    <w:rsid w:val="19037516"/>
    <w:rsid w:val="19053D5D"/>
    <w:rsid w:val="190B4AAB"/>
    <w:rsid w:val="190C23A4"/>
    <w:rsid w:val="19151A93"/>
    <w:rsid w:val="192148C8"/>
    <w:rsid w:val="1927785E"/>
    <w:rsid w:val="19293D5C"/>
    <w:rsid w:val="192E3DA6"/>
    <w:rsid w:val="192F4830"/>
    <w:rsid w:val="19412BFE"/>
    <w:rsid w:val="19441605"/>
    <w:rsid w:val="19453803"/>
    <w:rsid w:val="194B7296"/>
    <w:rsid w:val="195720DF"/>
    <w:rsid w:val="1965472C"/>
    <w:rsid w:val="1968518A"/>
    <w:rsid w:val="198274E1"/>
    <w:rsid w:val="198E4EFC"/>
    <w:rsid w:val="198F229E"/>
    <w:rsid w:val="19A76BC3"/>
    <w:rsid w:val="19AD282F"/>
    <w:rsid w:val="19AF1F1B"/>
    <w:rsid w:val="19B802BF"/>
    <w:rsid w:val="19BA24E8"/>
    <w:rsid w:val="19BB6B1D"/>
    <w:rsid w:val="19BD4746"/>
    <w:rsid w:val="19CA72DF"/>
    <w:rsid w:val="19D11434"/>
    <w:rsid w:val="19D7484B"/>
    <w:rsid w:val="19E044B8"/>
    <w:rsid w:val="1A081343"/>
    <w:rsid w:val="1A0B5B4A"/>
    <w:rsid w:val="1A1865A8"/>
    <w:rsid w:val="1A400DC5"/>
    <w:rsid w:val="1A406F1E"/>
    <w:rsid w:val="1A420699"/>
    <w:rsid w:val="1A4D0094"/>
    <w:rsid w:val="1A50308A"/>
    <w:rsid w:val="1A556618"/>
    <w:rsid w:val="1A5F2D7D"/>
    <w:rsid w:val="1A681E40"/>
    <w:rsid w:val="1A7265D3"/>
    <w:rsid w:val="1A765CC7"/>
    <w:rsid w:val="1A7D5B75"/>
    <w:rsid w:val="1A7E62DA"/>
    <w:rsid w:val="1A7F083F"/>
    <w:rsid w:val="1A86266A"/>
    <w:rsid w:val="1A880997"/>
    <w:rsid w:val="1A93570A"/>
    <w:rsid w:val="1A961EAB"/>
    <w:rsid w:val="1AA438C3"/>
    <w:rsid w:val="1AB62E35"/>
    <w:rsid w:val="1AB958E3"/>
    <w:rsid w:val="1AC2439C"/>
    <w:rsid w:val="1AD05732"/>
    <w:rsid w:val="1AD75AC7"/>
    <w:rsid w:val="1AE74F30"/>
    <w:rsid w:val="1AEE6CA4"/>
    <w:rsid w:val="1AF112C0"/>
    <w:rsid w:val="1AF241FD"/>
    <w:rsid w:val="1AF95B35"/>
    <w:rsid w:val="1AFA79D1"/>
    <w:rsid w:val="1AFE47B7"/>
    <w:rsid w:val="1B010554"/>
    <w:rsid w:val="1B0A2006"/>
    <w:rsid w:val="1B1068CC"/>
    <w:rsid w:val="1B1117F5"/>
    <w:rsid w:val="1B1C6F45"/>
    <w:rsid w:val="1B1D07A3"/>
    <w:rsid w:val="1B2B1202"/>
    <w:rsid w:val="1B344713"/>
    <w:rsid w:val="1B3B7456"/>
    <w:rsid w:val="1B3D7E07"/>
    <w:rsid w:val="1B3F6702"/>
    <w:rsid w:val="1B48552F"/>
    <w:rsid w:val="1B4C29A5"/>
    <w:rsid w:val="1B530684"/>
    <w:rsid w:val="1B5A4718"/>
    <w:rsid w:val="1B5E3E72"/>
    <w:rsid w:val="1B61318B"/>
    <w:rsid w:val="1B777889"/>
    <w:rsid w:val="1B7C407F"/>
    <w:rsid w:val="1B7E5D06"/>
    <w:rsid w:val="1B8076CB"/>
    <w:rsid w:val="1B966DB4"/>
    <w:rsid w:val="1B994819"/>
    <w:rsid w:val="1B9E44CE"/>
    <w:rsid w:val="1B9F7CA6"/>
    <w:rsid w:val="1BA323E9"/>
    <w:rsid w:val="1BAD33E7"/>
    <w:rsid w:val="1BB46657"/>
    <w:rsid w:val="1BC81906"/>
    <w:rsid w:val="1BCB46BE"/>
    <w:rsid w:val="1BCD6688"/>
    <w:rsid w:val="1BDD1DDE"/>
    <w:rsid w:val="1BE3196F"/>
    <w:rsid w:val="1BEA3B45"/>
    <w:rsid w:val="1BF41E67"/>
    <w:rsid w:val="1C077205"/>
    <w:rsid w:val="1C0876C1"/>
    <w:rsid w:val="1C11163B"/>
    <w:rsid w:val="1C116575"/>
    <w:rsid w:val="1C163621"/>
    <w:rsid w:val="1C177904"/>
    <w:rsid w:val="1C1918CE"/>
    <w:rsid w:val="1C1B3898"/>
    <w:rsid w:val="1C212CA9"/>
    <w:rsid w:val="1C2344FA"/>
    <w:rsid w:val="1C26713F"/>
    <w:rsid w:val="1C3715D7"/>
    <w:rsid w:val="1C3B7A96"/>
    <w:rsid w:val="1C3D4A2E"/>
    <w:rsid w:val="1C3E4A09"/>
    <w:rsid w:val="1C4B0278"/>
    <w:rsid w:val="1C4D37C9"/>
    <w:rsid w:val="1C5A0A58"/>
    <w:rsid w:val="1C666884"/>
    <w:rsid w:val="1C695629"/>
    <w:rsid w:val="1C716FA4"/>
    <w:rsid w:val="1C756EBE"/>
    <w:rsid w:val="1C7603E0"/>
    <w:rsid w:val="1C7D5B40"/>
    <w:rsid w:val="1C80524F"/>
    <w:rsid w:val="1C883072"/>
    <w:rsid w:val="1C884FC2"/>
    <w:rsid w:val="1CA03585"/>
    <w:rsid w:val="1CA7072B"/>
    <w:rsid w:val="1CB731AA"/>
    <w:rsid w:val="1CC7757C"/>
    <w:rsid w:val="1CCD21A9"/>
    <w:rsid w:val="1CDF206E"/>
    <w:rsid w:val="1CE11716"/>
    <w:rsid w:val="1CFE5B1D"/>
    <w:rsid w:val="1D03740A"/>
    <w:rsid w:val="1D075501"/>
    <w:rsid w:val="1D1744C9"/>
    <w:rsid w:val="1D26064A"/>
    <w:rsid w:val="1D2912B5"/>
    <w:rsid w:val="1D2A6D3C"/>
    <w:rsid w:val="1D2B3169"/>
    <w:rsid w:val="1D3058D7"/>
    <w:rsid w:val="1D3764AF"/>
    <w:rsid w:val="1D404361"/>
    <w:rsid w:val="1D441B15"/>
    <w:rsid w:val="1D4576F2"/>
    <w:rsid w:val="1D4823EC"/>
    <w:rsid w:val="1D4F1A4B"/>
    <w:rsid w:val="1D4F4622"/>
    <w:rsid w:val="1D5133A9"/>
    <w:rsid w:val="1D525431"/>
    <w:rsid w:val="1D5C71BB"/>
    <w:rsid w:val="1D601FCC"/>
    <w:rsid w:val="1D650714"/>
    <w:rsid w:val="1D7025D9"/>
    <w:rsid w:val="1D70551D"/>
    <w:rsid w:val="1D7D3E6D"/>
    <w:rsid w:val="1D807B0D"/>
    <w:rsid w:val="1D8A0F84"/>
    <w:rsid w:val="1D94745E"/>
    <w:rsid w:val="1DAA4ED3"/>
    <w:rsid w:val="1DAE32E8"/>
    <w:rsid w:val="1DDA6E3B"/>
    <w:rsid w:val="1DE2466D"/>
    <w:rsid w:val="1DED79A4"/>
    <w:rsid w:val="1DF276AF"/>
    <w:rsid w:val="1DFF75E6"/>
    <w:rsid w:val="1E043561"/>
    <w:rsid w:val="1E0513AA"/>
    <w:rsid w:val="1E2533E9"/>
    <w:rsid w:val="1E29229C"/>
    <w:rsid w:val="1E297809"/>
    <w:rsid w:val="1E2C0FC6"/>
    <w:rsid w:val="1E2D1660"/>
    <w:rsid w:val="1E2D43B2"/>
    <w:rsid w:val="1E302F11"/>
    <w:rsid w:val="1E392382"/>
    <w:rsid w:val="1E4C5F8A"/>
    <w:rsid w:val="1E4D16C6"/>
    <w:rsid w:val="1E5873CD"/>
    <w:rsid w:val="1E5A2FB0"/>
    <w:rsid w:val="1E61744B"/>
    <w:rsid w:val="1E624A87"/>
    <w:rsid w:val="1E673D11"/>
    <w:rsid w:val="1E676920"/>
    <w:rsid w:val="1E6A4663"/>
    <w:rsid w:val="1E716229"/>
    <w:rsid w:val="1E827BFE"/>
    <w:rsid w:val="1E922995"/>
    <w:rsid w:val="1E95493A"/>
    <w:rsid w:val="1E992ED1"/>
    <w:rsid w:val="1EA71413"/>
    <w:rsid w:val="1EAA1045"/>
    <w:rsid w:val="1EB563CE"/>
    <w:rsid w:val="1EB904D1"/>
    <w:rsid w:val="1ECC1B78"/>
    <w:rsid w:val="1ECD0FFF"/>
    <w:rsid w:val="1ECE2E43"/>
    <w:rsid w:val="1ECF2831"/>
    <w:rsid w:val="1ED23F48"/>
    <w:rsid w:val="1ED929D1"/>
    <w:rsid w:val="1EDB2E6A"/>
    <w:rsid w:val="1EDC68B5"/>
    <w:rsid w:val="1EE5468C"/>
    <w:rsid w:val="1EF143DF"/>
    <w:rsid w:val="1EF26B32"/>
    <w:rsid w:val="1EFB7B61"/>
    <w:rsid w:val="1F0D1100"/>
    <w:rsid w:val="1F16618C"/>
    <w:rsid w:val="1F1C3919"/>
    <w:rsid w:val="1F2669A0"/>
    <w:rsid w:val="1F2F00AB"/>
    <w:rsid w:val="1F356A41"/>
    <w:rsid w:val="1F366694"/>
    <w:rsid w:val="1F3C1C4F"/>
    <w:rsid w:val="1F427E7B"/>
    <w:rsid w:val="1F4437CF"/>
    <w:rsid w:val="1F4A0F65"/>
    <w:rsid w:val="1F513FC7"/>
    <w:rsid w:val="1F604DA3"/>
    <w:rsid w:val="1F764D61"/>
    <w:rsid w:val="1F7A2683"/>
    <w:rsid w:val="1F7D61BA"/>
    <w:rsid w:val="1F886296"/>
    <w:rsid w:val="1F8964CB"/>
    <w:rsid w:val="1F9F7E8A"/>
    <w:rsid w:val="1FA26921"/>
    <w:rsid w:val="1FA44319"/>
    <w:rsid w:val="1FAB177D"/>
    <w:rsid w:val="1FAB7D05"/>
    <w:rsid w:val="1FB35111"/>
    <w:rsid w:val="1FB62FB7"/>
    <w:rsid w:val="1FB97650"/>
    <w:rsid w:val="1FC13C36"/>
    <w:rsid w:val="1FC81833"/>
    <w:rsid w:val="1FC84D61"/>
    <w:rsid w:val="1FCF33BD"/>
    <w:rsid w:val="1FD52AA5"/>
    <w:rsid w:val="1FDD51F9"/>
    <w:rsid w:val="1FE16BA6"/>
    <w:rsid w:val="1FFD5F54"/>
    <w:rsid w:val="2000254E"/>
    <w:rsid w:val="200F101E"/>
    <w:rsid w:val="20180F77"/>
    <w:rsid w:val="203C5F6F"/>
    <w:rsid w:val="20452AC6"/>
    <w:rsid w:val="20497803"/>
    <w:rsid w:val="20505F62"/>
    <w:rsid w:val="20577E1E"/>
    <w:rsid w:val="205F739C"/>
    <w:rsid w:val="206241B8"/>
    <w:rsid w:val="20670E5A"/>
    <w:rsid w:val="206A21AB"/>
    <w:rsid w:val="207A7D16"/>
    <w:rsid w:val="207C6812"/>
    <w:rsid w:val="208C1FCB"/>
    <w:rsid w:val="20976FE5"/>
    <w:rsid w:val="209971E9"/>
    <w:rsid w:val="209D2B10"/>
    <w:rsid w:val="20A210C9"/>
    <w:rsid w:val="20AB4024"/>
    <w:rsid w:val="20AD0A3C"/>
    <w:rsid w:val="20AD23D3"/>
    <w:rsid w:val="20BB11A5"/>
    <w:rsid w:val="20BB73F7"/>
    <w:rsid w:val="20D451E9"/>
    <w:rsid w:val="20E406FC"/>
    <w:rsid w:val="20EE1616"/>
    <w:rsid w:val="20EE3814"/>
    <w:rsid w:val="20EE6304"/>
    <w:rsid w:val="20F213E7"/>
    <w:rsid w:val="20F34833"/>
    <w:rsid w:val="20FF64CA"/>
    <w:rsid w:val="211D4C6B"/>
    <w:rsid w:val="21263E0F"/>
    <w:rsid w:val="212F26E9"/>
    <w:rsid w:val="2130305C"/>
    <w:rsid w:val="213276BA"/>
    <w:rsid w:val="214271D1"/>
    <w:rsid w:val="21431F4D"/>
    <w:rsid w:val="21442F49"/>
    <w:rsid w:val="2146128B"/>
    <w:rsid w:val="21464F73"/>
    <w:rsid w:val="215653CF"/>
    <w:rsid w:val="215F0EF2"/>
    <w:rsid w:val="216A400B"/>
    <w:rsid w:val="217A2E0F"/>
    <w:rsid w:val="217B0E7A"/>
    <w:rsid w:val="217B34D9"/>
    <w:rsid w:val="218905AF"/>
    <w:rsid w:val="2197576F"/>
    <w:rsid w:val="219F1439"/>
    <w:rsid w:val="21A97250"/>
    <w:rsid w:val="21AA5E85"/>
    <w:rsid w:val="21BB1804"/>
    <w:rsid w:val="21CA447C"/>
    <w:rsid w:val="21CC0891"/>
    <w:rsid w:val="21CD095B"/>
    <w:rsid w:val="21CD3B10"/>
    <w:rsid w:val="21D11372"/>
    <w:rsid w:val="21EC462B"/>
    <w:rsid w:val="21FA56F9"/>
    <w:rsid w:val="21FB78FD"/>
    <w:rsid w:val="22077A14"/>
    <w:rsid w:val="220B1CB9"/>
    <w:rsid w:val="220E16ED"/>
    <w:rsid w:val="22156E7A"/>
    <w:rsid w:val="22190165"/>
    <w:rsid w:val="222059D5"/>
    <w:rsid w:val="222C0C9D"/>
    <w:rsid w:val="22316A02"/>
    <w:rsid w:val="22355531"/>
    <w:rsid w:val="22396826"/>
    <w:rsid w:val="223A4BE5"/>
    <w:rsid w:val="223B3EF0"/>
    <w:rsid w:val="22437E3E"/>
    <w:rsid w:val="225D41A5"/>
    <w:rsid w:val="22636AE2"/>
    <w:rsid w:val="22705A00"/>
    <w:rsid w:val="2278111D"/>
    <w:rsid w:val="22854BAF"/>
    <w:rsid w:val="229C7ED7"/>
    <w:rsid w:val="22AB75E9"/>
    <w:rsid w:val="22B12860"/>
    <w:rsid w:val="22BC2C2B"/>
    <w:rsid w:val="22CA4CF5"/>
    <w:rsid w:val="22DC1E91"/>
    <w:rsid w:val="22DD2EED"/>
    <w:rsid w:val="22DE1C31"/>
    <w:rsid w:val="22E272A0"/>
    <w:rsid w:val="22E91FFA"/>
    <w:rsid w:val="22EB7DD7"/>
    <w:rsid w:val="22EF47D8"/>
    <w:rsid w:val="22F0425E"/>
    <w:rsid w:val="22F15352"/>
    <w:rsid w:val="22F83EE6"/>
    <w:rsid w:val="22FE5B52"/>
    <w:rsid w:val="23042EFF"/>
    <w:rsid w:val="2305410A"/>
    <w:rsid w:val="232A616E"/>
    <w:rsid w:val="23360FB7"/>
    <w:rsid w:val="233E2BD7"/>
    <w:rsid w:val="23404BDF"/>
    <w:rsid w:val="23435D44"/>
    <w:rsid w:val="23563407"/>
    <w:rsid w:val="235A6A54"/>
    <w:rsid w:val="235E5C65"/>
    <w:rsid w:val="23766D83"/>
    <w:rsid w:val="23767783"/>
    <w:rsid w:val="237A41C3"/>
    <w:rsid w:val="237D11EE"/>
    <w:rsid w:val="238476EC"/>
    <w:rsid w:val="238C0BD7"/>
    <w:rsid w:val="238D058C"/>
    <w:rsid w:val="238D25B8"/>
    <w:rsid w:val="23912487"/>
    <w:rsid w:val="23A30EBB"/>
    <w:rsid w:val="23A97E99"/>
    <w:rsid w:val="23AF6015"/>
    <w:rsid w:val="23B26485"/>
    <w:rsid w:val="23BE0314"/>
    <w:rsid w:val="23CE5E4B"/>
    <w:rsid w:val="23F10D3D"/>
    <w:rsid w:val="23FA3853"/>
    <w:rsid w:val="23FE538C"/>
    <w:rsid w:val="240C39B1"/>
    <w:rsid w:val="240D7F6A"/>
    <w:rsid w:val="24102138"/>
    <w:rsid w:val="2413693F"/>
    <w:rsid w:val="241428A8"/>
    <w:rsid w:val="24171AC2"/>
    <w:rsid w:val="242258D5"/>
    <w:rsid w:val="24236BDA"/>
    <w:rsid w:val="24257655"/>
    <w:rsid w:val="242B4A09"/>
    <w:rsid w:val="24305B60"/>
    <w:rsid w:val="243674C1"/>
    <w:rsid w:val="24381196"/>
    <w:rsid w:val="243A0779"/>
    <w:rsid w:val="244B0E6B"/>
    <w:rsid w:val="244D0366"/>
    <w:rsid w:val="24557D0B"/>
    <w:rsid w:val="245C67FB"/>
    <w:rsid w:val="246650C5"/>
    <w:rsid w:val="24743B5F"/>
    <w:rsid w:val="247614B8"/>
    <w:rsid w:val="248014F2"/>
    <w:rsid w:val="24857B00"/>
    <w:rsid w:val="24924C8F"/>
    <w:rsid w:val="249617A8"/>
    <w:rsid w:val="249D3020"/>
    <w:rsid w:val="24B71279"/>
    <w:rsid w:val="24B777C4"/>
    <w:rsid w:val="24BD78F8"/>
    <w:rsid w:val="24C34ACD"/>
    <w:rsid w:val="24C6362D"/>
    <w:rsid w:val="24C73E65"/>
    <w:rsid w:val="24C862FD"/>
    <w:rsid w:val="24CD5D6E"/>
    <w:rsid w:val="24D33BBD"/>
    <w:rsid w:val="24E05421"/>
    <w:rsid w:val="24F05FA0"/>
    <w:rsid w:val="25007ACF"/>
    <w:rsid w:val="25016986"/>
    <w:rsid w:val="250A6257"/>
    <w:rsid w:val="25110FBE"/>
    <w:rsid w:val="251A70CA"/>
    <w:rsid w:val="251B5A92"/>
    <w:rsid w:val="251E582B"/>
    <w:rsid w:val="25206609"/>
    <w:rsid w:val="252A68FA"/>
    <w:rsid w:val="252F5CBE"/>
    <w:rsid w:val="25477C36"/>
    <w:rsid w:val="254E25E8"/>
    <w:rsid w:val="255549CD"/>
    <w:rsid w:val="25595E5A"/>
    <w:rsid w:val="25633CE3"/>
    <w:rsid w:val="25664C67"/>
    <w:rsid w:val="25724BEE"/>
    <w:rsid w:val="25741764"/>
    <w:rsid w:val="25776824"/>
    <w:rsid w:val="257C4719"/>
    <w:rsid w:val="25852B93"/>
    <w:rsid w:val="258B7398"/>
    <w:rsid w:val="25965D3D"/>
    <w:rsid w:val="259D531E"/>
    <w:rsid w:val="25A25407"/>
    <w:rsid w:val="25A53853"/>
    <w:rsid w:val="25A55F80"/>
    <w:rsid w:val="25AE2A87"/>
    <w:rsid w:val="25BD1BDD"/>
    <w:rsid w:val="25BF5294"/>
    <w:rsid w:val="25C25453"/>
    <w:rsid w:val="25D105C8"/>
    <w:rsid w:val="25DD43FE"/>
    <w:rsid w:val="25E60A39"/>
    <w:rsid w:val="25EE5DB4"/>
    <w:rsid w:val="25F27954"/>
    <w:rsid w:val="25FD5DBC"/>
    <w:rsid w:val="26025AEB"/>
    <w:rsid w:val="26192D78"/>
    <w:rsid w:val="262E235B"/>
    <w:rsid w:val="263377A7"/>
    <w:rsid w:val="26392A41"/>
    <w:rsid w:val="26476B54"/>
    <w:rsid w:val="265D5BF8"/>
    <w:rsid w:val="26614BD2"/>
    <w:rsid w:val="26647BE9"/>
    <w:rsid w:val="266A3452"/>
    <w:rsid w:val="267C14B4"/>
    <w:rsid w:val="26833001"/>
    <w:rsid w:val="268705C2"/>
    <w:rsid w:val="26A56238"/>
    <w:rsid w:val="26AB74FD"/>
    <w:rsid w:val="26B020F7"/>
    <w:rsid w:val="26B45C0E"/>
    <w:rsid w:val="26BE31A3"/>
    <w:rsid w:val="26C94E3C"/>
    <w:rsid w:val="26DD6DD3"/>
    <w:rsid w:val="26EC0876"/>
    <w:rsid w:val="26ED7791"/>
    <w:rsid w:val="26EF378B"/>
    <w:rsid w:val="26FD1886"/>
    <w:rsid w:val="27065257"/>
    <w:rsid w:val="2709311A"/>
    <w:rsid w:val="270A253F"/>
    <w:rsid w:val="270E3D1E"/>
    <w:rsid w:val="2712017D"/>
    <w:rsid w:val="27217E53"/>
    <w:rsid w:val="2723736A"/>
    <w:rsid w:val="27272739"/>
    <w:rsid w:val="272A42CB"/>
    <w:rsid w:val="272C2223"/>
    <w:rsid w:val="27335F39"/>
    <w:rsid w:val="273F7D71"/>
    <w:rsid w:val="27490680"/>
    <w:rsid w:val="274968EC"/>
    <w:rsid w:val="275A1718"/>
    <w:rsid w:val="27602C90"/>
    <w:rsid w:val="277125BE"/>
    <w:rsid w:val="27737BD1"/>
    <w:rsid w:val="27784A86"/>
    <w:rsid w:val="27820787"/>
    <w:rsid w:val="27837101"/>
    <w:rsid w:val="27851EF2"/>
    <w:rsid w:val="27853A48"/>
    <w:rsid w:val="27854A50"/>
    <w:rsid w:val="27945391"/>
    <w:rsid w:val="279544FE"/>
    <w:rsid w:val="279660CA"/>
    <w:rsid w:val="279A5643"/>
    <w:rsid w:val="27A878B1"/>
    <w:rsid w:val="27AA33F7"/>
    <w:rsid w:val="27B723EE"/>
    <w:rsid w:val="27C11148"/>
    <w:rsid w:val="27C748D4"/>
    <w:rsid w:val="27CD257E"/>
    <w:rsid w:val="27CE415D"/>
    <w:rsid w:val="27E77285"/>
    <w:rsid w:val="27F526CE"/>
    <w:rsid w:val="280D7987"/>
    <w:rsid w:val="28163D05"/>
    <w:rsid w:val="28164551"/>
    <w:rsid w:val="281C077C"/>
    <w:rsid w:val="281C1CDD"/>
    <w:rsid w:val="281E729C"/>
    <w:rsid w:val="28316D0D"/>
    <w:rsid w:val="28362887"/>
    <w:rsid w:val="284877C3"/>
    <w:rsid w:val="284B3726"/>
    <w:rsid w:val="28553C8E"/>
    <w:rsid w:val="28567521"/>
    <w:rsid w:val="285B7244"/>
    <w:rsid w:val="28665E9B"/>
    <w:rsid w:val="286B1DEC"/>
    <w:rsid w:val="287C444F"/>
    <w:rsid w:val="2881465B"/>
    <w:rsid w:val="28982C84"/>
    <w:rsid w:val="289B1FE8"/>
    <w:rsid w:val="289C222B"/>
    <w:rsid w:val="28A013AD"/>
    <w:rsid w:val="28A615AA"/>
    <w:rsid w:val="28B14C22"/>
    <w:rsid w:val="28B2052F"/>
    <w:rsid w:val="28C36649"/>
    <w:rsid w:val="28CD2D8F"/>
    <w:rsid w:val="28D64DCE"/>
    <w:rsid w:val="28D65C3B"/>
    <w:rsid w:val="28DC6898"/>
    <w:rsid w:val="28DF17A9"/>
    <w:rsid w:val="28F96D0F"/>
    <w:rsid w:val="29004B53"/>
    <w:rsid w:val="291021EA"/>
    <w:rsid w:val="291D2345"/>
    <w:rsid w:val="292A7C00"/>
    <w:rsid w:val="293215BB"/>
    <w:rsid w:val="2932352C"/>
    <w:rsid w:val="293905BA"/>
    <w:rsid w:val="293E7C15"/>
    <w:rsid w:val="29452A44"/>
    <w:rsid w:val="295761E2"/>
    <w:rsid w:val="295B01BA"/>
    <w:rsid w:val="295D49CD"/>
    <w:rsid w:val="295F5795"/>
    <w:rsid w:val="296609FB"/>
    <w:rsid w:val="297C0335"/>
    <w:rsid w:val="297E0959"/>
    <w:rsid w:val="29801F7E"/>
    <w:rsid w:val="29A462E1"/>
    <w:rsid w:val="29AA6921"/>
    <w:rsid w:val="29B52641"/>
    <w:rsid w:val="29C342B8"/>
    <w:rsid w:val="29CA08BF"/>
    <w:rsid w:val="29D357B2"/>
    <w:rsid w:val="29D56336"/>
    <w:rsid w:val="29E4351B"/>
    <w:rsid w:val="29F115CD"/>
    <w:rsid w:val="29FD22B4"/>
    <w:rsid w:val="2A0F210D"/>
    <w:rsid w:val="2A120B13"/>
    <w:rsid w:val="2A15789A"/>
    <w:rsid w:val="2A182A1D"/>
    <w:rsid w:val="2A1A17A3"/>
    <w:rsid w:val="2A1B0F3E"/>
    <w:rsid w:val="2A24157B"/>
    <w:rsid w:val="2A24680D"/>
    <w:rsid w:val="2A2A61BA"/>
    <w:rsid w:val="2A2E79BA"/>
    <w:rsid w:val="2A35268B"/>
    <w:rsid w:val="2A35590C"/>
    <w:rsid w:val="2A3A09D3"/>
    <w:rsid w:val="2A4E6BE6"/>
    <w:rsid w:val="2A53244F"/>
    <w:rsid w:val="2A571E58"/>
    <w:rsid w:val="2A581813"/>
    <w:rsid w:val="2A727C33"/>
    <w:rsid w:val="2A764D30"/>
    <w:rsid w:val="2A7E571E"/>
    <w:rsid w:val="2A8D1B1F"/>
    <w:rsid w:val="2A906605"/>
    <w:rsid w:val="2A944F41"/>
    <w:rsid w:val="2A9D413D"/>
    <w:rsid w:val="2AAA39A9"/>
    <w:rsid w:val="2AAC6F46"/>
    <w:rsid w:val="2AAE213C"/>
    <w:rsid w:val="2AD01CF1"/>
    <w:rsid w:val="2AD22CF3"/>
    <w:rsid w:val="2AD435FD"/>
    <w:rsid w:val="2AD6555A"/>
    <w:rsid w:val="2ADE7F6A"/>
    <w:rsid w:val="2AE01F34"/>
    <w:rsid w:val="2AE142A2"/>
    <w:rsid w:val="2B0E7AB2"/>
    <w:rsid w:val="2B1610F7"/>
    <w:rsid w:val="2B1F57CD"/>
    <w:rsid w:val="2B232A0B"/>
    <w:rsid w:val="2B245BA8"/>
    <w:rsid w:val="2B2473DC"/>
    <w:rsid w:val="2B2B6DA0"/>
    <w:rsid w:val="2B2F07C6"/>
    <w:rsid w:val="2B3631F4"/>
    <w:rsid w:val="2B37157F"/>
    <w:rsid w:val="2B3B66E0"/>
    <w:rsid w:val="2B503D9E"/>
    <w:rsid w:val="2B5A0E06"/>
    <w:rsid w:val="2B6371BC"/>
    <w:rsid w:val="2B852ADC"/>
    <w:rsid w:val="2B984085"/>
    <w:rsid w:val="2BA07294"/>
    <w:rsid w:val="2BA524BA"/>
    <w:rsid w:val="2BA557CB"/>
    <w:rsid w:val="2BAB58C0"/>
    <w:rsid w:val="2BBC30CD"/>
    <w:rsid w:val="2BBD0B4F"/>
    <w:rsid w:val="2BBE1B4A"/>
    <w:rsid w:val="2BCC766D"/>
    <w:rsid w:val="2BD13FEC"/>
    <w:rsid w:val="2BD17ACF"/>
    <w:rsid w:val="2BD27F42"/>
    <w:rsid w:val="2BD55811"/>
    <w:rsid w:val="2BD9042B"/>
    <w:rsid w:val="2BDD744C"/>
    <w:rsid w:val="2BF21662"/>
    <w:rsid w:val="2BFD7A45"/>
    <w:rsid w:val="2BFE7BC6"/>
    <w:rsid w:val="2BFF4499"/>
    <w:rsid w:val="2C02219A"/>
    <w:rsid w:val="2C2A7A9E"/>
    <w:rsid w:val="2C2E4F21"/>
    <w:rsid w:val="2C3906DA"/>
    <w:rsid w:val="2C466F57"/>
    <w:rsid w:val="2C475230"/>
    <w:rsid w:val="2C490FEF"/>
    <w:rsid w:val="2C4E42D3"/>
    <w:rsid w:val="2C5205B5"/>
    <w:rsid w:val="2C55425C"/>
    <w:rsid w:val="2C554743"/>
    <w:rsid w:val="2C555457"/>
    <w:rsid w:val="2C6F63F4"/>
    <w:rsid w:val="2C764DFA"/>
    <w:rsid w:val="2C784B05"/>
    <w:rsid w:val="2C825415"/>
    <w:rsid w:val="2C835E6C"/>
    <w:rsid w:val="2C8763E0"/>
    <w:rsid w:val="2C940BB2"/>
    <w:rsid w:val="2C9805ED"/>
    <w:rsid w:val="2C9D241C"/>
    <w:rsid w:val="2CA46F92"/>
    <w:rsid w:val="2CB25B52"/>
    <w:rsid w:val="2CB526FB"/>
    <w:rsid w:val="2CC77CA3"/>
    <w:rsid w:val="2CD7605E"/>
    <w:rsid w:val="2CD77AF7"/>
    <w:rsid w:val="2CD90022"/>
    <w:rsid w:val="2CDE7D2D"/>
    <w:rsid w:val="2CE576B8"/>
    <w:rsid w:val="2CFF066C"/>
    <w:rsid w:val="2D0E7225"/>
    <w:rsid w:val="2D1B4474"/>
    <w:rsid w:val="2D39401C"/>
    <w:rsid w:val="2D4D7629"/>
    <w:rsid w:val="2D52226A"/>
    <w:rsid w:val="2D522C15"/>
    <w:rsid w:val="2D550BB0"/>
    <w:rsid w:val="2D593DF3"/>
    <w:rsid w:val="2D610A5B"/>
    <w:rsid w:val="2D627A2F"/>
    <w:rsid w:val="2D680B8A"/>
    <w:rsid w:val="2D894942"/>
    <w:rsid w:val="2D8C591B"/>
    <w:rsid w:val="2DB8784F"/>
    <w:rsid w:val="2DB96A54"/>
    <w:rsid w:val="2DCF4051"/>
    <w:rsid w:val="2DD12008"/>
    <w:rsid w:val="2DD35D80"/>
    <w:rsid w:val="2DDC4904"/>
    <w:rsid w:val="2DDD60A8"/>
    <w:rsid w:val="2DE12513"/>
    <w:rsid w:val="2DFA177E"/>
    <w:rsid w:val="2E11657A"/>
    <w:rsid w:val="2E2634D8"/>
    <w:rsid w:val="2E293BF2"/>
    <w:rsid w:val="2E560813"/>
    <w:rsid w:val="2E613A80"/>
    <w:rsid w:val="2E7C28D5"/>
    <w:rsid w:val="2E7D7A9A"/>
    <w:rsid w:val="2E8956B3"/>
    <w:rsid w:val="2E923C5F"/>
    <w:rsid w:val="2E936607"/>
    <w:rsid w:val="2E9F6689"/>
    <w:rsid w:val="2EA50EA1"/>
    <w:rsid w:val="2EA65704"/>
    <w:rsid w:val="2EBA361B"/>
    <w:rsid w:val="2EC75444"/>
    <w:rsid w:val="2EDB14C6"/>
    <w:rsid w:val="2EDD678B"/>
    <w:rsid w:val="2EEE38E7"/>
    <w:rsid w:val="2EF534D9"/>
    <w:rsid w:val="2EFF3B7B"/>
    <w:rsid w:val="2F130EE9"/>
    <w:rsid w:val="2F202595"/>
    <w:rsid w:val="2F46399F"/>
    <w:rsid w:val="2F48106C"/>
    <w:rsid w:val="2F4B5198"/>
    <w:rsid w:val="2F4B6E71"/>
    <w:rsid w:val="2F4D1ED1"/>
    <w:rsid w:val="2F4D3910"/>
    <w:rsid w:val="2F663C08"/>
    <w:rsid w:val="2F6D7FDB"/>
    <w:rsid w:val="2F740E9D"/>
    <w:rsid w:val="2F776B5E"/>
    <w:rsid w:val="2F7964B4"/>
    <w:rsid w:val="2F89665E"/>
    <w:rsid w:val="2F8C54E6"/>
    <w:rsid w:val="2F9358EA"/>
    <w:rsid w:val="2F956542"/>
    <w:rsid w:val="2F9F2CDF"/>
    <w:rsid w:val="2FAE4480"/>
    <w:rsid w:val="2FB92D54"/>
    <w:rsid w:val="2FCD5708"/>
    <w:rsid w:val="2FD23E6C"/>
    <w:rsid w:val="2FD31004"/>
    <w:rsid w:val="2FDD2E6F"/>
    <w:rsid w:val="2FE30B18"/>
    <w:rsid w:val="2FE4776C"/>
    <w:rsid w:val="2FE813FF"/>
    <w:rsid w:val="2FE902F2"/>
    <w:rsid w:val="2FF13E66"/>
    <w:rsid w:val="2FF81244"/>
    <w:rsid w:val="2FFA3500"/>
    <w:rsid w:val="30007685"/>
    <w:rsid w:val="30032221"/>
    <w:rsid w:val="300631C6"/>
    <w:rsid w:val="30103B57"/>
    <w:rsid w:val="301545BA"/>
    <w:rsid w:val="301D22B7"/>
    <w:rsid w:val="302867DE"/>
    <w:rsid w:val="30291A13"/>
    <w:rsid w:val="30671293"/>
    <w:rsid w:val="30740B8E"/>
    <w:rsid w:val="3074574B"/>
    <w:rsid w:val="3075080D"/>
    <w:rsid w:val="307F5D4C"/>
    <w:rsid w:val="308E42BC"/>
    <w:rsid w:val="309148BA"/>
    <w:rsid w:val="30991CC7"/>
    <w:rsid w:val="30AA21A4"/>
    <w:rsid w:val="30B31E99"/>
    <w:rsid w:val="30BA4D03"/>
    <w:rsid w:val="30BD2991"/>
    <w:rsid w:val="30BF439A"/>
    <w:rsid w:val="30C23924"/>
    <w:rsid w:val="30C3138C"/>
    <w:rsid w:val="30D6434A"/>
    <w:rsid w:val="30E459D5"/>
    <w:rsid w:val="30E85977"/>
    <w:rsid w:val="30F32296"/>
    <w:rsid w:val="30F41A67"/>
    <w:rsid w:val="30FC500D"/>
    <w:rsid w:val="31021D86"/>
    <w:rsid w:val="310857FE"/>
    <w:rsid w:val="312C4917"/>
    <w:rsid w:val="31305298"/>
    <w:rsid w:val="314D233F"/>
    <w:rsid w:val="314E49B7"/>
    <w:rsid w:val="315D170E"/>
    <w:rsid w:val="316164CC"/>
    <w:rsid w:val="31677002"/>
    <w:rsid w:val="317119AA"/>
    <w:rsid w:val="3176145F"/>
    <w:rsid w:val="317751AA"/>
    <w:rsid w:val="31796EC9"/>
    <w:rsid w:val="318254C8"/>
    <w:rsid w:val="3184468C"/>
    <w:rsid w:val="31914FA8"/>
    <w:rsid w:val="31947FB6"/>
    <w:rsid w:val="319E400E"/>
    <w:rsid w:val="319F4868"/>
    <w:rsid w:val="31A54783"/>
    <w:rsid w:val="31B935FE"/>
    <w:rsid w:val="31BE403B"/>
    <w:rsid w:val="31D200FD"/>
    <w:rsid w:val="31D43E75"/>
    <w:rsid w:val="31E16795"/>
    <w:rsid w:val="31E52A0A"/>
    <w:rsid w:val="31E82A28"/>
    <w:rsid w:val="31EF4A25"/>
    <w:rsid w:val="31F80989"/>
    <w:rsid w:val="32075721"/>
    <w:rsid w:val="320A5DA8"/>
    <w:rsid w:val="320C0650"/>
    <w:rsid w:val="32121533"/>
    <w:rsid w:val="322512EF"/>
    <w:rsid w:val="3226688B"/>
    <w:rsid w:val="32296F5A"/>
    <w:rsid w:val="32323FE6"/>
    <w:rsid w:val="323D63E4"/>
    <w:rsid w:val="32473F7A"/>
    <w:rsid w:val="32483335"/>
    <w:rsid w:val="325250B2"/>
    <w:rsid w:val="32564176"/>
    <w:rsid w:val="32591785"/>
    <w:rsid w:val="327158CB"/>
    <w:rsid w:val="327909B1"/>
    <w:rsid w:val="329D61C5"/>
    <w:rsid w:val="32A037F2"/>
    <w:rsid w:val="32A92119"/>
    <w:rsid w:val="32AF6BD3"/>
    <w:rsid w:val="32C055F3"/>
    <w:rsid w:val="32C44BD2"/>
    <w:rsid w:val="32C61D6D"/>
    <w:rsid w:val="32C75B5F"/>
    <w:rsid w:val="32CE54EA"/>
    <w:rsid w:val="32D216CC"/>
    <w:rsid w:val="32DD144F"/>
    <w:rsid w:val="32EE71E8"/>
    <w:rsid w:val="32F82AAB"/>
    <w:rsid w:val="3301513E"/>
    <w:rsid w:val="330410FD"/>
    <w:rsid w:val="330A175A"/>
    <w:rsid w:val="330E67C6"/>
    <w:rsid w:val="331A05EC"/>
    <w:rsid w:val="33287766"/>
    <w:rsid w:val="332B4269"/>
    <w:rsid w:val="3336416A"/>
    <w:rsid w:val="33401494"/>
    <w:rsid w:val="33450928"/>
    <w:rsid w:val="33472563"/>
    <w:rsid w:val="33522B6B"/>
    <w:rsid w:val="335A65FC"/>
    <w:rsid w:val="33603301"/>
    <w:rsid w:val="33705C39"/>
    <w:rsid w:val="33716EF1"/>
    <w:rsid w:val="337525CB"/>
    <w:rsid w:val="337A5602"/>
    <w:rsid w:val="337B5316"/>
    <w:rsid w:val="33855315"/>
    <w:rsid w:val="33874918"/>
    <w:rsid w:val="338C31D7"/>
    <w:rsid w:val="3392223A"/>
    <w:rsid w:val="339461AC"/>
    <w:rsid w:val="33992789"/>
    <w:rsid w:val="339B0B0D"/>
    <w:rsid w:val="339C103A"/>
    <w:rsid w:val="33A03224"/>
    <w:rsid w:val="33BC7371"/>
    <w:rsid w:val="33C75702"/>
    <w:rsid w:val="33CA09CB"/>
    <w:rsid w:val="33CB483C"/>
    <w:rsid w:val="33CD3EE8"/>
    <w:rsid w:val="33D20872"/>
    <w:rsid w:val="33D46F96"/>
    <w:rsid w:val="33DE5327"/>
    <w:rsid w:val="33E162AB"/>
    <w:rsid w:val="33EA5BD2"/>
    <w:rsid w:val="33F23FC7"/>
    <w:rsid w:val="33F629CD"/>
    <w:rsid w:val="33FF585B"/>
    <w:rsid w:val="34001470"/>
    <w:rsid w:val="34085823"/>
    <w:rsid w:val="340E2E3E"/>
    <w:rsid w:val="34126A7A"/>
    <w:rsid w:val="34181EC4"/>
    <w:rsid w:val="341B4186"/>
    <w:rsid w:val="34224418"/>
    <w:rsid w:val="342350D2"/>
    <w:rsid w:val="342F7AA3"/>
    <w:rsid w:val="34311634"/>
    <w:rsid w:val="343D4DD9"/>
    <w:rsid w:val="34427ED3"/>
    <w:rsid w:val="3445105A"/>
    <w:rsid w:val="34544100"/>
    <w:rsid w:val="345735B0"/>
    <w:rsid w:val="345920CE"/>
    <w:rsid w:val="345F6432"/>
    <w:rsid w:val="345F6CD7"/>
    <w:rsid w:val="346C7733"/>
    <w:rsid w:val="346F60D7"/>
    <w:rsid w:val="34732D57"/>
    <w:rsid w:val="3473361C"/>
    <w:rsid w:val="34887D3E"/>
    <w:rsid w:val="348F4889"/>
    <w:rsid w:val="34A36369"/>
    <w:rsid w:val="34A95BA8"/>
    <w:rsid w:val="34B0194F"/>
    <w:rsid w:val="34B8182C"/>
    <w:rsid w:val="34BB4F72"/>
    <w:rsid w:val="34BE2B18"/>
    <w:rsid w:val="34C04B85"/>
    <w:rsid w:val="34CA4252"/>
    <w:rsid w:val="34CC2AB5"/>
    <w:rsid w:val="34D545CF"/>
    <w:rsid w:val="34D96D32"/>
    <w:rsid w:val="34DA64C3"/>
    <w:rsid w:val="34DB1D47"/>
    <w:rsid w:val="34E622D6"/>
    <w:rsid w:val="34F373ED"/>
    <w:rsid w:val="34F45C71"/>
    <w:rsid w:val="34FD2B33"/>
    <w:rsid w:val="34FF56AD"/>
    <w:rsid w:val="35027E93"/>
    <w:rsid w:val="35034475"/>
    <w:rsid w:val="350C4714"/>
    <w:rsid w:val="3523213B"/>
    <w:rsid w:val="352D7F4C"/>
    <w:rsid w:val="353D300A"/>
    <w:rsid w:val="353E0766"/>
    <w:rsid w:val="3541482A"/>
    <w:rsid w:val="35466DBB"/>
    <w:rsid w:val="355359F9"/>
    <w:rsid w:val="3555351F"/>
    <w:rsid w:val="355C6F55"/>
    <w:rsid w:val="356A4AAD"/>
    <w:rsid w:val="3589141A"/>
    <w:rsid w:val="358A766C"/>
    <w:rsid w:val="359C2EFC"/>
    <w:rsid w:val="359C6581"/>
    <w:rsid w:val="35B70430"/>
    <w:rsid w:val="35BE4538"/>
    <w:rsid w:val="35C0308E"/>
    <w:rsid w:val="35CF5AD7"/>
    <w:rsid w:val="35D06417"/>
    <w:rsid w:val="35D5640E"/>
    <w:rsid w:val="35D77660"/>
    <w:rsid w:val="35DF14FE"/>
    <w:rsid w:val="35DF46B8"/>
    <w:rsid w:val="35E461A2"/>
    <w:rsid w:val="35F010D5"/>
    <w:rsid w:val="35F91BFE"/>
    <w:rsid w:val="35FC62B1"/>
    <w:rsid w:val="35FD5321"/>
    <w:rsid w:val="35FF2902"/>
    <w:rsid w:val="360C1F8B"/>
    <w:rsid w:val="360D204B"/>
    <w:rsid w:val="361913CE"/>
    <w:rsid w:val="362058DB"/>
    <w:rsid w:val="36374201"/>
    <w:rsid w:val="363F160E"/>
    <w:rsid w:val="364835DC"/>
    <w:rsid w:val="36491F1D"/>
    <w:rsid w:val="36576300"/>
    <w:rsid w:val="366A4151"/>
    <w:rsid w:val="366B2458"/>
    <w:rsid w:val="366C59F2"/>
    <w:rsid w:val="36785889"/>
    <w:rsid w:val="367E4976"/>
    <w:rsid w:val="36813FAE"/>
    <w:rsid w:val="3696421B"/>
    <w:rsid w:val="369B3C67"/>
    <w:rsid w:val="36AA5455"/>
    <w:rsid w:val="36AC41C0"/>
    <w:rsid w:val="36AE6E7F"/>
    <w:rsid w:val="36B14685"/>
    <w:rsid w:val="36CC6606"/>
    <w:rsid w:val="36D24400"/>
    <w:rsid w:val="36D44917"/>
    <w:rsid w:val="36E0150E"/>
    <w:rsid w:val="36EE5F2E"/>
    <w:rsid w:val="36F23901"/>
    <w:rsid w:val="36F36B33"/>
    <w:rsid w:val="36F77A9E"/>
    <w:rsid w:val="3702210D"/>
    <w:rsid w:val="370276D6"/>
    <w:rsid w:val="37041678"/>
    <w:rsid w:val="3704484F"/>
    <w:rsid w:val="37070849"/>
    <w:rsid w:val="37152F66"/>
    <w:rsid w:val="371812F1"/>
    <w:rsid w:val="371D31FA"/>
    <w:rsid w:val="372B21B9"/>
    <w:rsid w:val="37350624"/>
    <w:rsid w:val="37363961"/>
    <w:rsid w:val="373667D4"/>
    <w:rsid w:val="373759C7"/>
    <w:rsid w:val="373A29CC"/>
    <w:rsid w:val="373D2422"/>
    <w:rsid w:val="37406C32"/>
    <w:rsid w:val="3747215A"/>
    <w:rsid w:val="3747231F"/>
    <w:rsid w:val="374F724D"/>
    <w:rsid w:val="375021F0"/>
    <w:rsid w:val="375872F6"/>
    <w:rsid w:val="375B0AC3"/>
    <w:rsid w:val="375B253A"/>
    <w:rsid w:val="376318F3"/>
    <w:rsid w:val="376F6EDF"/>
    <w:rsid w:val="37704640"/>
    <w:rsid w:val="377D260F"/>
    <w:rsid w:val="3786163D"/>
    <w:rsid w:val="378F7F72"/>
    <w:rsid w:val="379A7E45"/>
    <w:rsid w:val="379C0FAF"/>
    <w:rsid w:val="379D6FCC"/>
    <w:rsid w:val="37A266EF"/>
    <w:rsid w:val="37AC319E"/>
    <w:rsid w:val="37AC3842"/>
    <w:rsid w:val="37C60704"/>
    <w:rsid w:val="37CA36FF"/>
    <w:rsid w:val="37D72629"/>
    <w:rsid w:val="37D75CA1"/>
    <w:rsid w:val="37DB05D7"/>
    <w:rsid w:val="37DC3A83"/>
    <w:rsid w:val="37EA1649"/>
    <w:rsid w:val="37F81C64"/>
    <w:rsid w:val="37F963E3"/>
    <w:rsid w:val="380A6E07"/>
    <w:rsid w:val="380F4E21"/>
    <w:rsid w:val="38166C00"/>
    <w:rsid w:val="38231C7C"/>
    <w:rsid w:val="382464AA"/>
    <w:rsid w:val="38262F51"/>
    <w:rsid w:val="3826386B"/>
    <w:rsid w:val="38277224"/>
    <w:rsid w:val="38292433"/>
    <w:rsid w:val="383218F5"/>
    <w:rsid w:val="38494E73"/>
    <w:rsid w:val="38606463"/>
    <w:rsid w:val="38615E10"/>
    <w:rsid w:val="38623892"/>
    <w:rsid w:val="38644565"/>
    <w:rsid w:val="38717930"/>
    <w:rsid w:val="38787C50"/>
    <w:rsid w:val="387A611D"/>
    <w:rsid w:val="387F7C4B"/>
    <w:rsid w:val="38886865"/>
    <w:rsid w:val="388A26D2"/>
    <w:rsid w:val="388C0703"/>
    <w:rsid w:val="389E7473"/>
    <w:rsid w:val="389F4A2A"/>
    <w:rsid w:val="38A041DC"/>
    <w:rsid w:val="38A6160E"/>
    <w:rsid w:val="38A94B7B"/>
    <w:rsid w:val="38AA7772"/>
    <w:rsid w:val="38AF1946"/>
    <w:rsid w:val="38B85B09"/>
    <w:rsid w:val="38C01839"/>
    <w:rsid w:val="38CA7D80"/>
    <w:rsid w:val="38CB22D7"/>
    <w:rsid w:val="38DC7CD8"/>
    <w:rsid w:val="38E5044C"/>
    <w:rsid w:val="38EC0F67"/>
    <w:rsid w:val="38EE7BF2"/>
    <w:rsid w:val="38F42DE1"/>
    <w:rsid w:val="38F84824"/>
    <w:rsid w:val="39091AA1"/>
    <w:rsid w:val="39162FC5"/>
    <w:rsid w:val="391E2591"/>
    <w:rsid w:val="392A2847"/>
    <w:rsid w:val="393F1F7B"/>
    <w:rsid w:val="393F45CC"/>
    <w:rsid w:val="394A3CE5"/>
    <w:rsid w:val="39621A02"/>
    <w:rsid w:val="39651F02"/>
    <w:rsid w:val="39673821"/>
    <w:rsid w:val="396E1053"/>
    <w:rsid w:val="3972314B"/>
    <w:rsid w:val="39761451"/>
    <w:rsid w:val="39914201"/>
    <w:rsid w:val="3995059C"/>
    <w:rsid w:val="39982FC9"/>
    <w:rsid w:val="399F745E"/>
    <w:rsid w:val="39AD25AF"/>
    <w:rsid w:val="39AF5AB2"/>
    <w:rsid w:val="39B56B07"/>
    <w:rsid w:val="39BA1E92"/>
    <w:rsid w:val="39C42A21"/>
    <w:rsid w:val="39E13D03"/>
    <w:rsid w:val="39F374A0"/>
    <w:rsid w:val="39F83C57"/>
    <w:rsid w:val="39FF0D34"/>
    <w:rsid w:val="3A026202"/>
    <w:rsid w:val="3A127C30"/>
    <w:rsid w:val="3A1763DB"/>
    <w:rsid w:val="3A231B61"/>
    <w:rsid w:val="3A301FB3"/>
    <w:rsid w:val="3A307305"/>
    <w:rsid w:val="3A324913"/>
    <w:rsid w:val="3A4D1B8A"/>
    <w:rsid w:val="3A560363"/>
    <w:rsid w:val="3A5C6ECF"/>
    <w:rsid w:val="3A6457AA"/>
    <w:rsid w:val="3A653F5C"/>
    <w:rsid w:val="3A691377"/>
    <w:rsid w:val="3A6B582A"/>
    <w:rsid w:val="3A744576"/>
    <w:rsid w:val="3A7829E1"/>
    <w:rsid w:val="3A7A067E"/>
    <w:rsid w:val="3A7E4E86"/>
    <w:rsid w:val="3A813937"/>
    <w:rsid w:val="3A847105"/>
    <w:rsid w:val="3A982E4E"/>
    <w:rsid w:val="3A9E7716"/>
    <w:rsid w:val="3AA0348E"/>
    <w:rsid w:val="3AA666F2"/>
    <w:rsid w:val="3AAA7E69"/>
    <w:rsid w:val="3AAC5FCE"/>
    <w:rsid w:val="3AB4755E"/>
    <w:rsid w:val="3ABB0FB6"/>
    <w:rsid w:val="3AC054DD"/>
    <w:rsid w:val="3AD53316"/>
    <w:rsid w:val="3ADC3ADB"/>
    <w:rsid w:val="3ADE1E32"/>
    <w:rsid w:val="3AE16F6F"/>
    <w:rsid w:val="3AE71EB9"/>
    <w:rsid w:val="3AEF2E86"/>
    <w:rsid w:val="3AF13613"/>
    <w:rsid w:val="3B042005"/>
    <w:rsid w:val="3B07350D"/>
    <w:rsid w:val="3B0911E6"/>
    <w:rsid w:val="3B0D1B9B"/>
    <w:rsid w:val="3B135118"/>
    <w:rsid w:val="3B194449"/>
    <w:rsid w:val="3B1B0D67"/>
    <w:rsid w:val="3B306EA8"/>
    <w:rsid w:val="3B425EC8"/>
    <w:rsid w:val="3B4400CC"/>
    <w:rsid w:val="3B4B1314"/>
    <w:rsid w:val="3B6D0F0B"/>
    <w:rsid w:val="3B7129DF"/>
    <w:rsid w:val="3B7164C1"/>
    <w:rsid w:val="3B786B02"/>
    <w:rsid w:val="3B7A4A8C"/>
    <w:rsid w:val="3B7D0E45"/>
    <w:rsid w:val="3B822B94"/>
    <w:rsid w:val="3B827442"/>
    <w:rsid w:val="3B8830C4"/>
    <w:rsid w:val="3B8C17C0"/>
    <w:rsid w:val="3B976591"/>
    <w:rsid w:val="3BB149FB"/>
    <w:rsid w:val="3BB62604"/>
    <w:rsid w:val="3BBC4A80"/>
    <w:rsid w:val="3BD242BB"/>
    <w:rsid w:val="3C027F5C"/>
    <w:rsid w:val="3C0A01B1"/>
    <w:rsid w:val="3C0A5FE9"/>
    <w:rsid w:val="3C100ED6"/>
    <w:rsid w:val="3C153E8E"/>
    <w:rsid w:val="3C1A012A"/>
    <w:rsid w:val="3C217365"/>
    <w:rsid w:val="3C361BC3"/>
    <w:rsid w:val="3C37397E"/>
    <w:rsid w:val="3C3C71E7"/>
    <w:rsid w:val="3C4125DB"/>
    <w:rsid w:val="3C583A0B"/>
    <w:rsid w:val="3C5B008C"/>
    <w:rsid w:val="3C666F24"/>
    <w:rsid w:val="3C677BC4"/>
    <w:rsid w:val="3C6978B0"/>
    <w:rsid w:val="3C6A0DE8"/>
    <w:rsid w:val="3C7A4FBF"/>
    <w:rsid w:val="3C7F70D3"/>
    <w:rsid w:val="3C8961DF"/>
    <w:rsid w:val="3CA05E05"/>
    <w:rsid w:val="3CAD3514"/>
    <w:rsid w:val="3CBB0420"/>
    <w:rsid w:val="3CBB4F2E"/>
    <w:rsid w:val="3CC0413B"/>
    <w:rsid w:val="3CC52D38"/>
    <w:rsid w:val="3CE21B3C"/>
    <w:rsid w:val="3CE358B4"/>
    <w:rsid w:val="3CF37E0D"/>
    <w:rsid w:val="3CF96461"/>
    <w:rsid w:val="3CFA5349"/>
    <w:rsid w:val="3CFB7418"/>
    <w:rsid w:val="3CFC5A39"/>
    <w:rsid w:val="3D0E250E"/>
    <w:rsid w:val="3D113054"/>
    <w:rsid w:val="3D2D6B2F"/>
    <w:rsid w:val="3D346110"/>
    <w:rsid w:val="3D3A4EC2"/>
    <w:rsid w:val="3D3B64CB"/>
    <w:rsid w:val="3D4811DA"/>
    <w:rsid w:val="3D485319"/>
    <w:rsid w:val="3D5508B2"/>
    <w:rsid w:val="3D5B6538"/>
    <w:rsid w:val="3D632551"/>
    <w:rsid w:val="3D745150"/>
    <w:rsid w:val="3D795AE8"/>
    <w:rsid w:val="3D87287F"/>
    <w:rsid w:val="3D932E36"/>
    <w:rsid w:val="3DB7359E"/>
    <w:rsid w:val="3DB86B6E"/>
    <w:rsid w:val="3DCA206F"/>
    <w:rsid w:val="3DCC6348"/>
    <w:rsid w:val="3DD749CD"/>
    <w:rsid w:val="3DDC0EBC"/>
    <w:rsid w:val="3DE53FC4"/>
    <w:rsid w:val="3DF9513C"/>
    <w:rsid w:val="3DFE15C4"/>
    <w:rsid w:val="3E016A21"/>
    <w:rsid w:val="3E113008"/>
    <w:rsid w:val="3E1164A2"/>
    <w:rsid w:val="3E1B045D"/>
    <w:rsid w:val="3E216694"/>
    <w:rsid w:val="3E35213F"/>
    <w:rsid w:val="3E38578C"/>
    <w:rsid w:val="3E421CF8"/>
    <w:rsid w:val="3E432AAE"/>
    <w:rsid w:val="3E515386"/>
    <w:rsid w:val="3E614D2C"/>
    <w:rsid w:val="3E6432A1"/>
    <w:rsid w:val="3E6622F9"/>
    <w:rsid w:val="3E6E2B7D"/>
    <w:rsid w:val="3E737D50"/>
    <w:rsid w:val="3E7D1B12"/>
    <w:rsid w:val="3E800899"/>
    <w:rsid w:val="3E865145"/>
    <w:rsid w:val="3E9A1443"/>
    <w:rsid w:val="3E9F580B"/>
    <w:rsid w:val="3EA81114"/>
    <w:rsid w:val="3EAD1914"/>
    <w:rsid w:val="3EBA43F3"/>
    <w:rsid w:val="3EBC460F"/>
    <w:rsid w:val="3EC42287"/>
    <w:rsid w:val="3EC924E2"/>
    <w:rsid w:val="3ED100BA"/>
    <w:rsid w:val="3ED30323"/>
    <w:rsid w:val="3EDA7CAE"/>
    <w:rsid w:val="3EDE0147"/>
    <w:rsid w:val="3EF709D8"/>
    <w:rsid w:val="3F277DAD"/>
    <w:rsid w:val="3F345DBE"/>
    <w:rsid w:val="3F395AC9"/>
    <w:rsid w:val="3F3B6B38"/>
    <w:rsid w:val="3F3D1329"/>
    <w:rsid w:val="3F4D7AF3"/>
    <w:rsid w:val="3F6F01A1"/>
    <w:rsid w:val="3F7D74B7"/>
    <w:rsid w:val="3F985D71"/>
    <w:rsid w:val="3F996DE7"/>
    <w:rsid w:val="3FAF3F62"/>
    <w:rsid w:val="3FB44AD4"/>
    <w:rsid w:val="3FB53069"/>
    <w:rsid w:val="3FBF43B6"/>
    <w:rsid w:val="3FC372B1"/>
    <w:rsid w:val="3FCC6219"/>
    <w:rsid w:val="3FD37D6E"/>
    <w:rsid w:val="3FDA11F0"/>
    <w:rsid w:val="3FF17476"/>
    <w:rsid w:val="400C0C7E"/>
    <w:rsid w:val="4012261E"/>
    <w:rsid w:val="40176116"/>
    <w:rsid w:val="40280651"/>
    <w:rsid w:val="40281B4E"/>
    <w:rsid w:val="403A57EB"/>
    <w:rsid w:val="404B1083"/>
    <w:rsid w:val="406A5E3B"/>
    <w:rsid w:val="407231D7"/>
    <w:rsid w:val="409014E1"/>
    <w:rsid w:val="409A2000"/>
    <w:rsid w:val="40A23390"/>
    <w:rsid w:val="40A47108"/>
    <w:rsid w:val="40A81AF0"/>
    <w:rsid w:val="40B21825"/>
    <w:rsid w:val="40B97B0A"/>
    <w:rsid w:val="40C120CD"/>
    <w:rsid w:val="40C72A04"/>
    <w:rsid w:val="40CA1D70"/>
    <w:rsid w:val="40D31FE7"/>
    <w:rsid w:val="40D9394E"/>
    <w:rsid w:val="40DE6ABE"/>
    <w:rsid w:val="40E01ACC"/>
    <w:rsid w:val="40E63206"/>
    <w:rsid w:val="40EF6094"/>
    <w:rsid w:val="41022FD4"/>
    <w:rsid w:val="410427B6"/>
    <w:rsid w:val="410D73A4"/>
    <w:rsid w:val="410E2FA0"/>
    <w:rsid w:val="41414FFE"/>
    <w:rsid w:val="414B422F"/>
    <w:rsid w:val="41524DB6"/>
    <w:rsid w:val="415B3C6B"/>
    <w:rsid w:val="415C66C8"/>
    <w:rsid w:val="4162324B"/>
    <w:rsid w:val="416C0DC4"/>
    <w:rsid w:val="416E099C"/>
    <w:rsid w:val="417116E0"/>
    <w:rsid w:val="417B557F"/>
    <w:rsid w:val="4184568E"/>
    <w:rsid w:val="418869E6"/>
    <w:rsid w:val="418C7217"/>
    <w:rsid w:val="41911120"/>
    <w:rsid w:val="41932425"/>
    <w:rsid w:val="419B2CA3"/>
    <w:rsid w:val="419E3712"/>
    <w:rsid w:val="41A84176"/>
    <w:rsid w:val="41AC2CD4"/>
    <w:rsid w:val="41B06152"/>
    <w:rsid w:val="41B6005B"/>
    <w:rsid w:val="41B80080"/>
    <w:rsid w:val="41C852A6"/>
    <w:rsid w:val="41CC5A82"/>
    <w:rsid w:val="41D50910"/>
    <w:rsid w:val="41E1607C"/>
    <w:rsid w:val="41E77BF5"/>
    <w:rsid w:val="41EF371A"/>
    <w:rsid w:val="41FA0DF5"/>
    <w:rsid w:val="41FA2085"/>
    <w:rsid w:val="41FB6D0A"/>
    <w:rsid w:val="42023204"/>
    <w:rsid w:val="42087E65"/>
    <w:rsid w:val="42124EF1"/>
    <w:rsid w:val="42132798"/>
    <w:rsid w:val="42143977"/>
    <w:rsid w:val="421D7172"/>
    <w:rsid w:val="42425F4A"/>
    <w:rsid w:val="42470660"/>
    <w:rsid w:val="42492E4D"/>
    <w:rsid w:val="425C5EED"/>
    <w:rsid w:val="42664FBD"/>
    <w:rsid w:val="42786A9F"/>
    <w:rsid w:val="427D5E63"/>
    <w:rsid w:val="428803B3"/>
    <w:rsid w:val="429554CB"/>
    <w:rsid w:val="429D3550"/>
    <w:rsid w:val="429F385C"/>
    <w:rsid w:val="42B11AD7"/>
    <w:rsid w:val="42BE088D"/>
    <w:rsid w:val="42DE6BC4"/>
    <w:rsid w:val="42DF08CC"/>
    <w:rsid w:val="42F9198D"/>
    <w:rsid w:val="43034564"/>
    <w:rsid w:val="43036DF2"/>
    <w:rsid w:val="43086074"/>
    <w:rsid w:val="430B346F"/>
    <w:rsid w:val="43115615"/>
    <w:rsid w:val="43166D40"/>
    <w:rsid w:val="431B1B9B"/>
    <w:rsid w:val="43252CC7"/>
    <w:rsid w:val="43301D99"/>
    <w:rsid w:val="433751CB"/>
    <w:rsid w:val="433A3D54"/>
    <w:rsid w:val="433C0DD2"/>
    <w:rsid w:val="434E26FB"/>
    <w:rsid w:val="43524832"/>
    <w:rsid w:val="435C54A2"/>
    <w:rsid w:val="437159C8"/>
    <w:rsid w:val="437325EB"/>
    <w:rsid w:val="437B05F4"/>
    <w:rsid w:val="43811983"/>
    <w:rsid w:val="43866F99"/>
    <w:rsid w:val="43904815"/>
    <w:rsid w:val="43A15B81"/>
    <w:rsid w:val="43B3461E"/>
    <w:rsid w:val="43B93FA8"/>
    <w:rsid w:val="43BB2D3C"/>
    <w:rsid w:val="43BB57E7"/>
    <w:rsid w:val="43C52AF9"/>
    <w:rsid w:val="43C7484A"/>
    <w:rsid w:val="43CC05E0"/>
    <w:rsid w:val="43CE1136"/>
    <w:rsid w:val="43D9356D"/>
    <w:rsid w:val="43E45A1B"/>
    <w:rsid w:val="43E53CC0"/>
    <w:rsid w:val="43E715F4"/>
    <w:rsid w:val="43F7188F"/>
    <w:rsid w:val="43FB3B18"/>
    <w:rsid w:val="43FD2DAF"/>
    <w:rsid w:val="43FD74A5"/>
    <w:rsid w:val="441743AC"/>
    <w:rsid w:val="441D6EDE"/>
    <w:rsid w:val="442422EE"/>
    <w:rsid w:val="4426495C"/>
    <w:rsid w:val="44277E60"/>
    <w:rsid w:val="44305883"/>
    <w:rsid w:val="44336610"/>
    <w:rsid w:val="44394E23"/>
    <w:rsid w:val="443E588E"/>
    <w:rsid w:val="443E724F"/>
    <w:rsid w:val="44420495"/>
    <w:rsid w:val="4447309F"/>
    <w:rsid w:val="444810E7"/>
    <w:rsid w:val="444C6D9A"/>
    <w:rsid w:val="444E59D6"/>
    <w:rsid w:val="445A46AE"/>
    <w:rsid w:val="446C02E2"/>
    <w:rsid w:val="446D7D29"/>
    <w:rsid w:val="447A7A51"/>
    <w:rsid w:val="44881986"/>
    <w:rsid w:val="448C6831"/>
    <w:rsid w:val="448E3087"/>
    <w:rsid w:val="449F0DA3"/>
    <w:rsid w:val="44A816B2"/>
    <w:rsid w:val="44B71CCD"/>
    <w:rsid w:val="44CC407B"/>
    <w:rsid w:val="44D0671E"/>
    <w:rsid w:val="44DC3315"/>
    <w:rsid w:val="44DD0888"/>
    <w:rsid w:val="44EB3421"/>
    <w:rsid w:val="44EC107E"/>
    <w:rsid w:val="44EC1534"/>
    <w:rsid w:val="44EE4DF6"/>
    <w:rsid w:val="44F04944"/>
    <w:rsid w:val="44F53D30"/>
    <w:rsid w:val="45032ACF"/>
    <w:rsid w:val="45084F4F"/>
    <w:rsid w:val="45146C3F"/>
    <w:rsid w:val="45211B84"/>
    <w:rsid w:val="452A4B48"/>
    <w:rsid w:val="45306F6D"/>
    <w:rsid w:val="453A0CA2"/>
    <w:rsid w:val="453F1CAB"/>
    <w:rsid w:val="45497982"/>
    <w:rsid w:val="45524604"/>
    <w:rsid w:val="45616F96"/>
    <w:rsid w:val="45623936"/>
    <w:rsid w:val="456841C6"/>
    <w:rsid w:val="45790B64"/>
    <w:rsid w:val="457A49AD"/>
    <w:rsid w:val="457B2F71"/>
    <w:rsid w:val="457D4828"/>
    <w:rsid w:val="458614D2"/>
    <w:rsid w:val="458978FD"/>
    <w:rsid w:val="4593785F"/>
    <w:rsid w:val="459528B4"/>
    <w:rsid w:val="45A044AD"/>
    <w:rsid w:val="45AA09C5"/>
    <w:rsid w:val="45AF0BE0"/>
    <w:rsid w:val="45C30031"/>
    <w:rsid w:val="45C951A4"/>
    <w:rsid w:val="45D21188"/>
    <w:rsid w:val="45DB368C"/>
    <w:rsid w:val="45F12DF0"/>
    <w:rsid w:val="45F33FF4"/>
    <w:rsid w:val="45F428E0"/>
    <w:rsid w:val="45F61354"/>
    <w:rsid w:val="46003033"/>
    <w:rsid w:val="460F447D"/>
    <w:rsid w:val="461508D0"/>
    <w:rsid w:val="461E170B"/>
    <w:rsid w:val="46217C1A"/>
    <w:rsid w:val="462A540E"/>
    <w:rsid w:val="462E594E"/>
    <w:rsid w:val="463852B9"/>
    <w:rsid w:val="464153DE"/>
    <w:rsid w:val="4642189D"/>
    <w:rsid w:val="465161EB"/>
    <w:rsid w:val="46524241"/>
    <w:rsid w:val="466424D4"/>
    <w:rsid w:val="466D449F"/>
    <w:rsid w:val="466E1504"/>
    <w:rsid w:val="46765B52"/>
    <w:rsid w:val="46773EAE"/>
    <w:rsid w:val="468A6779"/>
    <w:rsid w:val="468D226A"/>
    <w:rsid w:val="468F0A5F"/>
    <w:rsid w:val="469733AB"/>
    <w:rsid w:val="469F41B9"/>
    <w:rsid w:val="46A0283F"/>
    <w:rsid w:val="46A40A91"/>
    <w:rsid w:val="46A71700"/>
    <w:rsid w:val="46AE05D8"/>
    <w:rsid w:val="46B758A3"/>
    <w:rsid w:val="46BB5C1A"/>
    <w:rsid w:val="46C410F2"/>
    <w:rsid w:val="46C42CA7"/>
    <w:rsid w:val="46D44BA4"/>
    <w:rsid w:val="46DD18E6"/>
    <w:rsid w:val="46DF0E9A"/>
    <w:rsid w:val="46DF1D2C"/>
    <w:rsid w:val="46F514D2"/>
    <w:rsid w:val="4708063B"/>
    <w:rsid w:val="470809A7"/>
    <w:rsid w:val="470D369E"/>
    <w:rsid w:val="47120827"/>
    <w:rsid w:val="47147820"/>
    <w:rsid w:val="47172E19"/>
    <w:rsid w:val="47185634"/>
    <w:rsid w:val="471901B2"/>
    <w:rsid w:val="471C1137"/>
    <w:rsid w:val="47236543"/>
    <w:rsid w:val="47255730"/>
    <w:rsid w:val="47262FC9"/>
    <w:rsid w:val="47266580"/>
    <w:rsid w:val="472965B9"/>
    <w:rsid w:val="473D551C"/>
    <w:rsid w:val="47501D98"/>
    <w:rsid w:val="47520EB1"/>
    <w:rsid w:val="47564260"/>
    <w:rsid w:val="476118AC"/>
    <w:rsid w:val="47775FCD"/>
    <w:rsid w:val="47842AA8"/>
    <w:rsid w:val="47843480"/>
    <w:rsid w:val="47862927"/>
    <w:rsid w:val="4786435B"/>
    <w:rsid w:val="478C5FC3"/>
    <w:rsid w:val="478E5BF3"/>
    <w:rsid w:val="47AB6FCE"/>
    <w:rsid w:val="47C46827"/>
    <w:rsid w:val="47C932CD"/>
    <w:rsid w:val="47D14D37"/>
    <w:rsid w:val="47E7539D"/>
    <w:rsid w:val="47EB2FFC"/>
    <w:rsid w:val="47F47DC1"/>
    <w:rsid w:val="47F90B25"/>
    <w:rsid w:val="480D3F42"/>
    <w:rsid w:val="48112E05"/>
    <w:rsid w:val="481316CF"/>
    <w:rsid w:val="48152260"/>
    <w:rsid w:val="4829517C"/>
    <w:rsid w:val="482D12BE"/>
    <w:rsid w:val="48335D86"/>
    <w:rsid w:val="48457423"/>
    <w:rsid w:val="4849316A"/>
    <w:rsid w:val="485456B3"/>
    <w:rsid w:val="485760FA"/>
    <w:rsid w:val="485B747D"/>
    <w:rsid w:val="485F7FEA"/>
    <w:rsid w:val="48613938"/>
    <w:rsid w:val="48686272"/>
    <w:rsid w:val="48783354"/>
    <w:rsid w:val="487E032C"/>
    <w:rsid w:val="488C64E1"/>
    <w:rsid w:val="489049D5"/>
    <w:rsid w:val="48955BB2"/>
    <w:rsid w:val="489C64B8"/>
    <w:rsid w:val="489E1E6C"/>
    <w:rsid w:val="48A91E45"/>
    <w:rsid w:val="48AB2B47"/>
    <w:rsid w:val="48AC5C4C"/>
    <w:rsid w:val="48B2721C"/>
    <w:rsid w:val="48B843DB"/>
    <w:rsid w:val="48B9571B"/>
    <w:rsid w:val="48C017E8"/>
    <w:rsid w:val="48C63077"/>
    <w:rsid w:val="48CA33FC"/>
    <w:rsid w:val="48D9732C"/>
    <w:rsid w:val="48DE5A18"/>
    <w:rsid w:val="48E37354"/>
    <w:rsid w:val="48E85E85"/>
    <w:rsid w:val="48EC789E"/>
    <w:rsid w:val="48EF379A"/>
    <w:rsid w:val="48EF57BE"/>
    <w:rsid w:val="48F94ED4"/>
    <w:rsid w:val="48FF3A76"/>
    <w:rsid w:val="490C3E65"/>
    <w:rsid w:val="490D58BF"/>
    <w:rsid w:val="49135467"/>
    <w:rsid w:val="491929A4"/>
    <w:rsid w:val="49310822"/>
    <w:rsid w:val="4933398C"/>
    <w:rsid w:val="493C25D4"/>
    <w:rsid w:val="494D2A33"/>
    <w:rsid w:val="495D6F47"/>
    <w:rsid w:val="49614633"/>
    <w:rsid w:val="49636A72"/>
    <w:rsid w:val="496B2C2B"/>
    <w:rsid w:val="498334B4"/>
    <w:rsid w:val="499917D4"/>
    <w:rsid w:val="499C358C"/>
    <w:rsid w:val="499F0E56"/>
    <w:rsid w:val="49B16F8D"/>
    <w:rsid w:val="49B764FC"/>
    <w:rsid w:val="49BA0FA4"/>
    <w:rsid w:val="49BC3715"/>
    <w:rsid w:val="49C65F48"/>
    <w:rsid w:val="49D8310C"/>
    <w:rsid w:val="49DA19EA"/>
    <w:rsid w:val="49E24AA9"/>
    <w:rsid w:val="49E27FD0"/>
    <w:rsid w:val="49E45B25"/>
    <w:rsid w:val="4A0F5F3A"/>
    <w:rsid w:val="4A1248C6"/>
    <w:rsid w:val="4A1E5D46"/>
    <w:rsid w:val="4A244932"/>
    <w:rsid w:val="4A285AF5"/>
    <w:rsid w:val="4A3B288C"/>
    <w:rsid w:val="4A4628E8"/>
    <w:rsid w:val="4A5108EE"/>
    <w:rsid w:val="4A582A54"/>
    <w:rsid w:val="4A633B90"/>
    <w:rsid w:val="4A895743"/>
    <w:rsid w:val="4A8C42D3"/>
    <w:rsid w:val="4A8D0CA1"/>
    <w:rsid w:val="4A8E3303"/>
    <w:rsid w:val="4A93695B"/>
    <w:rsid w:val="4A950670"/>
    <w:rsid w:val="4A99498B"/>
    <w:rsid w:val="4A9B272E"/>
    <w:rsid w:val="4A9C2F1A"/>
    <w:rsid w:val="4AA11AE6"/>
    <w:rsid w:val="4AB24F9B"/>
    <w:rsid w:val="4AB34B18"/>
    <w:rsid w:val="4AB640C6"/>
    <w:rsid w:val="4AB651B1"/>
    <w:rsid w:val="4ABB0329"/>
    <w:rsid w:val="4AC11FBB"/>
    <w:rsid w:val="4AC7413B"/>
    <w:rsid w:val="4ACE168F"/>
    <w:rsid w:val="4AD20798"/>
    <w:rsid w:val="4AD361E1"/>
    <w:rsid w:val="4ADD195B"/>
    <w:rsid w:val="4AEF1E37"/>
    <w:rsid w:val="4AF33D06"/>
    <w:rsid w:val="4AFE16D1"/>
    <w:rsid w:val="4B064F25"/>
    <w:rsid w:val="4B0E78FD"/>
    <w:rsid w:val="4B0F1793"/>
    <w:rsid w:val="4B15132F"/>
    <w:rsid w:val="4B1B26BD"/>
    <w:rsid w:val="4B1B3B59"/>
    <w:rsid w:val="4B1F5D09"/>
    <w:rsid w:val="4B230849"/>
    <w:rsid w:val="4B313C8F"/>
    <w:rsid w:val="4B34391F"/>
    <w:rsid w:val="4B3E2E80"/>
    <w:rsid w:val="4B3E33A3"/>
    <w:rsid w:val="4B425E9C"/>
    <w:rsid w:val="4B496C93"/>
    <w:rsid w:val="4B4F4276"/>
    <w:rsid w:val="4B576212"/>
    <w:rsid w:val="4B6630EB"/>
    <w:rsid w:val="4B7122DD"/>
    <w:rsid w:val="4B7C3C7C"/>
    <w:rsid w:val="4B816014"/>
    <w:rsid w:val="4B8B517E"/>
    <w:rsid w:val="4B8C0DC3"/>
    <w:rsid w:val="4B92472D"/>
    <w:rsid w:val="4B9B03F0"/>
    <w:rsid w:val="4BA018A0"/>
    <w:rsid w:val="4BA9404F"/>
    <w:rsid w:val="4BB4033C"/>
    <w:rsid w:val="4BBD036D"/>
    <w:rsid w:val="4BBE25CA"/>
    <w:rsid w:val="4BCB5F67"/>
    <w:rsid w:val="4BD50E28"/>
    <w:rsid w:val="4BDF1395"/>
    <w:rsid w:val="4BE73050"/>
    <w:rsid w:val="4BE965B6"/>
    <w:rsid w:val="4BEB4463"/>
    <w:rsid w:val="4C033D8E"/>
    <w:rsid w:val="4C112C04"/>
    <w:rsid w:val="4C161882"/>
    <w:rsid w:val="4C1A5A61"/>
    <w:rsid w:val="4C1D2A3A"/>
    <w:rsid w:val="4C2130F3"/>
    <w:rsid w:val="4C286E40"/>
    <w:rsid w:val="4C303F46"/>
    <w:rsid w:val="4C31118F"/>
    <w:rsid w:val="4C346E5D"/>
    <w:rsid w:val="4C383A1F"/>
    <w:rsid w:val="4C3D6D8F"/>
    <w:rsid w:val="4C462956"/>
    <w:rsid w:val="4C4707AB"/>
    <w:rsid w:val="4C526272"/>
    <w:rsid w:val="4C6406E4"/>
    <w:rsid w:val="4C6D5C2A"/>
    <w:rsid w:val="4C7105EB"/>
    <w:rsid w:val="4C8B4D21"/>
    <w:rsid w:val="4C992D1A"/>
    <w:rsid w:val="4CA465B6"/>
    <w:rsid w:val="4CAA1E07"/>
    <w:rsid w:val="4CB12D62"/>
    <w:rsid w:val="4CB608EF"/>
    <w:rsid w:val="4CC36B68"/>
    <w:rsid w:val="4CC529EA"/>
    <w:rsid w:val="4CC90989"/>
    <w:rsid w:val="4CD20D18"/>
    <w:rsid w:val="4CD21B5F"/>
    <w:rsid w:val="4CDD7C2A"/>
    <w:rsid w:val="4CE331B1"/>
    <w:rsid w:val="4CF56350"/>
    <w:rsid w:val="4D043409"/>
    <w:rsid w:val="4D137AF0"/>
    <w:rsid w:val="4D1A110D"/>
    <w:rsid w:val="4D211C43"/>
    <w:rsid w:val="4D23781E"/>
    <w:rsid w:val="4D274EBE"/>
    <w:rsid w:val="4D2E7DAD"/>
    <w:rsid w:val="4D323CAC"/>
    <w:rsid w:val="4D337AB8"/>
    <w:rsid w:val="4D34553A"/>
    <w:rsid w:val="4D460574"/>
    <w:rsid w:val="4D4D3247"/>
    <w:rsid w:val="4D7B242B"/>
    <w:rsid w:val="4D884FC4"/>
    <w:rsid w:val="4D9132F9"/>
    <w:rsid w:val="4D941E7D"/>
    <w:rsid w:val="4D9463EC"/>
    <w:rsid w:val="4D9549A9"/>
    <w:rsid w:val="4D973F59"/>
    <w:rsid w:val="4D992041"/>
    <w:rsid w:val="4D9E59CC"/>
    <w:rsid w:val="4DA64EC2"/>
    <w:rsid w:val="4DA83375"/>
    <w:rsid w:val="4DA97163"/>
    <w:rsid w:val="4DAF745E"/>
    <w:rsid w:val="4DC360A2"/>
    <w:rsid w:val="4DCD38CD"/>
    <w:rsid w:val="4DDA7481"/>
    <w:rsid w:val="4DDF59CF"/>
    <w:rsid w:val="4DE0542E"/>
    <w:rsid w:val="4DED6FEE"/>
    <w:rsid w:val="4DF23BA9"/>
    <w:rsid w:val="4DF42E70"/>
    <w:rsid w:val="4DF93351"/>
    <w:rsid w:val="4DFC0584"/>
    <w:rsid w:val="4E03108A"/>
    <w:rsid w:val="4E065892"/>
    <w:rsid w:val="4E08517B"/>
    <w:rsid w:val="4E0D453F"/>
    <w:rsid w:val="4E102281"/>
    <w:rsid w:val="4E1315AB"/>
    <w:rsid w:val="4E1347B4"/>
    <w:rsid w:val="4E2F6FA7"/>
    <w:rsid w:val="4E334165"/>
    <w:rsid w:val="4E353A59"/>
    <w:rsid w:val="4E3A13EF"/>
    <w:rsid w:val="4E3F065B"/>
    <w:rsid w:val="4E51661F"/>
    <w:rsid w:val="4E590016"/>
    <w:rsid w:val="4E593C28"/>
    <w:rsid w:val="4E5A24F2"/>
    <w:rsid w:val="4E5A531C"/>
    <w:rsid w:val="4E7858B4"/>
    <w:rsid w:val="4E7C32D2"/>
    <w:rsid w:val="4E824704"/>
    <w:rsid w:val="4E986765"/>
    <w:rsid w:val="4EA0220D"/>
    <w:rsid w:val="4EA215B1"/>
    <w:rsid w:val="4EA355D2"/>
    <w:rsid w:val="4EA74993"/>
    <w:rsid w:val="4EB15812"/>
    <w:rsid w:val="4EBB39A2"/>
    <w:rsid w:val="4EBF2EE2"/>
    <w:rsid w:val="4EC4477A"/>
    <w:rsid w:val="4EC84CAE"/>
    <w:rsid w:val="4ECC6563"/>
    <w:rsid w:val="4ECE6928"/>
    <w:rsid w:val="4EE01C53"/>
    <w:rsid w:val="4EF3587F"/>
    <w:rsid w:val="4EFD24B4"/>
    <w:rsid w:val="4F0A54F9"/>
    <w:rsid w:val="4F22401A"/>
    <w:rsid w:val="4F272BAB"/>
    <w:rsid w:val="4F293C6B"/>
    <w:rsid w:val="4F4A7EDF"/>
    <w:rsid w:val="4F5824AA"/>
    <w:rsid w:val="4F6B3C13"/>
    <w:rsid w:val="4F6D2D16"/>
    <w:rsid w:val="4F7505EE"/>
    <w:rsid w:val="4F7D5C10"/>
    <w:rsid w:val="4F801DF4"/>
    <w:rsid w:val="4F862C20"/>
    <w:rsid w:val="4F8C3B89"/>
    <w:rsid w:val="4F8D5534"/>
    <w:rsid w:val="4F8E14E4"/>
    <w:rsid w:val="4F920F57"/>
    <w:rsid w:val="4F9819C1"/>
    <w:rsid w:val="4F9F68AD"/>
    <w:rsid w:val="4FC60E49"/>
    <w:rsid w:val="4FD07F1A"/>
    <w:rsid w:val="4FDA66A3"/>
    <w:rsid w:val="4FE14704"/>
    <w:rsid w:val="4FE77892"/>
    <w:rsid w:val="4FF260E2"/>
    <w:rsid w:val="4FF652DA"/>
    <w:rsid w:val="4FF80BDD"/>
    <w:rsid w:val="4FFC0D0F"/>
    <w:rsid w:val="50006B82"/>
    <w:rsid w:val="50056F78"/>
    <w:rsid w:val="500D2F23"/>
    <w:rsid w:val="500E0D76"/>
    <w:rsid w:val="50196029"/>
    <w:rsid w:val="501D30CA"/>
    <w:rsid w:val="501D55AD"/>
    <w:rsid w:val="502369AB"/>
    <w:rsid w:val="502F4C40"/>
    <w:rsid w:val="50422451"/>
    <w:rsid w:val="5044508F"/>
    <w:rsid w:val="50494A56"/>
    <w:rsid w:val="504E4B13"/>
    <w:rsid w:val="505521CD"/>
    <w:rsid w:val="50587233"/>
    <w:rsid w:val="50776590"/>
    <w:rsid w:val="507C02A9"/>
    <w:rsid w:val="50903205"/>
    <w:rsid w:val="509151BA"/>
    <w:rsid w:val="50922A67"/>
    <w:rsid w:val="509946DA"/>
    <w:rsid w:val="509B0528"/>
    <w:rsid w:val="509B4D1B"/>
    <w:rsid w:val="50B079EF"/>
    <w:rsid w:val="50BA0BE5"/>
    <w:rsid w:val="50BC224C"/>
    <w:rsid w:val="50D13030"/>
    <w:rsid w:val="50D43A3A"/>
    <w:rsid w:val="50D71E2D"/>
    <w:rsid w:val="50E5117C"/>
    <w:rsid w:val="50E833CC"/>
    <w:rsid w:val="50F129D7"/>
    <w:rsid w:val="50F20458"/>
    <w:rsid w:val="50F471DE"/>
    <w:rsid w:val="5109070F"/>
    <w:rsid w:val="510C6D30"/>
    <w:rsid w:val="51162C16"/>
    <w:rsid w:val="511F2F07"/>
    <w:rsid w:val="51324D93"/>
    <w:rsid w:val="51376FE9"/>
    <w:rsid w:val="51545631"/>
    <w:rsid w:val="51571481"/>
    <w:rsid w:val="51585608"/>
    <w:rsid w:val="515C3A4F"/>
    <w:rsid w:val="51646B6C"/>
    <w:rsid w:val="516B5D29"/>
    <w:rsid w:val="51703763"/>
    <w:rsid w:val="517040EB"/>
    <w:rsid w:val="517A0438"/>
    <w:rsid w:val="51887140"/>
    <w:rsid w:val="51A4340C"/>
    <w:rsid w:val="51AA7C07"/>
    <w:rsid w:val="51AE1D36"/>
    <w:rsid w:val="51B15013"/>
    <w:rsid w:val="51B95364"/>
    <w:rsid w:val="51BA5AB7"/>
    <w:rsid w:val="51BA678C"/>
    <w:rsid w:val="51CB3390"/>
    <w:rsid w:val="51CB5002"/>
    <w:rsid w:val="51DC4954"/>
    <w:rsid w:val="51DE153A"/>
    <w:rsid w:val="51E82F6F"/>
    <w:rsid w:val="51EA0C38"/>
    <w:rsid w:val="51F438BB"/>
    <w:rsid w:val="51FF2B94"/>
    <w:rsid w:val="521C7F46"/>
    <w:rsid w:val="521F0E9F"/>
    <w:rsid w:val="52264794"/>
    <w:rsid w:val="52284B4C"/>
    <w:rsid w:val="52350508"/>
    <w:rsid w:val="524A409B"/>
    <w:rsid w:val="52533B5A"/>
    <w:rsid w:val="52567E20"/>
    <w:rsid w:val="525A3ACB"/>
    <w:rsid w:val="525A6304"/>
    <w:rsid w:val="525D073D"/>
    <w:rsid w:val="52650D16"/>
    <w:rsid w:val="526B3F2A"/>
    <w:rsid w:val="52733A71"/>
    <w:rsid w:val="527505D4"/>
    <w:rsid w:val="528662F0"/>
    <w:rsid w:val="528D5C4E"/>
    <w:rsid w:val="529717E5"/>
    <w:rsid w:val="5298788F"/>
    <w:rsid w:val="529C40E3"/>
    <w:rsid w:val="52A70F48"/>
    <w:rsid w:val="52A86F2C"/>
    <w:rsid w:val="52B30BA8"/>
    <w:rsid w:val="52B7075D"/>
    <w:rsid w:val="52BE2CB0"/>
    <w:rsid w:val="52C059E7"/>
    <w:rsid w:val="52C664D9"/>
    <w:rsid w:val="52D86862"/>
    <w:rsid w:val="52E57838"/>
    <w:rsid w:val="52E5798E"/>
    <w:rsid w:val="52E63890"/>
    <w:rsid w:val="52EE4A1B"/>
    <w:rsid w:val="53141034"/>
    <w:rsid w:val="53147604"/>
    <w:rsid w:val="531574C8"/>
    <w:rsid w:val="53193986"/>
    <w:rsid w:val="531B76FE"/>
    <w:rsid w:val="531E71EE"/>
    <w:rsid w:val="53213F70"/>
    <w:rsid w:val="5328717E"/>
    <w:rsid w:val="533407C0"/>
    <w:rsid w:val="53404483"/>
    <w:rsid w:val="534474E1"/>
    <w:rsid w:val="53480807"/>
    <w:rsid w:val="53486019"/>
    <w:rsid w:val="53516D2C"/>
    <w:rsid w:val="537570DD"/>
    <w:rsid w:val="537C0F42"/>
    <w:rsid w:val="538440C0"/>
    <w:rsid w:val="53851A96"/>
    <w:rsid w:val="53867518"/>
    <w:rsid w:val="53940A2C"/>
    <w:rsid w:val="53981060"/>
    <w:rsid w:val="53A304DF"/>
    <w:rsid w:val="53A5521A"/>
    <w:rsid w:val="53C03989"/>
    <w:rsid w:val="53C76F98"/>
    <w:rsid w:val="53D26312"/>
    <w:rsid w:val="53D8739D"/>
    <w:rsid w:val="53DC46A3"/>
    <w:rsid w:val="53DD2EB9"/>
    <w:rsid w:val="53E172B6"/>
    <w:rsid w:val="53F43F3C"/>
    <w:rsid w:val="53F577CC"/>
    <w:rsid w:val="53FE0149"/>
    <w:rsid w:val="53FF3EAD"/>
    <w:rsid w:val="540003BA"/>
    <w:rsid w:val="54093406"/>
    <w:rsid w:val="540957A8"/>
    <w:rsid w:val="5409646C"/>
    <w:rsid w:val="54136627"/>
    <w:rsid w:val="54160CAA"/>
    <w:rsid w:val="5418149D"/>
    <w:rsid w:val="54197134"/>
    <w:rsid w:val="541D1254"/>
    <w:rsid w:val="54224ABC"/>
    <w:rsid w:val="54262873"/>
    <w:rsid w:val="542B775A"/>
    <w:rsid w:val="54327630"/>
    <w:rsid w:val="54373AB8"/>
    <w:rsid w:val="54431726"/>
    <w:rsid w:val="545E3D46"/>
    <w:rsid w:val="546B1FBF"/>
    <w:rsid w:val="5474061F"/>
    <w:rsid w:val="54771E12"/>
    <w:rsid w:val="548F6884"/>
    <w:rsid w:val="54980C95"/>
    <w:rsid w:val="549F1A4F"/>
    <w:rsid w:val="54A97595"/>
    <w:rsid w:val="54AD677F"/>
    <w:rsid w:val="54B12D96"/>
    <w:rsid w:val="54B716A8"/>
    <w:rsid w:val="54C449A1"/>
    <w:rsid w:val="54C67EA4"/>
    <w:rsid w:val="54CD2775"/>
    <w:rsid w:val="54CF6E42"/>
    <w:rsid w:val="54D41AC8"/>
    <w:rsid w:val="54DC2048"/>
    <w:rsid w:val="54DC2EBD"/>
    <w:rsid w:val="54E00A4E"/>
    <w:rsid w:val="54E712AB"/>
    <w:rsid w:val="54EB0582"/>
    <w:rsid w:val="54ED555D"/>
    <w:rsid w:val="54EF229B"/>
    <w:rsid w:val="54F3218D"/>
    <w:rsid w:val="54F35804"/>
    <w:rsid w:val="54F93EBC"/>
    <w:rsid w:val="550B1D72"/>
    <w:rsid w:val="552503C0"/>
    <w:rsid w:val="552C443B"/>
    <w:rsid w:val="553304D8"/>
    <w:rsid w:val="55392EE2"/>
    <w:rsid w:val="553936F8"/>
    <w:rsid w:val="553F2324"/>
    <w:rsid w:val="55437454"/>
    <w:rsid w:val="5572144D"/>
    <w:rsid w:val="55750F41"/>
    <w:rsid w:val="557C08CC"/>
    <w:rsid w:val="557E071B"/>
    <w:rsid w:val="558C7D49"/>
    <w:rsid w:val="55943798"/>
    <w:rsid w:val="55A321C1"/>
    <w:rsid w:val="55A7171D"/>
    <w:rsid w:val="55B506B8"/>
    <w:rsid w:val="55B6370E"/>
    <w:rsid w:val="55C10535"/>
    <w:rsid w:val="55C93441"/>
    <w:rsid w:val="55CD616E"/>
    <w:rsid w:val="55D342C0"/>
    <w:rsid w:val="55DB4F23"/>
    <w:rsid w:val="55E23AF4"/>
    <w:rsid w:val="55EE646E"/>
    <w:rsid w:val="55F304BE"/>
    <w:rsid w:val="55F5449E"/>
    <w:rsid w:val="55FB5E70"/>
    <w:rsid w:val="56105467"/>
    <w:rsid w:val="56141D44"/>
    <w:rsid w:val="5621105A"/>
    <w:rsid w:val="56310FE7"/>
    <w:rsid w:val="563C1E65"/>
    <w:rsid w:val="5642388E"/>
    <w:rsid w:val="56576C9F"/>
    <w:rsid w:val="565F5B54"/>
    <w:rsid w:val="56695472"/>
    <w:rsid w:val="566A242D"/>
    <w:rsid w:val="568420B9"/>
    <w:rsid w:val="56885586"/>
    <w:rsid w:val="569216C3"/>
    <w:rsid w:val="569644F9"/>
    <w:rsid w:val="56A901D0"/>
    <w:rsid w:val="56BB705A"/>
    <w:rsid w:val="56BC6CDA"/>
    <w:rsid w:val="56C93A38"/>
    <w:rsid w:val="56D17126"/>
    <w:rsid w:val="56D36A74"/>
    <w:rsid w:val="56FC0043"/>
    <w:rsid w:val="56FE210A"/>
    <w:rsid w:val="56FF4F3E"/>
    <w:rsid w:val="5708289B"/>
    <w:rsid w:val="5711443D"/>
    <w:rsid w:val="57134EAE"/>
    <w:rsid w:val="57152BEC"/>
    <w:rsid w:val="571A7074"/>
    <w:rsid w:val="572F5526"/>
    <w:rsid w:val="57303F87"/>
    <w:rsid w:val="57462612"/>
    <w:rsid w:val="575B631B"/>
    <w:rsid w:val="577949F3"/>
    <w:rsid w:val="57880101"/>
    <w:rsid w:val="57924E35"/>
    <w:rsid w:val="57971EC0"/>
    <w:rsid w:val="57972248"/>
    <w:rsid w:val="579D3DCA"/>
    <w:rsid w:val="57A31556"/>
    <w:rsid w:val="57AF3A2D"/>
    <w:rsid w:val="57B61CC3"/>
    <w:rsid w:val="57C63965"/>
    <w:rsid w:val="57C9767E"/>
    <w:rsid w:val="57CA2B3B"/>
    <w:rsid w:val="57CB5E90"/>
    <w:rsid w:val="57D144D8"/>
    <w:rsid w:val="57D562BD"/>
    <w:rsid w:val="57D72154"/>
    <w:rsid w:val="57DC5D60"/>
    <w:rsid w:val="57E01184"/>
    <w:rsid w:val="57E76F1A"/>
    <w:rsid w:val="57EC73CC"/>
    <w:rsid w:val="57EE5C6E"/>
    <w:rsid w:val="57EE7791"/>
    <w:rsid w:val="57F86A62"/>
    <w:rsid w:val="57FD2BBF"/>
    <w:rsid w:val="58006EC2"/>
    <w:rsid w:val="5807127B"/>
    <w:rsid w:val="58082AC4"/>
    <w:rsid w:val="580C3AB9"/>
    <w:rsid w:val="580D3184"/>
    <w:rsid w:val="58214023"/>
    <w:rsid w:val="582D4143"/>
    <w:rsid w:val="582E1C82"/>
    <w:rsid w:val="583E0E16"/>
    <w:rsid w:val="584B5A6E"/>
    <w:rsid w:val="58545AF7"/>
    <w:rsid w:val="58550FBC"/>
    <w:rsid w:val="586A7C9A"/>
    <w:rsid w:val="589A2E73"/>
    <w:rsid w:val="58A22108"/>
    <w:rsid w:val="58A96922"/>
    <w:rsid w:val="58AE09A3"/>
    <w:rsid w:val="58B27195"/>
    <w:rsid w:val="58BA45A1"/>
    <w:rsid w:val="58BC728D"/>
    <w:rsid w:val="58C93758"/>
    <w:rsid w:val="58D074BB"/>
    <w:rsid w:val="58D53ACA"/>
    <w:rsid w:val="58D97E3F"/>
    <w:rsid w:val="59027AE7"/>
    <w:rsid w:val="59044100"/>
    <w:rsid w:val="5909243F"/>
    <w:rsid w:val="591F781C"/>
    <w:rsid w:val="592056A2"/>
    <w:rsid w:val="5936196D"/>
    <w:rsid w:val="5940227C"/>
    <w:rsid w:val="59442E81"/>
    <w:rsid w:val="594B74F3"/>
    <w:rsid w:val="59551ADB"/>
    <w:rsid w:val="5957067B"/>
    <w:rsid w:val="595D3DAB"/>
    <w:rsid w:val="595F6330"/>
    <w:rsid w:val="59623DC3"/>
    <w:rsid w:val="59735ABF"/>
    <w:rsid w:val="597D42DF"/>
    <w:rsid w:val="59890156"/>
    <w:rsid w:val="599A2A69"/>
    <w:rsid w:val="599E6993"/>
    <w:rsid w:val="59A301AC"/>
    <w:rsid w:val="59A57D21"/>
    <w:rsid w:val="59AE5C9B"/>
    <w:rsid w:val="59AF6DF2"/>
    <w:rsid w:val="59B671A6"/>
    <w:rsid w:val="59B81A46"/>
    <w:rsid w:val="59B92E3F"/>
    <w:rsid w:val="59C02DAD"/>
    <w:rsid w:val="59C12681"/>
    <w:rsid w:val="59D44313"/>
    <w:rsid w:val="59D45AEF"/>
    <w:rsid w:val="59E14637"/>
    <w:rsid w:val="59E15CD9"/>
    <w:rsid w:val="59E52814"/>
    <w:rsid w:val="59F34F31"/>
    <w:rsid w:val="59FA5965"/>
    <w:rsid w:val="59FB30B7"/>
    <w:rsid w:val="5A016AB7"/>
    <w:rsid w:val="5A0636D9"/>
    <w:rsid w:val="5A074243"/>
    <w:rsid w:val="5A096502"/>
    <w:rsid w:val="5A186745"/>
    <w:rsid w:val="5A1B4488"/>
    <w:rsid w:val="5A22601F"/>
    <w:rsid w:val="5A281112"/>
    <w:rsid w:val="5A2A57A8"/>
    <w:rsid w:val="5A2F4103"/>
    <w:rsid w:val="5A3C3C4B"/>
    <w:rsid w:val="5A421A14"/>
    <w:rsid w:val="5A437DF3"/>
    <w:rsid w:val="5A592E3F"/>
    <w:rsid w:val="5A7024AF"/>
    <w:rsid w:val="5A7744F7"/>
    <w:rsid w:val="5A797D8C"/>
    <w:rsid w:val="5A81078E"/>
    <w:rsid w:val="5A8F5421"/>
    <w:rsid w:val="5A900D5F"/>
    <w:rsid w:val="5A9F7C3A"/>
    <w:rsid w:val="5AA721BA"/>
    <w:rsid w:val="5AC021B9"/>
    <w:rsid w:val="5AD6734C"/>
    <w:rsid w:val="5AE673F8"/>
    <w:rsid w:val="5AF55909"/>
    <w:rsid w:val="5AFC0709"/>
    <w:rsid w:val="5B24392C"/>
    <w:rsid w:val="5B355BAF"/>
    <w:rsid w:val="5B413AB6"/>
    <w:rsid w:val="5B4638CB"/>
    <w:rsid w:val="5B49484F"/>
    <w:rsid w:val="5B5347FA"/>
    <w:rsid w:val="5B5828EC"/>
    <w:rsid w:val="5B6854AA"/>
    <w:rsid w:val="5B6D486F"/>
    <w:rsid w:val="5B743E4F"/>
    <w:rsid w:val="5B7E082A"/>
    <w:rsid w:val="5B81656C"/>
    <w:rsid w:val="5B833730"/>
    <w:rsid w:val="5B85605C"/>
    <w:rsid w:val="5B973FF4"/>
    <w:rsid w:val="5B977B3E"/>
    <w:rsid w:val="5BA504AD"/>
    <w:rsid w:val="5BA51471"/>
    <w:rsid w:val="5BA64DC5"/>
    <w:rsid w:val="5BBA747C"/>
    <w:rsid w:val="5BC6762F"/>
    <w:rsid w:val="5BCC2EF9"/>
    <w:rsid w:val="5BD0382F"/>
    <w:rsid w:val="5BD26DC8"/>
    <w:rsid w:val="5BDD02C0"/>
    <w:rsid w:val="5BDE63C8"/>
    <w:rsid w:val="5BE52428"/>
    <w:rsid w:val="5BE7577A"/>
    <w:rsid w:val="5BF322FC"/>
    <w:rsid w:val="5BF92475"/>
    <w:rsid w:val="5BF949F3"/>
    <w:rsid w:val="5C02756B"/>
    <w:rsid w:val="5C094C8E"/>
    <w:rsid w:val="5C0D6A67"/>
    <w:rsid w:val="5C173C20"/>
    <w:rsid w:val="5C1A29AA"/>
    <w:rsid w:val="5C1D66DF"/>
    <w:rsid w:val="5C256C5C"/>
    <w:rsid w:val="5C313AEE"/>
    <w:rsid w:val="5C3F18E4"/>
    <w:rsid w:val="5C433822"/>
    <w:rsid w:val="5C440896"/>
    <w:rsid w:val="5C576A9A"/>
    <w:rsid w:val="5C5E4BB5"/>
    <w:rsid w:val="5C6460C2"/>
    <w:rsid w:val="5C6B14AF"/>
    <w:rsid w:val="5C6B7CDD"/>
    <w:rsid w:val="5C734427"/>
    <w:rsid w:val="5C743C38"/>
    <w:rsid w:val="5C753FBD"/>
    <w:rsid w:val="5C7D3B73"/>
    <w:rsid w:val="5C8E444F"/>
    <w:rsid w:val="5C9238ED"/>
    <w:rsid w:val="5C950521"/>
    <w:rsid w:val="5C9522F3"/>
    <w:rsid w:val="5C9C2561"/>
    <w:rsid w:val="5CA16EC6"/>
    <w:rsid w:val="5CAB2DEF"/>
    <w:rsid w:val="5CAE4D40"/>
    <w:rsid w:val="5CB118A4"/>
    <w:rsid w:val="5CB169DD"/>
    <w:rsid w:val="5CB90151"/>
    <w:rsid w:val="5CBF559E"/>
    <w:rsid w:val="5CCB23DA"/>
    <w:rsid w:val="5CCB4659"/>
    <w:rsid w:val="5CE241F5"/>
    <w:rsid w:val="5CE26312"/>
    <w:rsid w:val="5CE60EC1"/>
    <w:rsid w:val="5CE7687A"/>
    <w:rsid w:val="5CE80A78"/>
    <w:rsid w:val="5CE964FA"/>
    <w:rsid w:val="5CED4F00"/>
    <w:rsid w:val="5CF27722"/>
    <w:rsid w:val="5D037AAA"/>
    <w:rsid w:val="5D066D29"/>
    <w:rsid w:val="5D110DF0"/>
    <w:rsid w:val="5D125487"/>
    <w:rsid w:val="5D135979"/>
    <w:rsid w:val="5D1458EA"/>
    <w:rsid w:val="5D1C02FB"/>
    <w:rsid w:val="5D1E7743"/>
    <w:rsid w:val="5D20742E"/>
    <w:rsid w:val="5D213B63"/>
    <w:rsid w:val="5D2A2281"/>
    <w:rsid w:val="5D2C3D36"/>
    <w:rsid w:val="5D327B1E"/>
    <w:rsid w:val="5D333744"/>
    <w:rsid w:val="5D367714"/>
    <w:rsid w:val="5D3F13E0"/>
    <w:rsid w:val="5D4B33F2"/>
    <w:rsid w:val="5D4E06D0"/>
    <w:rsid w:val="5D4E2229"/>
    <w:rsid w:val="5D516D75"/>
    <w:rsid w:val="5D694C73"/>
    <w:rsid w:val="5D6A35D0"/>
    <w:rsid w:val="5D6F3E31"/>
    <w:rsid w:val="5D8440F2"/>
    <w:rsid w:val="5D9023ED"/>
    <w:rsid w:val="5D924A61"/>
    <w:rsid w:val="5D9C1821"/>
    <w:rsid w:val="5DA0717E"/>
    <w:rsid w:val="5DA424B0"/>
    <w:rsid w:val="5DB14E3C"/>
    <w:rsid w:val="5DBD55D9"/>
    <w:rsid w:val="5DBF3F49"/>
    <w:rsid w:val="5DD1073C"/>
    <w:rsid w:val="5DD358DD"/>
    <w:rsid w:val="5DDC12FC"/>
    <w:rsid w:val="5DEB4A20"/>
    <w:rsid w:val="5DF80C6D"/>
    <w:rsid w:val="5DF94596"/>
    <w:rsid w:val="5E0314BA"/>
    <w:rsid w:val="5E06344E"/>
    <w:rsid w:val="5E0B3C39"/>
    <w:rsid w:val="5E2638B8"/>
    <w:rsid w:val="5E337FF2"/>
    <w:rsid w:val="5E441B05"/>
    <w:rsid w:val="5E447596"/>
    <w:rsid w:val="5E453C56"/>
    <w:rsid w:val="5E4577A1"/>
    <w:rsid w:val="5E4A533B"/>
    <w:rsid w:val="5E5C3E75"/>
    <w:rsid w:val="5E602469"/>
    <w:rsid w:val="5E79121B"/>
    <w:rsid w:val="5E797EB5"/>
    <w:rsid w:val="5E7F3237"/>
    <w:rsid w:val="5E7F7895"/>
    <w:rsid w:val="5E82081A"/>
    <w:rsid w:val="5E96232F"/>
    <w:rsid w:val="5EB1716B"/>
    <w:rsid w:val="5EB378FE"/>
    <w:rsid w:val="5EB427B5"/>
    <w:rsid w:val="5EB52D47"/>
    <w:rsid w:val="5EB94577"/>
    <w:rsid w:val="5EBB3254"/>
    <w:rsid w:val="5EC23124"/>
    <w:rsid w:val="5ECC1C23"/>
    <w:rsid w:val="5ECD607D"/>
    <w:rsid w:val="5ECF26F0"/>
    <w:rsid w:val="5EDC1FD4"/>
    <w:rsid w:val="5EDD34B2"/>
    <w:rsid w:val="5EDE7A16"/>
    <w:rsid w:val="5EEE46E5"/>
    <w:rsid w:val="5EF376B1"/>
    <w:rsid w:val="5F0441B1"/>
    <w:rsid w:val="5F074075"/>
    <w:rsid w:val="5F0C4827"/>
    <w:rsid w:val="5F1812F4"/>
    <w:rsid w:val="5F24793A"/>
    <w:rsid w:val="5F334021"/>
    <w:rsid w:val="5F36141C"/>
    <w:rsid w:val="5F396D54"/>
    <w:rsid w:val="5F3C6553"/>
    <w:rsid w:val="5F555D46"/>
    <w:rsid w:val="5F5C78D3"/>
    <w:rsid w:val="5F5D467C"/>
    <w:rsid w:val="5F6F1B1A"/>
    <w:rsid w:val="5F7470DF"/>
    <w:rsid w:val="5F750405"/>
    <w:rsid w:val="5F833C40"/>
    <w:rsid w:val="5F903222"/>
    <w:rsid w:val="5F9E226B"/>
    <w:rsid w:val="5FA44230"/>
    <w:rsid w:val="5FA665A1"/>
    <w:rsid w:val="5FAA3AFF"/>
    <w:rsid w:val="5FC5111D"/>
    <w:rsid w:val="5FD27396"/>
    <w:rsid w:val="5FD31841"/>
    <w:rsid w:val="5FD92450"/>
    <w:rsid w:val="5FE53E51"/>
    <w:rsid w:val="5FE56528"/>
    <w:rsid w:val="5FE65A7D"/>
    <w:rsid w:val="5FEC339C"/>
    <w:rsid w:val="60011A2A"/>
    <w:rsid w:val="60061DF7"/>
    <w:rsid w:val="60105F49"/>
    <w:rsid w:val="601427B8"/>
    <w:rsid w:val="60255713"/>
    <w:rsid w:val="602821CF"/>
    <w:rsid w:val="602D40D8"/>
    <w:rsid w:val="603C46F3"/>
    <w:rsid w:val="604D12DD"/>
    <w:rsid w:val="60547FA0"/>
    <w:rsid w:val="60583D40"/>
    <w:rsid w:val="605E50CE"/>
    <w:rsid w:val="606210AF"/>
    <w:rsid w:val="60687F2B"/>
    <w:rsid w:val="606F1089"/>
    <w:rsid w:val="6072134A"/>
    <w:rsid w:val="60725F80"/>
    <w:rsid w:val="607E307A"/>
    <w:rsid w:val="608A7C71"/>
    <w:rsid w:val="608B1383"/>
    <w:rsid w:val="608C5797"/>
    <w:rsid w:val="60913563"/>
    <w:rsid w:val="60997EB4"/>
    <w:rsid w:val="609A350B"/>
    <w:rsid w:val="609A58D5"/>
    <w:rsid w:val="60BB607C"/>
    <w:rsid w:val="60C34A45"/>
    <w:rsid w:val="60C4204E"/>
    <w:rsid w:val="60D14BE6"/>
    <w:rsid w:val="60D45F04"/>
    <w:rsid w:val="60DF3EFC"/>
    <w:rsid w:val="60E70F31"/>
    <w:rsid w:val="60E71957"/>
    <w:rsid w:val="60E72DBA"/>
    <w:rsid w:val="60ED47F3"/>
    <w:rsid w:val="60F72D40"/>
    <w:rsid w:val="610405E7"/>
    <w:rsid w:val="61041DB2"/>
    <w:rsid w:val="61057833"/>
    <w:rsid w:val="61072AD0"/>
    <w:rsid w:val="610E2650"/>
    <w:rsid w:val="61173FFF"/>
    <w:rsid w:val="6118527D"/>
    <w:rsid w:val="611F6EE4"/>
    <w:rsid w:val="61286B5F"/>
    <w:rsid w:val="612A5035"/>
    <w:rsid w:val="612C11D1"/>
    <w:rsid w:val="61357BDD"/>
    <w:rsid w:val="61614E76"/>
    <w:rsid w:val="616917DC"/>
    <w:rsid w:val="616C3E03"/>
    <w:rsid w:val="6177777B"/>
    <w:rsid w:val="617E0582"/>
    <w:rsid w:val="6188757A"/>
    <w:rsid w:val="61914D9C"/>
    <w:rsid w:val="61915B6A"/>
    <w:rsid w:val="619D1B13"/>
    <w:rsid w:val="619D22AF"/>
    <w:rsid w:val="619F4326"/>
    <w:rsid w:val="61A316BC"/>
    <w:rsid w:val="61A84853"/>
    <w:rsid w:val="61AD5404"/>
    <w:rsid w:val="61AF5FAD"/>
    <w:rsid w:val="61BD612B"/>
    <w:rsid w:val="61C7189C"/>
    <w:rsid w:val="61CE5BC3"/>
    <w:rsid w:val="61D03DA9"/>
    <w:rsid w:val="61D10B63"/>
    <w:rsid w:val="61D933E4"/>
    <w:rsid w:val="61E82848"/>
    <w:rsid w:val="61E82EA1"/>
    <w:rsid w:val="61EA6C19"/>
    <w:rsid w:val="61F12690"/>
    <w:rsid w:val="61F348BD"/>
    <w:rsid w:val="61FB0E26"/>
    <w:rsid w:val="62142C74"/>
    <w:rsid w:val="621E04DB"/>
    <w:rsid w:val="62251B0C"/>
    <w:rsid w:val="62264CD4"/>
    <w:rsid w:val="623779B1"/>
    <w:rsid w:val="623D02E8"/>
    <w:rsid w:val="623F023C"/>
    <w:rsid w:val="624215C5"/>
    <w:rsid w:val="62436034"/>
    <w:rsid w:val="62451C3F"/>
    <w:rsid w:val="624A590A"/>
    <w:rsid w:val="62643CF8"/>
    <w:rsid w:val="626F59A3"/>
    <w:rsid w:val="62736511"/>
    <w:rsid w:val="62776B0A"/>
    <w:rsid w:val="627E55B4"/>
    <w:rsid w:val="627E76E1"/>
    <w:rsid w:val="628A23DC"/>
    <w:rsid w:val="629C2F58"/>
    <w:rsid w:val="62A768B8"/>
    <w:rsid w:val="62A77C19"/>
    <w:rsid w:val="62A94E73"/>
    <w:rsid w:val="62AE2A85"/>
    <w:rsid w:val="62B02CB8"/>
    <w:rsid w:val="62BC30F1"/>
    <w:rsid w:val="62BD348D"/>
    <w:rsid w:val="62D652C2"/>
    <w:rsid w:val="62D82F16"/>
    <w:rsid w:val="62DB14E6"/>
    <w:rsid w:val="62EF16DE"/>
    <w:rsid w:val="62F04BE1"/>
    <w:rsid w:val="62F0715F"/>
    <w:rsid w:val="62F516DF"/>
    <w:rsid w:val="62F74E19"/>
    <w:rsid w:val="63033C02"/>
    <w:rsid w:val="63082571"/>
    <w:rsid w:val="63085CDC"/>
    <w:rsid w:val="630B644D"/>
    <w:rsid w:val="630E6937"/>
    <w:rsid w:val="630F7A14"/>
    <w:rsid w:val="63114176"/>
    <w:rsid w:val="631E69AA"/>
    <w:rsid w:val="631F442B"/>
    <w:rsid w:val="632131B2"/>
    <w:rsid w:val="632C5E70"/>
    <w:rsid w:val="63365FCF"/>
    <w:rsid w:val="633D5D1F"/>
    <w:rsid w:val="63402869"/>
    <w:rsid w:val="63411336"/>
    <w:rsid w:val="6344515E"/>
    <w:rsid w:val="634B0FC2"/>
    <w:rsid w:val="634E7862"/>
    <w:rsid w:val="635579ED"/>
    <w:rsid w:val="635D67A5"/>
    <w:rsid w:val="636059BD"/>
    <w:rsid w:val="63626DC1"/>
    <w:rsid w:val="636A3CCE"/>
    <w:rsid w:val="637349EC"/>
    <w:rsid w:val="6377613F"/>
    <w:rsid w:val="638219C0"/>
    <w:rsid w:val="63836319"/>
    <w:rsid w:val="639A229E"/>
    <w:rsid w:val="639A75F8"/>
    <w:rsid w:val="63A34684"/>
    <w:rsid w:val="63AA7FA8"/>
    <w:rsid w:val="63AC7512"/>
    <w:rsid w:val="63AF6069"/>
    <w:rsid w:val="63C70076"/>
    <w:rsid w:val="63C82F8A"/>
    <w:rsid w:val="63D62198"/>
    <w:rsid w:val="63D7190C"/>
    <w:rsid w:val="63DE29D7"/>
    <w:rsid w:val="63F656CF"/>
    <w:rsid w:val="63FF26E0"/>
    <w:rsid w:val="640A78AC"/>
    <w:rsid w:val="64261175"/>
    <w:rsid w:val="6427203D"/>
    <w:rsid w:val="642B5570"/>
    <w:rsid w:val="642D6001"/>
    <w:rsid w:val="642F0F87"/>
    <w:rsid w:val="642F7CB8"/>
    <w:rsid w:val="645B6BE2"/>
    <w:rsid w:val="645E4247"/>
    <w:rsid w:val="646802C9"/>
    <w:rsid w:val="646D3D82"/>
    <w:rsid w:val="64801AB7"/>
    <w:rsid w:val="64915F46"/>
    <w:rsid w:val="649D4417"/>
    <w:rsid w:val="64A27E52"/>
    <w:rsid w:val="64A435CD"/>
    <w:rsid w:val="64A97CF5"/>
    <w:rsid w:val="64CB796A"/>
    <w:rsid w:val="64CE08EF"/>
    <w:rsid w:val="64D34D76"/>
    <w:rsid w:val="64D65CFB"/>
    <w:rsid w:val="64DB0A9B"/>
    <w:rsid w:val="64DD0F09"/>
    <w:rsid w:val="64EE4C72"/>
    <w:rsid w:val="64EF4547"/>
    <w:rsid w:val="650023C2"/>
    <w:rsid w:val="650151DB"/>
    <w:rsid w:val="650852D4"/>
    <w:rsid w:val="650A75D2"/>
    <w:rsid w:val="651A15EE"/>
    <w:rsid w:val="651D1EC8"/>
    <w:rsid w:val="65215A12"/>
    <w:rsid w:val="652911A2"/>
    <w:rsid w:val="65302769"/>
    <w:rsid w:val="65441C91"/>
    <w:rsid w:val="65457634"/>
    <w:rsid w:val="65470F70"/>
    <w:rsid w:val="654A5B17"/>
    <w:rsid w:val="654E3963"/>
    <w:rsid w:val="654F4FE5"/>
    <w:rsid w:val="655016BB"/>
    <w:rsid w:val="6559333B"/>
    <w:rsid w:val="65597015"/>
    <w:rsid w:val="655C1AF8"/>
    <w:rsid w:val="656E2F3B"/>
    <w:rsid w:val="65762391"/>
    <w:rsid w:val="657A2ED4"/>
    <w:rsid w:val="65813C15"/>
    <w:rsid w:val="65863920"/>
    <w:rsid w:val="65A05841"/>
    <w:rsid w:val="65A2716B"/>
    <w:rsid w:val="65AE1C35"/>
    <w:rsid w:val="65AE5462"/>
    <w:rsid w:val="65B23EF2"/>
    <w:rsid w:val="65B92CC9"/>
    <w:rsid w:val="65BF27BC"/>
    <w:rsid w:val="65C36135"/>
    <w:rsid w:val="65C710C5"/>
    <w:rsid w:val="65C73ADE"/>
    <w:rsid w:val="65CE6293"/>
    <w:rsid w:val="65D04378"/>
    <w:rsid w:val="65E12D35"/>
    <w:rsid w:val="65E534EF"/>
    <w:rsid w:val="65EA2EBA"/>
    <w:rsid w:val="65EC32C5"/>
    <w:rsid w:val="65F01A96"/>
    <w:rsid w:val="65F22BB6"/>
    <w:rsid w:val="66012783"/>
    <w:rsid w:val="660E1486"/>
    <w:rsid w:val="66146C63"/>
    <w:rsid w:val="661E7317"/>
    <w:rsid w:val="6627097F"/>
    <w:rsid w:val="662A0BAB"/>
    <w:rsid w:val="662C71A3"/>
    <w:rsid w:val="66344907"/>
    <w:rsid w:val="66383AE8"/>
    <w:rsid w:val="663D1DCA"/>
    <w:rsid w:val="66444C48"/>
    <w:rsid w:val="66457407"/>
    <w:rsid w:val="66507267"/>
    <w:rsid w:val="665A38F8"/>
    <w:rsid w:val="6669784C"/>
    <w:rsid w:val="666C6F22"/>
    <w:rsid w:val="667A0F34"/>
    <w:rsid w:val="667E6B45"/>
    <w:rsid w:val="66894448"/>
    <w:rsid w:val="66894D85"/>
    <w:rsid w:val="668A3F3C"/>
    <w:rsid w:val="66903DD3"/>
    <w:rsid w:val="669855B8"/>
    <w:rsid w:val="66A739F8"/>
    <w:rsid w:val="66AF24E6"/>
    <w:rsid w:val="66C3259F"/>
    <w:rsid w:val="66C373BF"/>
    <w:rsid w:val="66C700C4"/>
    <w:rsid w:val="66D93700"/>
    <w:rsid w:val="66EA10AD"/>
    <w:rsid w:val="66EE416C"/>
    <w:rsid w:val="66F50DF7"/>
    <w:rsid w:val="66F71181"/>
    <w:rsid w:val="66FF2D41"/>
    <w:rsid w:val="67024DAC"/>
    <w:rsid w:val="67050051"/>
    <w:rsid w:val="671B17B8"/>
    <w:rsid w:val="6728524B"/>
    <w:rsid w:val="672C7336"/>
    <w:rsid w:val="672C74D4"/>
    <w:rsid w:val="67307337"/>
    <w:rsid w:val="673A6CEF"/>
    <w:rsid w:val="674C3ED2"/>
    <w:rsid w:val="674F246D"/>
    <w:rsid w:val="67583798"/>
    <w:rsid w:val="67612AD9"/>
    <w:rsid w:val="676166A9"/>
    <w:rsid w:val="676C6322"/>
    <w:rsid w:val="676E7F3D"/>
    <w:rsid w:val="67734258"/>
    <w:rsid w:val="67767967"/>
    <w:rsid w:val="677A5055"/>
    <w:rsid w:val="677A75D3"/>
    <w:rsid w:val="67887528"/>
    <w:rsid w:val="678C42CF"/>
    <w:rsid w:val="678C48BD"/>
    <w:rsid w:val="678F5EF4"/>
    <w:rsid w:val="679130CF"/>
    <w:rsid w:val="67943C27"/>
    <w:rsid w:val="67AF7FBD"/>
    <w:rsid w:val="67B406B2"/>
    <w:rsid w:val="67B51A77"/>
    <w:rsid w:val="67B80600"/>
    <w:rsid w:val="67BA52E0"/>
    <w:rsid w:val="67D143D7"/>
    <w:rsid w:val="67D65A90"/>
    <w:rsid w:val="67EE6D37"/>
    <w:rsid w:val="67EF5014"/>
    <w:rsid w:val="67F267F8"/>
    <w:rsid w:val="67F26828"/>
    <w:rsid w:val="67F85AF2"/>
    <w:rsid w:val="68030A35"/>
    <w:rsid w:val="680B1697"/>
    <w:rsid w:val="68102D20"/>
    <w:rsid w:val="68144654"/>
    <w:rsid w:val="681A5D7E"/>
    <w:rsid w:val="68276D46"/>
    <w:rsid w:val="6828189F"/>
    <w:rsid w:val="6829726E"/>
    <w:rsid w:val="682A2E18"/>
    <w:rsid w:val="682B15F5"/>
    <w:rsid w:val="68364B4E"/>
    <w:rsid w:val="6837113C"/>
    <w:rsid w:val="685112C3"/>
    <w:rsid w:val="68525518"/>
    <w:rsid w:val="68572309"/>
    <w:rsid w:val="68642184"/>
    <w:rsid w:val="68642A54"/>
    <w:rsid w:val="686C7830"/>
    <w:rsid w:val="68721D6A"/>
    <w:rsid w:val="687A681D"/>
    <w:rsid w:val="688B27D8"/>
    <w:rsid w:val="688C1FD2"/>
    <w:rsid w:val="688D7571"/>
    <w:rsid w:val="68910C40"/>
    <w:rsid w:val="68B00491"/>
    <w:rsid w:val="68C73114"/>
    <w:rsid w:val="68CA5ED8"/>
    <w:rsid w:val="68E61D28"/>
    <w:rsid w:val="68E65C61"/>
    <w:rsid w:val="68E82F52"/>
    <w:rsid w:val="68EB2B79"/>
    <w:rsid w:val="68F92F8D"/>
    <w:rsid w:val="69086737"/>
    <w:rsid w:val="690D4335"/>
    <w:rsid w:val="69143AF1"/>
    <w:rsid w:val="69172DED"/>
    <w:rsid w:val="693710DE"/>
    <w:rsid w:val="694158BA"/>
    <w:rsid w:val="69433658"/>
    <w:rsid w:val="69486D38"/>
    <w:rsid w:val="695074D3"/>
    <w:rsid w:val="69512143"/>
    <w:rsid w:val="695B664F"/>
    <w:rsid w:val="696911AE"/>
    <w:rsid w:val="696A4500"/>
    <w:rsid w:val="69894DB5"/>
    <w:rsid w:val="698E662B"/>
    <w:rsid w:val="69905753"/>
    <w:rsid w:val="699121C1"/>
    <w:rsid w:val="699345C0"/>
    <w:rsid w:val="69937B96"/>
    <w:rsid w:val="699B6911"/>
    <w:rsid w:val="69A43B52"/>
    <w:rsid w:val="69AC6EAA"/>
    <w:rsid w:val="69B55D5F"/>
    <w:rsid w:val="69C2222A"/>
    <w:rsid w:val="69CA05AB"/>
    <w:rsid w:val="69E4001D"/>
    <w:rsid w:val="69E51C4B"/>
    <w:rsid w:val="69E82B0F"/>
    <w:rsid w:val="69F36887"/>
    <w:rsid w:val="69FD2532"/>
    <w:rsid w:val="6A0500BE"/>
    <w:rsid w:val="6A071E00"/>
    <w:rsid w:val="6A073AA8"/>
    <w:rsid w:val="6A0C2C21"/>
    <w:rsid w:val="6A1142BF"/>
    <w:rsid w:val="6A154999"/>
    <w:rsid w:val="6A195E69"/>
    <w:rsid w:val="6A1F767C"/>
    <w:rsid w:val="6A2C3B47"/>
    <w:rsid w:val="6A4315BC"/>
    <w:rsid w:val="6A440E91"/>
    <w:rsid w:val="6A49294B"/>
    <w:rsid w:val="6A4D41E9"/>
    <w:rsid w:val="6A4F3918"/>
    <w:rsid w:val="6A5105C2"/>
    <w:rsid w:val="6A5437CA"/>
    <w:rsid w:val="6A71346D"/>
    <w:rsid w:val="6A721EA2"/>
    <w:rsid w:val="6A775937"/>
    <w:rsid w:val="6A8A46FA"/>
    <w:rsid w:val="6A986D21"/>
    <w:rsid w:val="6A9B2674"/>
    <w:rsid w:val="6AA87DCA"/>
    <w:rsid w:val="6AB62858"/>
    <w:rsid w:val="6ACD4FC1"/>
    <w:rsid w:val="6AD20C96"/>
    <w:rsid w:val="6AD97090"/>
    <w:rsid w:val="6AE76BE9"/>
    <w:rsid w:val="6AE807B5"/>
    <w:rsid w:val="6AEA1A38"/>
    <w:rsid w:val="6AED3865"/>
    <w:rsid w:val="6B011F97"/>
    <w:rsid w:val="6B021FBD"/>
    <w:rsid w:val="6B0A5858"/>
    <w:rsid w:val="6B0E29B2"/>
    <w:rsid w:val="6B3A79EB"/>
    <w:rsid w:val="6B3F3181"/>
    <w:rsid w:val="6B44273D"/>
    <w:rsid w:val="6B465904"/>
    <w:rsid w:val="6B4A5933"/>
    <w:rsid w:val="6B4F70C5"/>
    <w:rsid w:val="6B5B46E4"/>
    <w:rsid w:val="6B6449E9"/>
    <w:rsid w:val="6B715CB5"/>
    <w:rsid w:val="6B7845BA"/>
    <w:rsid w:val="6B826114"/>
    <w:rsid w:val="6B8B79FD"/>
    <w:rsid w:val="6B8E10FC"/>
    <w:rsid w:val="6B9225EF"/>
    <w:rsid w:val="6B947BF6"/>
    <w:rsid w:val="6BA914C0"/>
    <w:rsid w:val="6BAC13E3"/>
    <w:rsid w:val="6BAE1E2A"/>
    <w:rsid w:val="6BB42046"/>
    <w:rsid w:val="6BB71B46"/>
    <w:rsid w:val="6BB7260B"/>
    <w:rsid w:val="6BC44A51"/>
    <w:rsid w:val="6BCF0C2E"/>
    <w:rsid w:val="6BCF125C"/>
    <w:rsid w:val="6BD36970"/>
    <w:rsid w:val="6BD9560E"/>
    <w:rsid w:val="6BE4292B"/>
    <w:rsid w:val="6BE902A4"/>
    <w:rsid w:val="6BEB329A"/>
    <w:rsid w:val="6BEC0D1C"/>
    <w:rsid w:val="6BF239FF"/>
    <w:rsid w:val="6BF464B5"/>
    <w:rsid w:val="6BFE4F45"/>
    <w:rsid w:val="6C032D55"/>
    <w:rsid w:val="6C060AF4"/>
    <w:rsid w:val="6C09284A"/>
    <w:rsid w:val="6C0D41AC"/>
    <w:rsid w:val="6C0F0C37"/>
    <w:rsid w:val="6C164AAF"/>
    <w:rsid w:val="6C1808E6"/>
    <w:rsid w:val="6C1D2E26"/>
    <w:rsid w:val="6C1E3B87"/>
    <w:rsid w:val="6C1F5BAD"/>
    <w:rsid w:val="6C2076DB"/>
    <w:rsid w:val="6C230A7B"/>
    <w:rsid w:val="6C25217A"/>
    <w:rsid w:val="6C25681A"/>
    <w:rsid w:val="6C383399"/>
    <w:rsid w:val="6C390445"/>
    <w:rsid w:val="6C5630FD"/>
    <w:rsid w:val="6C5871B6"/>
    <w:rsid w:val="6C5E0635"/>
    <w:rsid w:val="6C5F3DF6"/>
    <w:rsid w:val="6C6509E5"/>
    <w:rsid w:val="6C7937AF"/>
    <w:rsid w:val="6C795FAF"/>
    <w:rsid w:val="6C7B2887"/>
    <w:rsid w:val="6C7B5091"/>
    <w:rsid w:val="6C832144"/>
    <w:rsid w:val="6C847C6A"/>
    <w:rsid w:val="6C8934D3"/>
    <w:rsid w:val="6C951E77"/>
    <w:rsid w:val="6CA43297"/>
    <w:rsid w:val="6CA7310F"/>
    <w:rsid w:val="6CA94E22"/>
    <w:rsid w:val="6CB40765"/>
    <w:rsid w:val="6CC664D5"/>
    <w:rsid w:val="6CCC0102"/>
    <w:rsid w:val="6CCD33BF"/>
    <w:rsid w:val="6CD670B7"/>
    <w:rsid w:val="6CD909AD"/>
    <w:rsid w:val="6CD92F23"/>
    <w:rsid w:val="6CE10E70"/>
    <w:rsid w:val="6D0446EE"/>
    <w:rsid w:val="6D155306"/>
    <w:rsid w:val="6D176D30"/>
    <w:rsid w:val="6D1A3CAC"/>
    <w:rsid w:val="6D205BE5"/>
    <w:rsid w:val="6D29640D"/>
    <w:rsid w:val="6D2B4D20"/>
    <w:rsid w:val="6D2E042E"/>
    <w:rsid w:val="6D2F5E28"/>
    <w:rsid w:val="6D370D3E"/>
    <w:rsid w:val="6D394E41"/>
    <w:rsid w:val="6D3B1544"/>
    <w:rsid w:val="6D446D4F"/>
    <w:rsid w:val="6D5B2E41"/>
    <w:rsid w:val="6D740BA3"/>
    <w:rsid w:val="6D8223FC"/>
    <w:rsid w:val="6D970D57"/>
    <w:rsid w:val="6D9D06E2"/>
    <w:rsid w:val="6DB0387F"/>
    <w:rsid w:val="6DCE60FB"/>
    <w:rsid w:val="6DD10C8D"/>
    <w:rsid w:val="6DD4663E"/>
    <w:rsid w:val="6DDA1310"/>
    <w:rsid w:val="6DE0074F"/>
    <w:rsid w:val="6E070112"/>
    <w:rsid w:val="6E0E1EE1"/>
    <w:rsid w:val="6E0F2A6A"/>
    <w:rsid w:val="6E246564"/>
    <w:rsid w:val="6E361438"/>
    <w:rsid w:val="6E382615"/>
    <w:rsid w:val="6E40370E"/>
    <w:rsid w:val="6E472043"/>
    <w:rsid w:val="6E4E2A84"/>
    <w:rsid w:val="6E503372"/>
    <w:rsid w:val="6E59211A"/>
    <w:rsid w:val="6E623FDB"/>
    <w:rsid w:val="6E6A0D4E"/>
    <w:rsid w:val="6E6C043A"/>
    <w:rsid w:val="6E7219BF"/>
    <w:rsid w:val="6E745AA1"/>
    <w:rsid w:val="6E75517D"/>
    <w:rsid w:val="6E7A4290"/>
    <w:rsid w:val="6E80181D"/>
    <w:rsid w:val="6E873A42"/>
    <w:rsid w:val="6E8772A6"/>
    <w:rsid w:val="6E95001C"/>
    <w:rsid w:val="6EA33813"/>
    <w:rsid w:val="6EA347C9"/>
    <w:rsid w:val="6EAE7626"/>
    <w:rsid w:val="6EB14085"/>
    <w:rsid w:val="6EB5235D"/>
    <w:rsid w:val="6EC03EA2"/>
    <w:rsid w:val="6EC43A47"/>
    <w:rsid w:val="6EC72090"/>
    <w:rsid w:val="6ECE01AD"/>
    <w:rsid w:val="6ED461E0"/>
    <w:rsid w:val="6EE01F27"/>
    <w:rsid w:val="6EE449F0"/>
    <w:rsid w:val="6EEB3C07"/>
    <w:rsid w:val="6EF44517"/>
    <w:rsid w:val="6F03595C"/>
    <w:rsid w:val="6F044DA8"/>
    <w:rsid w:val="6F0B557E"/>
    <w:rsid w:val="6F0C4904"/>
    <w:rsid w:val="6F2B0871"/>
    <w:rsid w:val="6F335386"/>
    <w:rsid w:val="6F352D82"/>
    <w:rsid w:val="6F3E05A4"/>
    <w:rsid w:val="6F540CA9"/>
    <w:rsid w:val="6F5430C0"/>
    <w:rsid w:val="6F5F59C2"/>
    <w:rsid w:val="6F6F4C26"/>
    <w:rsid w:val="6F712728"/>
    <w:rsid w:val="6F7C7C3D"/>
    <w:rsid w:val="6F8B248C"/>
    <w:rsid w:val="6F991C7F"/>
    <w:rsid w:val="6F9A4FDF"/>
    <w:rsid w:val="6FA56875"/>
    <w:rsid w:val="6FAA5CAD"/>
    <w:rsid w:val="6FAB29C1"/>
    <w:rsid w:val="6FB16245"/>
    <w:rsid w:val="6FC54BEF"/>
    <w:rsid w:val="6FC5768B"/>
    <w:rsid w:val="6FC71ABD"/>
    <w:rsid w:val="6FCB6AF9"/>
    <w:rsid w:val="6FD25EA1"/>
    <w:rsid w:val="6FD35191"/>
    <w:rsid w:val="6FD42CB7"/>
    <w:rsid w:val="6FD76702"/>
    <w:rsid w:val="6FDC0F91"/>
    <w:rsid w:val="6FDE0D08"/>
    <w:rsid w:val="6FF60AEF"/>
    <w:rsid w:val="6FF6127D"/>
    <w:rsid w:val="6FF96343"/>
    <w:rsid w:val="6FFB5B3A"/>
    <w:rsid w:val="701532A3"/>
    <w:rsid w:val="701C4E8B"/>
    <w:rsid w:val="70237187"/>
    <w:rsid w:val="7025268A"/>
    <w:rsid w:val="70293D7A"/>
    <w:rsid w:val="70430EAA"/>
    <w:rsid w:val="70483B44"/>
    <w:rsid w:val="705931BC"/>
    <w:rsid w:val="705D73B8"/>
    <w:rsid w:val="706F3EDB"/>
    <w:rsid w:val="70862203"/>
    <w:rsid w:val="70981F36"/>
    <w:rsid w:val="70A81B57"/>
    <w:rsid w:val="70B03E52"/>
    <w:rsid w:val="70B07280"/>
    <w:rsid w:val="70B90980"/>
    <w:rsid w:val="70CE401F"/>
    <w:rsid w:val="70D21AA5"/>
    <w:rsid w:val="70DE3777"/>
    <w:rsid w:val="70E262BF"/>
    <w:rsid w:val="70F57389"/>
    <w:rsid w:val="70F80C27"/>
    <w:rsid w:val="70FA3707"/>
    <w:rsid w:val="70FE53E8"/>
    <w:rsid w:val="711D41EA"/>
    <w:rsid w:val="711E068D"/>
    <w:rsid w:val="71325EE7"/>
    <w:rsid w:val="7133776B"/>
    <w:rsid w:val="713D78D4"/>
    <w:rsid w:val="713F665A"/>
    <w:rsid w:val="71463740"/>
    <w:rsid w:val="71487EC7"/>
    <w:rsid w:val="71511DF8"/>
    <w:rsid w:val="71530B04"/>
    <w:rsid w:val="715A5D6A"/>
    <w:rsid w:val="7161057A"/>
    <w:rsid w:val="71685DAD"/>
    <w:rsid w:val="71760D33"/>
    <w:rsid w:val="7179553A"/>
    <w:rsid w:val="717958C4"/>
    <w:rsid w:val="717C1858"/>
    <w:rsid w:val="7182411F"/>
    <w:rsid w:val="71840147"/>
    <w:rsid w:val="718A4B57"/>
    <w:rsid w:val="719130E6"/>
    <w:rsid w:val="71920D2A"/>
    <w:rsid w:val="71931163"/>
    <w:rsid w:val="71A208FD"/>
    <w:rsid w:val="71AD2DDE"/>
    <w:rsid w:val="71C034F3"/>
    <w:rsid w:val="71C13613"/>
    <w:rsid w:val="71C57BB8"/>
    <w:rsid w:val="71CE706C"/>
    <w:rsid w:val="71D51EF2"/>
    <w:rsid w:val="71D932B7"/>
    <w:rsid w:val="71EB6A14"/>
    <w:rsid w:val="71EC42E8"/>
    <w:rsid w:val="71ED7A78"/>
    <w:rsid w:val="7207078C"/>
    <w:rsid w:val="720A5E7E"/>
    <w:rsid w:val="721169B3"/>
    <w:rsid w:val="72120143"/>
    <w:rsid w:val="72150A46"/>
    <w:rsid w:val="721F6552"/>
    <w:rsid w:val="72222707"/>
    <w:rsid w:val="722E596A"/>
    <w:rsid w:val="722F3DFA"/>
    <w:rsid w:val="72340516"/>
    <w:rsid w:val="723E7A36"/>
    <w:rsid w:val="72403C7E"/>
    <w:rsid w:val="72477770"/>
    <w:rsid w:val="725400DF"/>
    <w:rsid w:val="72572D1E"/>
    <w:rsid w:val="725E7F10"/>
    <w:rsid w:val="72613807"/>
    <w:rsid w:val="727238EA"/>
    <w:rsid w:val="727429AB"/>
    <w:rsid w:val="72920205"/>
    <w:rsid w:val="7292139F"/>
    <w:rsid w:val="729A6D07"/>
    <w:rsid w:val="72A22A1E"/>
    <w:rsid w:val="72A9136A"/>
    <w:rsid w:val="72AC2B54"/>
    <w:rsid w:val="72AE628D"/>
    <w:rsid w:val="72CC4119"/>
    <w:rsid w:val="72EE6064"/>
    <w:rsid w:val="73062743"/>
    <w:rsid w:val="731F693F"/>
    <w:rsid w:val="732E03B5"/>
    <w:rsid w:val="732E72F9"/>
    <w:rsid w:val="73334198"/>
    <w:rsid w:val="733A5C69"/>
    <w:rsid w:val="733A771A"/>
    <w:rsid w:val="733F6699"/>
    <w:rsid w:val="73491E8F"/>
    <w:rsid w:val="7355638E"/>
    <w:rsid w:val="735F0AE9"/>
    <w:rsid w:val="73643DE1"/>
    <w:rsid w:val="73671066"/>
    <w:rsid w:val="736F0A6B"/>
    <w:rsid w:val="737722D7"/>
    <w:rsid w:val="737C66C2"/>
    <w:rsid w:val="73832A2A"/>
    <w:rsid w:val="738F6E24"/>
    <w:rsid w:val="73966C01"/>
    <w:rsid w:val="739B64B9"/>
    <w:rsid w:val="73AE76A4"/>
    <w:rsid w:val="73AF7CC3"/>
    <w:rsid w:val="73BA31F7"/>
    <w:rsid w:val="73CE218C"/>
    <w:rsid w:val="73D05762"/>
    <w:rsid w:val="73E31FE5"/>
    <w:rsid w:val="7410142A"/>
    <w:rsid w:val="7429771C"/>
    <w:rsid w:val="742B4687"/>
    <w:rsid w:val="742E75A7"/>
    <w:rsid w:val="74337DA4"/>
    <w:rsid w:val="74402983"/>
    <w:rsid w:val="74416C47"/>
    <w:rsid w:val="7443230A"/>
    <w:rsid w:val="746016FA"/>
    <w:rsid w:val="74707C36"/>
    <w:rsid w:val="74714E72"/>
    <w:rsid w:val="7481790F"/>
    <w:rsid w:val="748F3650"/>
    <w:rsid w:val="748F714F"/>
    <w:rsid w:val="7490135F"/>
    <w:rsid w:val="74A878F0"/>
    <w:rsid w:val="74B35815"/>
    <w:rsid w:val="74B62BF8"/>
    <w:rsid w:val="74B8613C"/>
    <w:rsid w:val="74C4223F"/>
    <w:rsid w:val="74C468F8"/>
    <w:rsid w:val="74CB0937"/>
    <w:rsid w:val="74D552C0"/>
    <w:rsid w:val="74D769FD"/>
    <w:rsid w:val="74E514C2"/>
    <w:rsid w:val="74E52C9C"/>
    <w:rsid w:val="74F86CED"/>
    <w:rsid w:val="751A4786"/>
    <w:rsid w:val="75202EB4"/>
    <w:rsid w:val="75355FA6"/>
    <w:rsid w:val="753A35BC"/>
    <w:rsid w:val="753C2362"/>
    <w:rsid w:val="753C5BE5"/>
    <w:rsid w:val="7544576F"/>
    <w:rsid w:val="75454A9D"/>
    <w:rsid w:val="75480A0A"/>
    <w:rsid w:val="75550D0E"/>
    <w:rsid w:val="75622B13"/>
    <w:rsid w:val="757C314C"/>
    <w:rsid w:val="757E33E6"/>
    <w:rsid w:val="75871D6C"/>
    <w:rsid w:val="758D193E"/>
    <w:rsid w:val="7590605C"/>
    <w:rsid w:val="75947D87"/>
    <w:rsid w:val="75956A44"/>
    <w:rsid w:val="759919C8"/>
    <w:rsid w:val="759D521C"/>
    <w:rsid w:val="75B02F99"/>
    <w:rsid w:val="75B6393A"/>
    <w:rsid w:val="75B74C0D"/>
    <w:rsid w:val="75C31342"/>
    <w:rsid w:val="75CD674E"/>
    <w:rsid w:val="75D44E5F"/>
    <w:rsid w:val="75D532E5"/>
    <w:rsid w:val="75D73501"/>
    <w:rsid w:val="75E023B5"/>
    <w:rsid w:val="75F7399D"/>
    <w:rsid w:val="75FD16BD"/>
    <w:rsid w:val="75FF3BCF"/>
    <w:rsid w:val="76026FDA"/>
    <w:rsid w:val="76085468"/>
    <w:rsid w:val="76225710"/>
    <w:rsid w:val="762301E1"/>
    <w:rsid w:val="76311F84"/>
    <w:rsid w:val="763B7D07"/>
    <w:rsid w:val="764A0CBE"/>
    <w:rsid w:val="76514429"/>
    <w:rsid w:val="76684159"/>
    <w:rsid w:val="766A1C7F"/>
    <w:rsid w:val="766B5E5D"/>
    <w:rsid w:val="766D2264"/>
    <w:rsid w:val="767135EB"/>
    <w:rsid w:val="767720EA"/>
    <w:rsid w:val="767C48BF"/>
    <w:rsid w:val="767E5FFC"/>
    <w:rsid w:val="767F34B5"/>
    <w:rsid w:val="7682047B"/>
    <w:rsid w:val="76871AD9"/>
    <w:rsid w:val="7695128E"/>
    <w:rsid w:val="76966F18"/>
    <w:rsid w:val="76A43EB3"/>
    <w:rsid w:val="76A56138"/>
    <w:rsid w:val="76A82115"/>
    <w:rsid w:val="76D16731"/>
    <w:rsid w:val="76D25C7C"/>
    <w:rsid w:val="76D30A98"/>
    <w:rsid w:val="76D96E05"/>
    <w:rsid w:val="76E9529A"/>
    <w:rsid w:val="76F1294D"/>
    <w:rsid w:val="76F61765"/>
    <w:rsid w:val="76FE67AA"/>
    <w:rsid w:val="76FF50F3"/>
    <w:rsid w:val="77083F34"/>
    <w:rsid w:val="770F6259"/>
    <w:rsid w:val="77127548"/>
    <w:rsid w:val="771F0CBB"/>
    <w:rsid w:val="772466C2"/>
    <w:rsid w:val="77447586"/>
    <w:rsid w:val="774B4FFE"/>
    <w:rsid w:val="774F434C"/>
    <w:rsid w:val="77523473"/>
    <w:rsid w:val="77553B74"/>
    <w:rsid w:val="775753BA"/>
    <w:rsid w:val="7762586D"/>
    <w:rsid w:val="776E5551"/>
    <w:rsid w:val="77797AE3"/>
    <w:rsid w:val="777A5235"/>
    <w:rsid w:val="77803F76"/>
    <w:rsid w:val="778068D9"/>
    <w:rsid w:val="778C06AA"/>
    <w:rsid w:val="779561E8"/>
    <w:rsid w:val="77980565"/>
    <w:rsid w:val="77A2369A"/>
    <w:rsid w:val="77B84C6C"/>
    <w:rsid w:val="77C60E96"/>
    <w:rsid w:val="77D01FB6"/>
    <w:rsid w:val="77D84510"/>
    <w:rsid w:val="77DA1086"/>
    <w:rsid w:val="77E126BA"/>
    <w:rsid w:val="77E9603D"/>
    <w:rsid w:val="77F273D8"/>
    <w:rsid w:val="77F44BF7"/>
    <w:rsid w:val="77F75794"/>
    <w:rsid w:val="77FD38AE"/>
    <w:rsid w:val="78043237"/>
    <w:rsid w:val="78100D89"/>
    <w:rsid w:val="781C51FB"/>
    <w:rsid w:val="78682435"/>
    <w:rsid w:val="786A5CAD"/>
    <w:rsid w:val="78886285"/>
    <w:rsid w:val="788F35E0"/>
    <w:rsid w:val="78966DE6"/>
    <w:rsid w:val="78972E32"/>
    <w:rsid w:val="789F62F5"/>
    <w:rsid w:val="78B33C13"/>
    <w:rsid w:val="78B9139F"/>
    <w:rsid w:val="78BA1843"/>
    <w:rsid w:val="78BD4522"/>
    <w:rsid w:val="78BF07B9"/>
    <w:rsid w:val="78C02B79"/>
    <w:rsid w:val="78C277FD"/>
    <w:rsid w:val="78C728B3"/>
    <w:rsid w:val="78C903AD"/>
    <w:rsid w:val="78E6034E"/>
    <w:rsid w:val="790C5FAF"/>
    <w:rsid w:val="790C7784"/>
    <w:rsid w:val="79164340"/>
    <w:rsid w:val="791813B9"/>
    <w:rsid w:val="791A3E30"/>
    <w:rsid w:val="792012A6"/>
    <w:rsid w:val="792136D7"/>
    <w:rsid w:val="79304861"/>
    <w:rsid w:val="79316E88"/>
    <w:rsid w:val="79327CC0"/>
    <w:rsid w:val="7937409E"/>
    <w:rsid w:val="793876EF"/>
    <w:rsid w:val="793B59AB"/>
    <w:rsid w:val="794C5FB4"/>
    <w:rsid w:val="79535D1B"/>
    <w:rsid w:val="79560566"/>
    <w:rsid w:val="79692E96"/>
    <w:rsid w:val="79695A94"/>
    <w:rsid w:val="79735FFE"/>
    <w:rsid w:val="798F00FE"/>
    <w:rsid w:val="79913601"/>
    <w:rsid w:val="79976F87"/>
    <w:rsid w:val="799D236B"/>
    <w:rsid w:val="79A36A61"/>
    <w:rsid w:val="79A731EA"/>
    <w:rsid w:val="79B4002B"/>
    <w:rsid w:val="79B96FD5"/>
    <w:rsid w:val="79CF6D12"/>
    <w:rsid w:val="79D16AD3"/>
    <w:rsid w:val="79D85059"/>
    <w:rsid w:val="79E72D0B"/>
    <w:rsid w:val="79F503F9"/>
    <w:rsid w:val="7A134455"/>
    <w:rsid w:val="7A20416A"/>
    <w:rsid w:val="7A213A5B"/>
    <w:rsid w:val="7A2860D9"/>
    <w:rsid w:val="7A307C87"/>
    <w:rsid w:val="7A3C2F21"/>
    <w:rsid w:val="7A4078C7"/>
    <w:rsid w:val="7A430287"/>
    <w:rsid w:val="7A43200F"/>
    <w:rsid w:val="7A4E0739"/>
    <w:rsid w:val="7A5275FA"/>
    <w:rsid w:val="7A554441"/>
    <w:rsid w:val="7A57096E"/>
    <w:rsid w:val="7A5756C4"/>
    <w:rsid w:val="7A614BD3"/>
    <w:rsid w:val="7A796F16"/>
    <w:rsid w:val="7A7B2AC8"/>
    <w:rsid w:val="7A8A5D97"/>
    <w:rsid w:val="7A963A05"/>
    <w:rsid w:val="7A980C7E"/>
    <w:rsid w:val="7A9E45ED"/>
    <w:rsid w:val="7AA67DE3"/>
    <w:rsid w:val="7ABA7F61"/>
    <w:rsid w:val="7ABB6566"/>
    <w:rsid w:val="7AC00470"/>
    <w:rsid w:val="7ACC2F08"/>
    <w:rsid w:val="7AD13F8D"/>
    <w:rsid w:val="7AD2618C"/>
    <w:rsid w:val="7AE3214D"/>
    <w:rsid w:val="7AEB5B6D"/>
    <w:rsid w:val="7AFF37D8"/>
    <w:rsid w:val="7B016CDB"/>
    <w:rsid w:val="7B064AAD"/>
    <w:rsid w:val="7B0940E7"/>
    <w:rsid w:val="7B0E0EC4"/>
    <w:rsid w:val="7B15597B"/>
    <w:rsid w:val="7B2E4784"/>
    <w:rsid w:val="7B3B47AE"/>
    <w:rsid w:val="7B3F192C"/>
    <w:rsid w:val="7B526932"/>
    <w:rsid w:val="7B5754EB"/>
    <w:rsid w:val="7B5A4212"/>
    <w:rsid w:val="7B640754"/>
    <w:rsid w:val="7B6C6499"/>
    <w:rsid w:val="7B7F05B8"/>
    <w:rsid w:val="7B866F34"/>
    <w:rsid w:val="7B8E3089"/>
    <w:rsid w:val="7B965D35"/>
    <w:rsid w:val="7B987B1F"/>
    <w:rsid w:val="7B9C1B1E"/>
    <w:rsid w:val="7BB9230A"/>
    <w:rsid w:val="7BBE2AF4"/>
    <w:rsid w:val="7BC24B9B"/>
    <w:rsid w:val="7BC3629A"/>
    <w:rsid w:val="7BD552D0"/>
    <w:rsid w:val="7BE213D0"/>
    <w:rsid w:val="7BE35E80"/>
    <w:rsid w:val="7C031D81"/>
    <w:rsid w:val="7C1101E9"/>
    <w:rsid w:val="7C240B22"/>
    <w:rsid w:val="7C305760"/>
    <w:rsid w:val="7C354ADD"/>
    <w:rsid w:val="7C3D46FA"/>
    <w:rsid w:val="7C3E6787"/>
    <w:rsid w:val="7C453F17"/>
    <w:rsid w:val="7C484A74"/>
    <w:rsid w:val="7C4F2043"/>
    <w:rsid w:val="7C502412"/>
    <w:rsid w:val="7C53287A"/>
    <w:rsid w:val="7C551BF0"/>
    <w:rsid w:val="7C593D11"/>
    <w:rsid w:val="7C5B46DC"/>
    <w:rsid w:val="7C626CEC"/>
    <w:rsid w:val="7C6333B9"/>
    <w:rsid w:val="7C667A27"/>
    <w:rsid w:val="7C7827EF"/>
    <w:rsid w:val="7C817F6E"/>
    <w:rsid w:val="7C8543F1"/>
    <w:rsid w:val="7C8932DF"/>
    <w:rsid w:val="7C8B6DF3"/>
    <w:rsid w:val="7C8D5568"/>
    <w:rsid w:val="7C935F3C"/>
    <w:rsid w:val="7C943EFA"/>
    <w:rsid w:val="7C985E4B"/>
    <w:rsid w:val="7C9B7036"/>
    <w:rsid w:val="7CA00285"/>
    <w:rsid w:val="7CA37C99"/>
    <w:rsid w:val="7CA57EB5"/>
    <w:rsid w:val="7CA66985"/>
    <w:rsid w:val="7CA81753"/>
    <w:rsid w:val="7CB0600F"/>
    <w:rsid w:val="7CB33210"/>
    <w:rsid w:val="7CC20EBA"/>
    <w:rsid w:val="7CD442F6"/>
    <w:rsid w:val="7CD65874"/>
    <w:rsid w:val="7CE1176F"/>
    <w:rsid w:val="7CE710FA"/>
    <w:rsid w:val="7CEC5AE4"/>
    <w:rsid w:val="7CF46211"/>
    <w:rsid w:val="7D08162E"/>
    <w:rsid w:val="7D1604F2"/>
    <w:rsid w:val="7D163141"/>
    <w:rsid w:val="7D204AD7"/>
    <w:rsid w:val="7D3C33A6"/>
    <w:rsid w:val="7D3F5AB3"/>
    <w:rsid w:val="7D40500C"/>
    <w:rsid w:val="7D5B67C5"/>
    <w:rsid w:val="7D662422"/>
    <w:rsid w:val="7D6A3C51"/>
    <w:rsid w:val="7D744336"/>
    <w:rsid w:val="7D7A30EF"/>
    <w:rsid w:val="7D861EFD"/>
    <w:rsid w:val="7D8F2EA3"/>
    <w:rsid w:val="7D9321ED"/>
    <w:rsid w:val="7D944A96"/>
    <w:rsid w:val="7DBC6672"/>
    <w:rsid w:val="7DC26844"/>
    <w:rsid w:val="7DC31C1C"/>
    <w:rsid w:val="7DC47E0B"/>
    <w:rsid w:val="7DC93BA1"/>
    <w:rsid w:val="7DDC7906"/>
    <w:rsid w:val="7DDE3C10"/>
    <w:rsid w:val="7DE7303A"/>
    <w:rsid w:val="7DE7321B"/>
    <w:rsid w:val="7DEA23D2"/>
    <w:rsid w:val="7DEE0627"/>
    <w:rsid w:val="7E103B41"/>
    <w:rsid w:val="7E1E2975"/>
    <w:rsid w:val="7E2E6078"/>
    <w:rsid w:val="7E312396"/>
    <w:rsid w:val="7E4055DF"/>
    <w:rsid w:val="7E434EF6"/>
    <w:rsid w:val="7E4D6442"/>
    <w:rsid w:val="7E511CD5"/>
    <w:rsid w:val="7E552738"/>
    <w:rsid w:val="7E5F1BE0"/>
    <w:rsid w:val="7E631DD5"/>
    <w:rsid w:val="7E6D0CF1"/>
    <w:rsid w:val="7E772B0A"/>
    <w:rsid w:val="7E7A465F"/>
    <w:rsid w:val="7E810AA8"/>
    <w:rsid w:val="7EA36676"/>
    <w:rsid w:val="7EA96B5C"/>
    <w:rsid w:val="7EAF1794"/>
    <w:rsid w:val="7EB77390"/>
    <w:rsid w:val="7EBA0E62"/>
    <w:rsid w:val="7EBF0D00"/>
    <w:rsid w:val="7ECB1729"/>
    <w:rsid w:val="7ECD36F3"/>
    <w:rsid w:val="7ED46AB7"/>
    <w:rsid w:val="7EE12F7C"/>
    <w:rsid w:val="7EE8199C"/>
    <w:rsid w:val="7EFE0754"/>
    <w:rsid w:val="7F0D2526"/>
    <w:rsid w:val="7F107805"/>
    <w:rsid w:val="7F124F07"/>
    <w:rsid w:val="7F16569D"/>
    <w:rsid w:val="7F207CC7"/>
    <w:rsid w:val="7F2D5F40"/>
    <w:rsid w:val="7F306AFA"/>
    <w:rsid w:val="7F3A61C6"/>
    <w:rsid w:val="7F3E6D16"/>
    <w:rsid w:val="7F404B08"/>
    <w:rsid w:val="7F465DED"/>
    <w:rsid w:val="7F4A08A0"/>
    <w:rsid w:val="7F52620A"/>
    <w:rsid w:val="7F5431F8"/>
    <w:rsid w:val="7F5565A1"/>
    <w:rsid w:val="7F5E0122"/>
    <w:rsid w:val="7F621BEE"/>
    <w:rsid w:val="7F6C10C9"/>
    <w:rsid w:val="7F6E48F8"/>
    <w:rsid w:val="7F6E717F"/>
    <w:rsid w:val="7F7D0C75"/>
    <w:rsid w:val="7F883290"/>
    <w:rsid w:val="7F911058"/>
    <w:rsid w:val="7F9E25F4"/>
    <w:rsid w:val="7FB52506"/>
    <w:rsid w:val="7FD96613"/>
    <w:rsid w:val="7FDA6ECE"/>
    <w:rsid w:val="7FDF548C"/>
    <w:rsid w:val="7FF31FF6"/>
    <w:rsid w:val="7FF33F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iPriority="0" w:name="toc 2" w:locked="1"/>
    <w:lsdException w:qFormat="1" w:uiPriority="39"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iPriority="0" w:name="List Number" w:locked="1"/>
    <w:lsdException w:qFormat="1" w:uiPriority="0" w:semiHidden="0" w:name="List 2" w:locked="1"/>
    <w:lsdException w:uiPriority="0" w:name="List 3" w:locked="1"/>
    <w:lsdException w:uiPriority="0" w:name="List 4" w:locked="1"/>
    <w:lsdException w:qFormat="1" w:unhideWhenUsed="0" w:uiPriority="0" w:semiHidden="0" w:name="List 5" w:locked="1"/>
    <w:lsdException w:uiPriority="0" w:name="List Bullet 2" w:locked="1"/>
    <w:lsdException w:uiPriority="0" w:name="List Bullet 3" w:locked="1"/>
    <w:lsdException w:uiPriority="0" w:name="List Bullet 4" w:locked="1"/>
    <w:lsdException w:qFormat="1"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qFormat="1" w:unhideWhenUsed="0" w:uiPriority="0" w:semiHidden="0" w:name="Body Text Indent 3" w:locked="1"/>
    <w:lsdException w:qFormat="1" w:uiPriority="99" w:name="Block Text" w:locked="1"/>
    <w:lsdException w:qFormat="1" w:uiPriority="99"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7"/>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48"/>
    <w:unhideWhenUsed/>
    <w:qFormat/>
    <w:locked/>
    <w:uiPriority w:val="9"/>
    <w:pPr>
      <w:keepNext/>
      <w:keepLines/>
      <w:spacing w:before="260" w:after="260" w:line="413" w:lineRule="auto"/>
      <w:outlineLvl w:val="1"/>
    </w:pPr>
    <w:rPr>
      <w:rFonts w:ascii="Arial" w:hAnsi="Arial" w:eastAsia="黑体"/>
      <w:b/>
      <w:sz w:val="32"/>
    </w:rPr>
  </w:style>
  <w:style w:type="paragraph" w:styleId="7">
    <w:name w:val="heading 3"/>
    <w:basedOn w:val="1"/>
    <w:next w:val="1"/>
    <w:link w:val="49"/>
    <w:qFormat/>
    <w:locked/>
    <w:uiPriority w:val="0"/>
    <w:pPr>
      <w:keepNext/>
      <w:keepLines/>
      <w:spacing w:before="260" w:after="260" w:line="416" w:lineRule="auto"/>
      <w:outlineLvl w:val="2"/>
    </w:pPr>
    <w:rPr>
      <w:b/>
      <w:bCs/>
      <w:sz w:val="32"/>
      <w:szCs w:val="32"/>
    </w:rPr>
  </w:style>
  <w:style w:type="paragraph" w:styleId="8">
    <w:name w:val="heading 4"/>
    <w:basedOn w:val="1"/>
    <w:next w:val="1"/>
    <w:link w:val="50"/>
    <w:qFormat/>
    <w:locked/>
    <w:uiPriority w:val="0"/>
    <w:pPr>
      <w:widowControl/>
      <w:spacing w:line="500" w:lineRule="atLeast"/>
      <w:jc w:val="left"/>
      <w:outlineLvl w:val="3"/>
    </w:pPr>
    <w:rPr>
      <w:rFonts w:ascii="Calibri" w:hAnsi="Calibri"/>
      <w:kern w:val="0"/>
      <w:sz w:val="28"/>
      <w:szCs w:val="20"/>
    </w:rPr>
  </w:style>
  <w:style w:type="paragraph" w:styleId="9">
    <w:name w:val="heading 6"/>
    <w:basedOn w:val="1"/>
    <w:next w:val="1"/>
    <w:link w:val="115"/>
    <w:semiHidden/>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34">
    <w:name w:val="Default Paragraph Font"/>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locked/>
    <w:uiPriority w:val="0"/>
    <w:pPr>
      <w:ind w:firstLine="420" w:firstLineChars="200"/>
    </w:pPr>
    <w:rPr>
      <w:sz w:val="20"/>
    </w:rPr>
  </w:style>
  <w:style w:type="paragraph" w:styleId="3">
    <w:name w:val="Body Text Indent"/>
    <w:basedOn w:val="1"/>
    <w:next w:val="4"/>
    <w:link w:val="55"/>
    <w:qFormat/>
    <w:uiPriority w:val="0"/>
    <w:pPr>
      <w:spacing w:after="120"/>
      <w:ind w:left="420" w:leftChars="200"/>
    </w:pPr>
    <w:rPr>
      <w:kern w:val="0"/>
      <w:sz w:val="24"/>
      <w:szCs w:val="20"/>
    </w:rPr>
  </w:style>
  <w:style w:type="paragraph" w:styleId="4">
    <w:name w:val="Normal Indent"/>
    <w:basedOn w:val="1"/>
    <w:next w:val="1"/>
    <w:link w:val="51"/>
    <w:qFormat/>
    <w:locked/>
    <w:uiPriority w:val="0"/>
    <w:pPr>
      <w:widowControl/>
      <w:spacing w:line="240" w:lineRule="exact"/>
      <w:ind w:firstLine="420" w:firstLineChars="200"/>
      <w:jc w:val="left"/>
    </w:pPr>
    <w:rPr>
      <w:kern w:val="0"/>
      <w:sz w:val="20"/>
      <w:szCs w:val="20"/>
    </w:rPr>
  </w:style>
  <w:style w:type="paragraph" w:styleId="10">
    <w:name w:val="caption"/>
    <w:basedOn w:val="1"/>
    <w:next w:val="1"/>
    <w:qFormat/>
    <w:locked/>
    <w:uiPriority w:val="0"/>
    <w:pPr>
      <w:jc w:val="center"/>
    </w:pPr>
    <w:rPr>
      <w:rFonts w:eastAsia="仿宋_GB2312"/>
      <w:b/>
      <w:sz w:val="24"/>
      <w:szCs w:val="20"/>
    </w:rPr>
  </w:style>
  <w:style w:type="paragraph" w:styleId="11">
    <w:name w:val="Document Map"/>
    <w:basedOn w:val="1"/>
    <w:link w:val="52"/>
    <w:qFormat/>
    <w:locked/>
    <w:uiPriority w:val="0"/>
    <w:rPr>
      <w:rFonts w:ascii="宋体"/>
      <w:sz w:val="18"/>
      <w:szCs w:val="18"/>
    </w:rPr>
  </w:style>
  <w:style w:type="paragraph" w:styleId="12">
    <w:name w:val="annotation text"/>
    <w:basedOn w:val="1"/>
    <w:link w:val="53"/>
    <w:qFormat/>
    <w:uiPriority w:val="99"/>
    <w:pPr>
      <w:jc w:val="left"/>
    </w:pPr>
    <w:rPr>
      <w:kern w:val="0"/>
      <w:sz w:val="24"/>
      <w:szCs w:val="20"/>
    </w:rPr>
  </w:style>
  <w:style w:type="paragraph" w:styleId="13">
    <w:name w:val="Body Text"/>
    <w:basedOn w:val="1"/>
    <w:next w:val="14"/>
    <w:link w:val="54"/>
    <w:qFormat/>
    <w:uiPriority w:val="0"/>
    <w:pPr>
      <w:widowControl/>
      <w:snapToGrid w:val="0"/>
      <w:spacing w:before="60" w:after="160" w:line="259" w:lineRule="auto"/>
      <w:ind w:right="113"/>
    </w:pPr>
    <w:rPr>
      <w:kern w:val="0"/>
      <w:sz w:val="18"/>
      <w:szCs w:val="20"/>
    </w:rPr>
  </w:style>
  <w:style w:type="paragraph" w:styleId="14">
    <w:name w:val="List Bullet 5"/>
    <w:basedOn w:val="1"/>
    <w:semiHidden/>
    <w:unhideWhenUsed/>
    <w:qFormat/>
    <w:locked/>
    <w:uiPriority w:val="0"/>
    <w:pPr>
      <w:numPr>
        <w:ilvl w:val="0"/>
        <w:numId w:val="1"/>
      </w:numPr>
    </w:pPr>
  </w:style>
  <w:style w:type="paragraph" w:styleId="15">
    <w:name w:val="List 2"/>
    <w:basedOn w:val="1"/>
    <w:unhideWhenUsed/>
    <w:qFormat/>
    <w:locked/>
    <w:uiPriority w:val="0"/>
    <w:pPr>
      <w:widowControl/>
      <w:spacing w:line="240" w:lineRule="exact"/>
      <w:ind w:left="100" w:leftChars="200" w:hanging="200" w:hangingChars="200"/>
      <w:contextualSpacing/>
      <w:jc w:val="left"/>
    </w:pPr>
    <w:rPr>
      <w:kern w:val="0"/>
      <w:sz w:val="20"/>
      <w:szCs w:val="20"/>
    </w:rPr>
  </w:style>
  <w:style w:type="paragraph" w:styleId="16">
    <w:name w:val="Block Text"/>
    <w:basedOn w:val="1"/>
    <w:semiHidden/>
    <w:unhideWhenUsed/>
    <w:qFormat/>
    <w:locked/>
    <w:uiPriority w:val="99"/>
    <w:pPr>
      <w:spacing w:after="120"/>
      <w:ind w:left="1440" w:leftChars="700" w:right="1440" w:rightChars="700"/>
    </w:pPr>
  </w:style>
  <w:style w:type="paragraph" w:styleId="17">
    <w:name w:val="toc 3"/>
    <w:basedOn w:val="1"/>
    <w:next w:val="1"/>
    <w:unhideWhenUsed/>
    <w:qFormat/>
    <w:locked/>
    <w:uiPriority w:val="39"/>
    <w:pPr>
      <w:ind w:left="840" w:leftChars="400"/>
    </w:pPr>
  </w:style>
  <w:style w:type="paragraph" w:styleId="18">
    <w:name w:val="Plain Text"/>
    <w:basedOn w:val="1"/>
    <w:link w:val="120"/>
    <w:semiHidden/>
    <w:unhideWhenUsed/>
    <w:qFormat/>
    <w:locked/>
    <w:uiPriority w:val="0"/>
    <w:rPr>
      <w:rFonts w:hAnsi="Courier New" w:cs="Courier New" w:asciiTheme="minorEastAsia" w:eastAsiaTheme="minorEastAsia"/>
    </w:rPr>
  </w:style>
  <w:style w:type="paragraph" w:styleId="19">
    <w:name w:val="Date"/>
    <w:basedOn w:val="1"/>
    <w:next w:val="1"/>
    <w:link w:val="56"/>
    <w:qFormat/>
    <w:uiPriority w:val="0"/>
    <w:pPr>
      <w:ind w:left="100" w:leftChars="2500"/>
    </w:pPr>
    <w:rPr>
      <w:kern w:val="0"/>
      <w:sz w:val="24"/>
      <w:szCs w:val="20"/>
    </w:rPr>
  </w:style>
  <w:style w:type="paragraph" w:styleId="20">
    <w:name w:val="Balloon Text"/>
    <w:basedOn w:val="1"/>
    <w:link w:val="57"/>
    <w:semiHidden/>
    <w:qFormat/>
    <w:uiPriority w:val="0"/>
    <w:rPr>
      <w:kern w:val="0"/>
      <w:sz w:val="18"/>
      <w:szCs w:val="20"/>
    </w:rPr>
  </w:style>
  <w:style w:type="paragraph" w:styleId="21">
    <w:name w:val="footer"/>
    <w:basedOn w:val="1"/>
    <w:link w:val="58"/>
    <w:qFormat/>
    <w:uiPriority w:val="99"/>
    <w:pPr>
      <w:tabs>
        <w:tab w:val="center" w:pos="4153"/>
        <w:tab w:val="right" w:pos="8306"/>
      </w:tabs>
      <w:snapToGrid w:val="0"/>
      <w:jc w:val="left"/>
    </w:pPr>
    <w:rPr>
      <w:kern w:val="0"/>
      <w:sz w:val="18"/>
      <w:szCs w:val="20"/>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locked/>
    <w:uiPriority w:val="39"/>
  </w:style>
  <w:style w:type="paragraph" w:styleId="24">
    <w:name w:val="index heading"/>
    <w:basedOn w:val="1"/>
    <w:next w:val="25"/>
    <w:qFormat/>
    <w:locked/>
    <w:uiPriority w:val="99"/>
    <w:pPr>
      <w:spacing w:line="500" w:lineRule="exact"/>
    </w:pPr>
    <w:rPr>
      <w:rFonts w:ascii="仿宋_GB2312" w:eastAsia="仿宋_GB2312" w:cstheme="minorBidi"/>
      <w:sz w:val="28"/>
      <w:szCs w:val="20"/>
    </w:rPr>
  </w:style>
  <w:style w:type="paragraph" w:styleId="25">
    <w:name w:val="index 1"/>
    <w:basedOn w:val="1"/>
    <w:next w:val="1"/>
    <w:unhideWhenUsed/>
    <w:qFormat/>
    <w:locked/>
    <w:uiPriority w:val="0"/>
  </w:style>
  <w:style w:type="paragraph" w:styleId="26">
    <w:name w:val="List 5"/>
    <w:basedOn w:val="1"/>
    <w:qFormat/>
    <w:locked/>
    <w:uiPriority w:val="0"/>
    <w:pPr>
      <w:widowControl/>
      <w:tabs>
        <w:tab w:val="left" w:pos="780"/>
      </w:tabs>
      <w:spacing w:before="50" w:line="500" w:lineRule="exact"/>
      <w:ind w:left="780" w:hanging="360"/>
      <w:jc w:val="left"/>
    </w:pPr>
    <w:rPr>
      <w:rFonts w:hint="eastAsia"/>
      <w:spacing w:val="6"/>
      <w:kern w:val="0"/>
      <w:sz w:val="28"/>
      <w:szCs w:val="20"/>
    </w:rPr>
  </w:style>
  <w:style w:type="paragraph" w:styleId="27">
    <w:name w:val="Body Text Indent 3"/>
    <w:basedOn w:val="1"/>
    <w:link w:val="60"/>
    <w:qFormat/>
    <w:locked/>
    <w:uiPriority w:val="0"/>
    <w:pPr>
      <w:spacing w:after="120"/>
      <w:ind w:left="420" w:leftChars="200"/>
    </w:pPr>
    <w:rPr>
      <w:sz w:val="16"/>
      <w:szCs w:val="16"/>
    </w:rPr>
  </w:style>
  <w:style w:type="paragraph" w:styleId="28">
    <w:name w:val="toc 2"/>
    <w:basedOn w:val="1"/>
    <w:next w:val="1"/>
    <w:semiHidden/>
    <w:unhideWhenUsed/>
    <w:qFormat/>
    <w:locked/>
    <w:uiPriority w:val="0"/>
    <w:pPr>
      <w:ind w:left="420" w:leftChars="200"/>
    </w:pPr>
  </w:style>
  <w:style w:type="paragraph" w:styleId="29">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2"/>
    <w:next w:val="12"/>
    <w:link w:val="62"/>
    <w:semiHidden/>
    <w:qFormat/>
    <w:uiPriority w:val="0"/>
    <w:rPr>
      <w:b/>
      <w:kern w:val="2"/>
    </w:rPr>
  </w:style>
  <w:style w:type="paragraph" w:styleId="31">
    <w:name w:val="Body Text First Indent"/>
    <w:basedOn w:val="13"/>
    <w:next w:val="1"/>
    <w:qFormat/>
    <w:locked/>
    <w:uiPriority w:val="0"/>
    <w:pPr>
      <w:widowControl w:val="0"/>
      <w:snapToGrid/>
      <w:spacing w:before="0" w:after="120" w:line="240" w:lineRule="auto"/>
      <w:ind w:right="0" w:firstLine="420" w:firstLineChars="100"/>
    </w:pPr>
    <w:rPr>
      <w:kern w:val="2"/>
      <w:sz w:val="21"/>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locked/>
    <w:uiPriority w:val="22"/>
    <w:rPr>
      <w:b/>
      <w:bCs/>
    </w:rPr>
  </w:style>
  <w:style w:type="character" w:styleId="36">
    <w:name w:val="page number"/>
    <w:basedOn w:val="34"/>
    <w:qFormat/>
    <w:locked/>
    <w:uiPriority w:val="0"/>
  </w:style>
  <w:style w:type="character" w:styleId="37">
    <w:name w:val="Emphasis"/>
    <w:basedOn w:val="34"/>
    <w:qFormat/>
    <w:locked/>
    <w:uiPriority w:val="20"/>
    <w:rPr>
      <w:i/>
      <w:iCs/>
    </w:rPr>
  </w:style>
  <w:style w:type="character" w:styleId="38">
    <w:name w:val="Hyperlink"/>
    <w:basedOn w:val="34"/>
    <w:unhideWhenUsed/>
    <w:qFormat/>
    <w:locked/>
    <w:uiPriority w:val="99"/>
    <w:rPr>
      <w:color w:val="0000FF" w:themeColor="hyperlink"/>
      <w:u w:val="single"/>
      <w14:textFill>
        <w14:solidFill>
          <w14:schemeClr w14:val="hlink"/>
        </w14:solidFill>
      </w14:textFill>
    </w:rPr>
  </w:style>
  <w:style w:type="character" w:styleId="39">
    <w:name w:val="annotation reference"/>
    <w:basedOn w:val="34"/>
    <w:qFormat/>
    <w:uiPriority w:val="99"/>
    <w:rPr>
      <w:sz w:val="21"/>
    </w:rPr>
  </w:style>
  <w:style w:type="paragraph" w:customStyle="1" w:styleId="40">
    <w:name w:val="Default"/>
    <w:basedOn w:val="41"/>
    <w:next w:val="2"/>
    <w:qFormat/>
    <w:uiPriority w:val="0"/>
    <w:pPr>
      <w:autoSpaceDE w:val="0"/>
      <w:autoSpaceDN w:val="0"/>
      <w:adjustRightInd w:val="0"/>
      <w:spacing w:line="240" w:lineRule="exact"/>
    </w:pPr>
    <w:rPr>
      <w:rFonts w:ascii="宋体" w:hAnsi="宋体"/>
      <w:color w:val="000000"/>
      <w:sz w:val="24"/>
    </w:rPr>
  </w:style>
  <w:style w:type="paragraph" w:customStyle="1" w:styleId="41">
    <w:name w:val="标题 段落4级"/>
    <w:basedOn w:val="42"/>
    <w:next w:val="12"/>
    <w:qFormat/>
    <w:uiPriority w:val="0"/>
    <w:pPr>
      <w:outlineLvl w:val="3"/>
    </w:pPr>
    <w:rPr>
      <w:rFonts w:cs="Calibri"/>
      <w:b/>
    </w:rPr>
  </w:style>
  <w:style w:type="paragraph" w:customStyle="1" w:styleId="42">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43">
    <w:name w:val="纯文本1"/>
    <w:basedOn w:val="1"/>
    <w:qFormat/>
    <w:uiPriority w:val="0"/>
    <w:pPr>
      <w:adjustRightInd w:val="0"/>
      <w:textAlignment w:val="baseline"/>
    </w:pPr>
    <w:rPr>
      <w:rFonts w:ascii="宋体" w:hAnsi="Courier New"/>
      <w:kern w:val="0"/>
      <w:szCs w:val="20"/>
    </w:rPr>
  </w:style>
  <w:style w:type="paragraph" w:customStyle="1" w:styleId="44">
    <w:name w:val="正文1"/>
    <w:qFormat/>
    <w:uiPriority w:val="0"/>
    <w:pPr>
      <w:jc w:val="both"/>
    </w:pPr>
    <w:rPr>
      <w:rFonts w:ascii="Calibri" w:hAnsi="Calibri" w:eastAsia="宋体" w:cs="宋体"/>
      <w:kern w:val="2"/>
      <w:sz w:val="21"/>
      <w:szCs w:val="21"/>
      <w:lang w:val="en-US" w:eastAsia="zh-CN" w:bidi="ar-SA"/>
    </w:rPr>
  </w:style>
  <w:style w:type="paragraph" w:customStyle="1" w:styleId="45">
    <w:name w:val="表格"/>
    <w:basedOn w:val="1"/>
    <w:link w:val="46"/>
    <w:qFormat/>
    <w:uiPriority w:val="99"/>
    <w:pPr>
      <w:adjustRightInd w:val="0"/>
      <w:snapToGrid w:val="0"/>
      <w:spacing w:beforeLines="10" w:afterLines="10" w:line="259" w:lineRule="auto"/>
      <w:jc w:val="center"/>
    </w:pPr>
    <w:rPr>
      <w:rFonts w:ascii="宋体"/>
      <w:kern w:val="0"/>
      <w:szCs w:val="20"/>
    </w:rPr>
  </w:style>
  <w:style w:type="character" w:customStyle="1" w:styleId="46">
    <w:name w:val="表格 Char"/>
    <w:link w:val="45"/>
    <w:qFormat/>
    <w:locked/>
    <w:uiPriority w:val="99"/>
    <w:rPr>
      <w:rFonts w:ascii="宋体"/>
      <w:sz w:val="21"/>
    </w:rPr>
  </w:style>
  <w:style w:type="character" w:customStyle="1" w:styleId="47">
    <w:name w:val="标题 1 字符"/>
    <w:basedOn w:val="34"/>
    <w:link w:val="5"/>
    <w:qFormat/>
    <w:uiPriority w:val="99"/>
    <w:rPr>
      <w:rFonts w:eastAsia="黑体"/>
      <w:b/>
      <w:bCs/>
      <w:color w:val="000000"/>
      <w:kern w:val="44"/>
      <w:sz w:val="30"/>
      <w:szCs w:val="30"/>
    </w:rPr>
  </w:style>
  <w:style w:type="character" w:customStyle="1" w:styleId="48">
    <w:name w:val="标题 2 字符"/>
    <w:basedOn w:val="34"/>
    <w:link w:val="6"/>
    <w:qFormat/>
    <w:uiPriority w:val="9"/>
    <w:rPr>
      <w:rFonts w:ascii="Arial" w:hAnsi="Arial" w:eastAsia="黑体"/>
      <w:b/>
      <w:kern w:val="2"/>
      <w:sz w:val="32"/>
      <w:szCs w:val="24"/>
    </w:rPr>
  </w:style>
  <w:style w:type="character" w:customStyle="1" w:styleId="49">
    <w:name w:val="标题 3 字符"/>
    <w:basedOn w:val="34"/>
    <w:link w:val="7"/>
    <w:qFormat/>
    <w:uiPriority w:val="0"/>
    <w:rPr>
      <w:b/>
      <w:bCs/>
      <w:kern w:val="2"/>
      <w:sz w:val="32"/>
      <w:szCs w:val="32"/>
    </w:rPr>
  </w:style>
  <w:style w:type="character" w:customStyle="1" w:styleId="50">
    <w:name w:val="标题 4 字符"/>
    <w:link w:val="8"/>
    <w:qFormat/>
    <w:uiPriority w:val="0"/>
    <w:rPr>
      <w:rFonts w:ascii="Calibri" w:hAnsi="Calibri"/>
      <w:sz w:val="28"/>
    </w:rPr>
  </w:style>
  <w:style w:type="character" w:customStyle="1" w:styleId="51">
    <w:name w:val="正文缩进 字符"/>
    <w:basedOn w:val="34"/>
    <w:link w:val="4"/>
    <w:qFormat/>
    <w:uiPriority w:val="0"/>
  </w:style>
  <w:style w:type="character" w:customStyle="1" w:styleId="52">
    <w:name w:val="文档结构图 字符"/>
    <w:basedOn w:val="34"/>
    <w:link w:val="11"/>
    <w:qFormat/>
    <w:uiPriority w:val="0"/>
    <w:rPr>
      <w:rFonts w:ascii="宋体"/>
      <w:kern w:val="2"/>
      <w:sz w:val="18"/>
      <w:szCs w:val="18"/>
    </w:rPr>
  </w:style>
  <w:style w:type="character" w:customStyle="1" w:styleId="53">
    <w:name w:val="批注文字 字符"/>
    <w:link w:val="12"/>
    <w:qFormat/>
    <w:locked/>
    <w:uiPriority w:val="99"/>
    <w:rPr>
      <w:rFonts w:ascii="Times New Roman" w:hAnsi="Times New Roman" w:eastAsia="宋体"/>
      <w:sz w:val="24"/>
    </w:rPr>
  </w:style>
  <w:style w:type="character" w:customStyle="1" w:styleId="54">
    <w:name w:val="正文文本 字符"/>
    <w:link w:val="13"/>
    <w:qFormat/>
    <w:locked/>
    <w:uiPriority w:val="0"/>
    <w:rPr>
      <w:sz w:val="18"/>
    </w:rPr>
  </w:style>
  <w:style w:type="character" w:customStyle="1" w:styleId="55">
    <w:name w:val="正文文本缩进 字符"/>
    <w:link w:val="3"/>
    <w:qFormat/>
    <w:locked/>
    <w:uiPriority w:val="0"/>
    <w:rPr>
      <w:rFonts w:ascii="Times New Roman" w:hAnsi="Times New Roman" w:eastAsia="宋体"/>
      <w:sz w:val="24"/>
    </w:rPr>
  </w:style>
  <w:style w:type="character" w:customStyle="1" w:styleId="56">
    <w:name w:val="日期 字符1"/>
    <w:link w:val="19"/>
    <w:qFormat/>
    <w:locked/>
    <w:uiPriority w:val="0"/>
    <w:rPr>
      <w:rFonts w:ascii="Times New Roman" w:hAnsi="Times New Roman" w:eastAsia="宋体"/>
      <w:sz w:val="24"/>
    </w:rPr>
  </w:style>
  <w:style w:type="character" w:customStyle="1" w:styleId="57">
    <w:name w:val="批注框文本 字符"/>
    <w:link w:val="20"/>
    <w:semiHidden/>
    <w:qFormat/>
    <w:locked/>
    <w:uiPriority w:val="0"/>
    <w:rPr>
      <w:rFonts w:ascii="Times New Roman" w:hAnsi="Times New Roman" w:eastAsia="宋体"/>
      <w:sz w:val="18"/>
    </w:rPr>
  </w:style>
  <w:style w:type="character" w:customStyle="1" w:styleId="58">
    <w:name w:val="页脚 字符1"/>
    <w:link w:val="21"/>
    <w:qFormat/>
    <w:locked/>
    <w:uiPriority w:val="99"/>
    <w:rPr>
      <w:sz w:val="18"/>
    </w:rPr>
  </w:style>
  <w:style w:type="character" w:customStyle="1" w:styleId="59">
    <w:name w:val="页眉 字符"/>
    <w:link w:val="22"/>
    <w:qFormat/>
    <w:locked/>
    <w:uiPriority w:val="0"/>
    <w:rPr>
      <w:sz w:val="18"/>
    </w:rPr>
  </w:style>
  <w:style w:type="character" w:customStyle="1" w:styleId="60">
    <w:name w:val="正文文本缩进 3 字符"/>
    <w:basedOn w:val="34"/>
    <w:link w:val="27"/>
    <w:qFormat/>
    <w:uiPriority w:val="0"/>
    <w:rPr>
      <w:kern w:val="2"/>
      <w:sz w:val="16"/>
      <w:szCs w:val="16"/>
    </w:rPr>
  </w:style>
  <w:style w:type="character" w:customStyle="1" w:styleId="61">
    <w:name w:val="普通(网站) 字符"/>
    <w:link w:val="29"/>
    <w:qFormat/>
    <w:locked/>
    <w:uiPriority w:val="0"/>
    <w:rPr>
      <w:rFonts w:ascii="宋体" w:hAnsi="宋体" w:eastAsia="宋体"/>
      <w:sz w:val="24"/>
    </w:rPr>
  </w:style>
  <w:style w:type="character" w:customStyle="1" w:styleId="62">
    <w:name w:val="批注主题 字符"/>
    <w:link w:val="30"/>
    <w:semiHidden/>
    <w:qFormat/>
    <w:locked/>
    <w:uiPriority w:val="0"/>
    <w:rPr>
      <w:rFonts w:ascii="Times New Roman" w:hAnsi="Times New Roman" w:eastAsia="宋体"/>
      <w:b/>
      <w:kern w:val="2"/>
      <w:sz w:val="24"/>
    </w:rPr>
  </w:style>
  <w:style w:type="character" w:customStyle="1" w:styleId="63">
    <w:name w:val="批注文字 字符1"/>
    <w:semiHidden/>
    <w:qFormat/>
    <w:uiPriority w:val="0"/>
    <w:rPr>
      <w:rFonts w:ascii="Times New Roman" w:hAnsi="Times New Roman" w:eastAsia="宋体"/>
      <w:sz w:val="24"/>
    </w:rPr>
  </w:style>
  <w:style w:type="character" w:customStyle="1" w:styleId="64">
    <w:name w:val="页脚 字符"/>
    <w:basedOn w:val="34"/>
    <w:qFormat/>
    <w:uiPriority w:val="99"/>
  </w:style>
  <w:style w:type="character" w:customStyle="1" w:styleId="65">
    <w:name w:val="日期 字符"/>
    <w:semiHidden/>
    <w:qFormat/>
    <w:uiPriority w:val="0"/>
    <w:rPr>
      <w:rFonts w:ascii="Times New Roman" w:hAnsi="Times New Roman" w:eastAsia="宋体"/>
      <w:sz w:val="24"/>
    </w:rPr>
  </w:style>
  <w:style w:type="character" w:customStyle="1" w:styleId="66">
    <w:name w:val="正文文本 字符1"/>
    <w:semiHidden/>
    <w:qFormat/>
    <w:uiPriority w:val="0"/>
    <w:rPr>
      <w:rFonts w:ascii="Times New Roman" w:hAnsi="Times New Roman" w:eastAsia="宋体"/>
      <w:sz w:val="24"/>
    </w:rPr>
  </w:style>
  <w:style w:type="paragraph" w:customStyle="1" w:styleId="67">
    <w:name w:val="Table Paragraph"/>
    <w:basedOn w:val="1"/>
    <w:qFormat/>
    <w:uiPriority w:val="1"/>
    <w:rPr>
      <w:rFonts w:ascii="宋体" w:hAnsi="宋体" w:cs="宋体"/>
      <w:szCs w:val="20"/>
      <w:lang w:val="zh-CN" w:bidi="zh-CN"/>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0">
    <w:name w:val="Body Text 21"/>
    <w:basedOn w:val="1"/>
    <w:qFormat/>
    <w:uiPriority w:val="99"/>
    <w:pPr>
      <w:adjustRightInd w:val="0"/>
      <w:textAlignment w:val="baseline"/>
    </w:pPr>
    <w:rPr>
      <w:rFonts w:ascii="仿宋_GB2312" w:eastAsia="仿宋体"/>
      <w:sz w:val="24"/>
    </w:rPr>
  </w:style>
  <w:style w:type="paragraph" w:customStyle="1" w:styleId="71">
    <w:name w:val="正文文本缩进1"/>
    <w:basedOn w:val="1"/>
    <w:qFormat/>
    <w:uiPriority w:val="0"/>
    <w:pPr>
      <w:widowControl/>
      <w:spacing w:line="360" w:lineRule="auto"/>
      <w:ind w:firstLine="560"/>
      <w:jc w:val="left"/>
    </w:pPr>
    <w:rPr>
      <w:rFonts w:ascii="仿宋_GB2312" w:hAnsi="宋体" w:eastAsia="仿宋_GB2312"/>
      <w:sz w:val="28"/>
    </w:rPr>
  </w:style>
  <w:style w:type="paragraph" w:customStyle="1" w:styleId="72">
    <w:name w:val="简单回函地址"/>
    <w:basedOn w:val="1"/>
    <w:qFormat/>
    <w:uiPriority w:val="0"/>
    <w:pPr>
      <w:widowControl/>
      <w:spacing w:line="240" w:lineRule="exact"/>
      <w:jc w:val="left"/>
    </w:pPr>
    <w:rPr>
      <w:kern w:val="0"/>
      <w:sz w:val="24"/>
      <w:szCs w:val="20"/>
    </w:rPr>
  </w:style>
  <w:style w:type="paragraph" w:customStyle="1" w:styleId="73">
    <w:name w:val="+列表1"/>
    <w:basedOn w:val="1"/>
    <w:qFormat/>
    <w:uiPriority w:val="0"/>
    <w:pPr>
      <w:widowControl/>
      <w:jc w:val="center"/>
    </w:pPr>
    <w:rPr>
      <w:kern w:val="0"/>
      <w:sz w:val="20"/>
      <w:lang w:eastAsia="en-US"/>
    </w:rPr>
  </w:style>
  <w:style w:type="character" w:customStyle="1" w:styleId="74">
    <w:name w:val="批注文字 Char1"/>
    <w:qFormat/>
    <w:uiPriority w:val="99"/>
    <w:rPr>
      <w:rFonts w:ascii="Times New Roman" w:hAnsi="Times New Roman"/>
    </w:rPr>
  </w:style>
  <w:style w:type="paragraph" w:customStyle="1" w:styleId="75">
    <w:name w:val="文1"/>
    <w:basedOn w:val="1"/>
    <w:qFormat/>
    <w:uiPriority w:val="0"/>
    <w:pPr>
      <w:widowControl/>
      <w:snapToGrid w:val="0"/>
      <w:spacing w:line="360" w:lineRule="auto"/>
      <w:ind w:firstLine="567"/>
      <w:jc w:val="left"/>
    </w:pPr>
    <w:rPr>
      <w:rFonts w:ascii="Arial" w:hAnsi="Arial" w:eastAsia="幼圆"/>
      <w:kern w:val="0"/>
      <w:sz w:val="24"/>
      <w:szCs w:val="20"/>
    </w:rPr>
  </w:style>
  <w:style w:type="paragraph" w:styleId="76">
    <w:name w:val="List Paragraph"/>
    <w:basedOn w:val="1"/>
    <w:qFormat/>
    <w:uiPriority w:val="34"/>
    <w:pPr>
      <w:ind w:firstLine="420" w:firstLineChars="200"/>
    </w:pPr>
  </w:style>
  <w:style w:type="paragraph" w:customStyle="1" w:styleId="7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8">
    <w:name w:val="标题 4 Char"/>
    <w:basedOn w:val="34"/>
    <w:semiHidden/>
    <w:qFormat/>
    <w:uiPriority w:val="9"/>
    <w:rPr>
      <w:rFonts w:asciiTheme="majorHAnsi" w:hAnsiTheme="majorHAnsi" w:eastAsiaTheme="majorEastAsia" w:cstheme="majorBidi"/>
      <w:b/>
      <w:bCs/>
      <w:kern w:val="2"/>
      <w:sz w:val="28"/>
      <w:szCs w:val="28"/>
    </w:rPr>
  </w:style>
  <w:style w:type="character" w:customStyle="1" w:styleId="79">
    <w:name w:val="15"/>
    <w:basedOn w:val="34"/>
    <w:qFormat/>
    <w:uiPriority w:val="0"/>
    <w:rPr>
      <w:rFonts w:hint="default" w:ascii="Times New Roman" w:hAnsi="Times New Roman" w:eastAsia="宋体" w:cs="Times New Roman"/>
      <w:sz w:val="21"/>
      <w:szCs w:val="21"/>
    </w:rPr>
  </w:style>
  <w:style w:type="paragraph" w:customStyle="1" w:styleId="80">
    <w:name w:val="表格内文字"/>
    <w:basedOn w:val="1"/>
    <w:link w:val="81"/>
    <w:qFormat/>
    <w:uiPriority w:val="0"/>
    <w:pPr>
      <w:kinsoku w:val="0"/>
      <w:wordWrap w:val="0"/>
      <w:overflowPunct w:val="0"/>
      <w:snapToGrid w:val="0"/>
      <w:jc w:val="center"/>
    </w:pPr>
    <w:rPr>
      <w:snapToGrid w:val="0"/>
    </w:rPr>
  </w:style>
  <w:style w:type="character" w:customStyle="1" w:styleId="81">
    <w:name w:val="表格内文字 Char"/>
    <w:link w:val="80"/>
    <w:qFormat/>
    <w:uiPriority w:val="0"/>
    <w:rPr>
      <w:snapToGrid w:val="0"/>
      <w:kern w:val="2"/>
      <w:sz w:val="21"/>
      <w:szCs w:val="24"/>
    </w:rPr>
  </w:style>
  <w:style w:type="character" w:customStyle="1" w:styleId="82">
    <w:name w:val="NormalCharacter"/>
    <w:semiHidden/>
    <w:qFormat/>
    <w:uiPriority w:val="0"/>
  </w:style>
  <w:style w:type="character" w:customStyle="1" w:styleId="83">
    <w:name w:val="样式 表格 + 黑色 Char Char"/>
    <w:link w:val="84"/>
    <w:qFormat/>
    <w:uiPriority w:val="0"/>
    <w:rPr>
      <w:rFonts w:ascii="宋体" w:hAnsi="宋体"/>
      <w:color w:val="000000"/>
      <w:spacing w:val="-4"/>
      <w:sz w:val="21"/>
      <w:szCs w:val="21"/>
    </w:rPr>
  </w:style>
  <w:style w:type="paragraph" w:customStyle="1" w:styleId="84">
    <w:name w:val="样式 表格 + 黑色"/>
    <w:basedOn w:val="1"/>
    <w:link w:val="83"/>
    <w:qFormat/>
    <w:uiPriority w:val="0"/>
    <w:pPr>
      <w:adjustRightInd w:val="0"/>
      <w:snapToGrid w:val="0"/>
      <w:jc w:val="center"/>
    </w:pPr>
    <w:rPr>
      <w:rFonts w:ascii="宋体" w:hAnsi="宋体"/>
      <w:color w:val="000000"/>
      <w:spacing w:val="-4"/>
      <w:kern w:val="0"/>
      <w:szCs w:val="21"/>
    </w:rPr>
  </w:style>
  <w:style w:type="paragraph" w:customStyle="1" w:styleId="85">
    <w:name w:val="Char2"/>
    <w:basedOn w:val="1"/>
    <w:qFormat/>
    <w:uiPriority w:val="0"/>
    <w:pPr>
      <w:snapToGrid w:val="0"/>
      <w:spacing w:line="360" w:lineRule="auto"/>
      <w:ind w:firstLine="200" w:firstLineChars="200"/>
    </w:pPr>
    <w:rPr>
      <w:rFonts w:eastAsia="仿宋_GB2312"/>
      <w:sz w:val="24"/>
    </w:rPr>
  </w:style>
  <w:style w:type="paragraph" w:customStyle="1" w:styleId="86">
    <w:name w:val="表格?????"/>
    <w:basedOn w:val="1"/>
    <w:link w:val="87"/>
    <w:qFormat/>
    <w:uiPriority w:val="99"/>
    <w:pPr>
      <w:spacing w:before="100" w:after="100" w:line="320" w:lineRule="exact"/>
      <w:jc w:val="center"/>
    </w:pPr>
    <w:rPr>
      <w:spacing w:val="10"/>
      <w:kern w:val="0"/>
      <w:sz w:val="24"/>
      <w:szCs w:val="20"/>
    </w:rPr>
  </w:style>
  <w:style w:type="character" w:customStyle="1" w:styleId="87">
    <w:name w:val="表格????????内"/>
    <w:link w:val="86"/>
    <w:qFormat/>
    <w:locked/>
    <w:uiPriority w:val="99"/>
    <w:rPr>
      <w:spacing w:val="10"/>
      <w:sz w:val="24"/>
    </w:rPr>
  </w:style>
  <w:style w:type="paragraph" w:customStyle="1" w:styleId="88">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89">
    <w:name w:val="正文缩进 Char1"/>
    <w:qFormat/>
    <w:locked/>
    <w:uiPriority w:val="0"/>
    <w:rPr>
      <w:sz w:val="28"/>
    </w:rPr>
  </w:style>
  <w:style w:type="paragraph" w:customStyle="1" w:styleId="90">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91">
    <w:name w:val="三级大纲1"/>
    <w:basedOn w:val="1"/>
    <w:link w:val="92"/>
    <w:qFormat/>
    <w:uiPriority w:val="99"/>
    <w:pPr>
      <w:tabs>
        <w:tab w:val="left" w:pos="774"/>
      </w:tabs>
      <w:adjustRightInd w:val="0"/>
      <w:snapToGrid w:val="0"/>
      <w:spacing w:beforeLines="50" w:afterLines="50"/>
      <w:outlineLvl w:val="2"/>
    </w:pPr>
    <w:rPr>
      <w:rFonts w:eastAsia="仿宋"/>
      <w:b/>
      <w:spacing w:val="16"/>
      <w:sz w:val="24"/>
    </w:rPr>
  </w:style>
  <w:style w:type="character" w:customStyle="1" w:styleId="92">
    <w:name w:val="三级大纲1 字符"/>
    <w:link w:val="91"/>
    <w:qFormat/>
    <w:locked/>
    <w:uiPriority w:val="99"/>
    <w:rPr>
      <w:rFonts w:eastAsia="仿宋"/>
      <w:b/>
      <w:spacing w:val="16"/>
      <w:kern w:val="2"/>
      <w:sz w:val="24"/>
      <w:szCs w:val="24"/>
    </w:rPr>
  </w:style>
  <w:style w:type="character" w:customStyle="1" w:styleId="93">
    <w:name w:val="font31"/>
    <w:basedOn w:val="34"/>
    <w:qFormat/>
    <w:uiPriority w:val="0"/>
    <w:rPr>
      <w:rFonts w:hint="eastAsia" w:ascii="宋体" w:hAnsi="宋体" w:eastAsia="宋体" w:cs="宋体"/>
      <w:color w:val="FF0000"/>
      <w:sz w:val="18"/>
      <w:szCs w:val="18"/>
      <w:u w:val="none"/>
    </w:rPr>
  </w:style>
  <w:style w:type="paragraph" w:customStyle="1" w:styleId="94">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95">
    <w:name w:val="font21"/>
    <w:basedOn w:val="34"/>
    <w:qFormat/>
    <w:uiPriority w:val="0"/>
    <w:rPr>
      <w:rFonts w:hint="eastAsia" w:ascii="MingLiU" w:eastAsia="MingLiU"/>
      <w:color w:val="000000"/>
      <w:sz w:val="24"/>
      <w:szCs w:val="24"/>
      <w:u w:val="none"/>
    </w:rPr>
  </w:style>
  <w:style w:type="character" w:customStyle="1" w:styleId="96">
    <w:name w:val="font81"/>
    <w:basedOn w:val="34"/>
    <w:qFormat/>
    <w:uiPriority w:val="0"/>
    <w:rPr>
      <w:rFonts w:hint="eastAsia" w:ascii="MingLiU" w:eastAsia="MingLiU"/>
      <w:color w:val="000000"/>
      <w:sz w:val="24"/>
      <w:szCs w:val="24"/>
      <w:u w:val="none"/>
    </w:rPr>
  </w:style>
  <w:style w:type="character" w:customStyle="1" w:styleId="97">
    <w:name w:val="font51"/>
    <w:basedOn w:val="34"/>
    <w:qFormat/>
    <w:uiPriority w:val="0"/>
    <w:rPr>
      <w:rFonts w:hint="default" w:ascii="SF Hello Regular" w:hAnsi="SF Hello Regular"/>
      <w:color w:val="000000"/>
      <w:sz w:val="24"/>
      <w:szCs w:val="24"/>
      <w:u w:val="none"/>
    </w:rPr>
  </w:style>
  <w:style w:type="character" w:customStyle="1" w:styleId="98">
    <w:name w:val="font01"/>
    <w:basedOn w:val="34"/>
    <w:qFormat/>
    <w:uiPriority w:val="0"/>
    <w:rPr>
      <w:rFonts w:hint="default" w:ascii="Arial" w:hAnsi="Arial" w:cs="Arial"/>
      <w:color w:val="000000"/>
      <w:sz w:val="24"/>
      <w:szCs w:val="24"/>
      <w:u w:val="none"/>
    </w:rPr>
  </w:style>
  <w:style w:type="paragraph" w:customStyle="1" w:styleId="99">
    <w:name w:val="表格样式"/>
    <w:basedOn w:val="1"/>
    <w:qFormat/>
    <w:uiPriority w:val="99"/>
    <w:pPr>
      <w:widowControl/>
      <w:adjustRightInd w:val="0"/>
      <w:snapToGrid w:val="0"/>
      <w:jc w:val="center"/>
    </w:pPr>
    <w:rPr>
      <w:rFonts w:ascii="宋体"/>
      <w:color w:val="000000"/>
      <w:kern w:val="0"/>
      <w:sz w:val="24"/>
      <w:szCs w:val="20"/>
    </w:rPr>
  </w:style>
  <w:style w:type="paragraph" w:customStyle="1" w:styleId="100">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101">
    <w:name w:val="修订5"/>
    <w:hidden/>
    <w:semiHidden/>
    <w:qFormat/>
    <w:uiPriority w:val="99"/>
    <w:rPr>
      <w:rFonts w:ascii="Times New Roman" w:hAnsi="Times New Roman" w:eastAsia="宋体" w:cs="Times New Roman"/>
      <w:kern w:val="2"/>
      <w:sz w:val="21"/>
      <w:szCs w:val="24"/>
      <w:lang w:val="en-US" w:eastAsia="zh-CN" w:bidi="ar-SA"/>
    </w:rPr>
  </w:style>
  <w:style w:type="paragraph" w:customStyle="1" w:styleId="102">
    <w:name w:val="修订6"/>
    <w:hidden/>
    <w:semiHidden/>
    <w:qFormat/>
    <w:uiPriority w:val="99"/>
    <w:rPr>
      <w:rFonts w:ascii="Times New Roman" w:hAnsi="Times New Roman" w:eastAsia="宋体" w:cs="Times New Roman"/>
      <w:kern w:val="2"/>
      <w:sz w:val="21"/>
      <w:szCs w:val="24"/>
      <w:lang w:val="en-US" w:eastAsia="zh-CN" w:bidi="ar-SA"/>
    </w:rPr>
  </w:style>
  <w:style w:type="paragraph" w:customStyle="1" w:styleId="103">
    <w:name w:val="修订7"/>
    <w:hidden/>
    <w:semiHidden/>
    <w:qFormat/>
    <w:uiPriority w:val="99"/>
    <w:rPr>
      <w:rFonts w:ascii="Times New Roman" w:hAnsi="Times New Roman" w:eastAsia="宋体" w:cs="Times New Roman"/>
      <w:kern w:val="2"/>
      <w:sz w:val="21"/>
      <w:szCs w:val="24"/>
      <w:lang w:val="en-US" w:eastAsia="zh-CN" w:bidi="ar-SA"/>
    </w:rPr>
  </w:style>
  <w:style w:type="paragraph" w:customStyle="1" w:styleId="104">
    <w:name w:val="修订8"/>
    <w:hidden/>
    <w:semiHidden/>
    <w:qFormat/>
    <w:uiPriority w:val="99"/>
    <w:rPr>
      <w:rFonts w:ascii="Times New Roman" w:hAnsi="Times New Roman" w:eastAsia="宋体" w:cs="Times New Roman"/>
      <w:kern w:val="2"/>
      <w:sz w:val="21"/>
      <w:szCs w:val="24"/>
      <w:lang w:val="en-US" w:eastAsia="zh-CN" w:bidi="ar-SA"/>
    </w:rPr>
  </w:style>
  <w:style w:type="paragraph" w:customStyle="1" w:styleId="105">
    <w:name w:val="修订9"/>
    <w:hidden/>
    <w:semiHidden/>
    <w:qFormat/>
    <w:uiPriority w:val="99"/>
    <w:rPr>
      <w:rFonts w:ascii="Times New Roman" w:hAnsi="Times New Roman" w:eastAsia="宋体" w:cs="Times New Roman"/>
      <w:kern w:val="2"/>
      <w:sz w:val="21"/>
      <w:szCs w:val="24"/>
      <w:lang w:val="en-US" w:eastAsia="zh-CN" w:bidi="ar-SA"/>
    </w:rPr>
  </w:style>
  <w:style w:type="paragraph" w:customStyle="1" w:styleId="106">
    <w:name w:val="修订10"/>
    <w:hidden/>
    <w:semiHidden/>
    <w:qFormat/>
    <w:uiPriority w:val="99"/>
    <w:rPr>
      <w:rFonts w:ascii="Times New Roman" w:hAnsi="Times New Roman" w:eastAsia="宋体" w:cs="Times New Roman"/>
      <w:kern w:val="2"/>
      <w:sz w:val="21"/>
      <w:szCs w:val="24"/>
      <w:lang w:val="en-US" w:eastAsia="zh-CN" w:bidi="ar-SA"/>
    </w:rPr>
  </w:style>
  <w:style w:type="paragraph" w:customStyle="1" w:styleId="107">
    <w:name w:val="Default1"/>
    <w:qFormat/>
    <w:uiPriority w:val="0"/>
    <w:pPr>
      <w:widowControl w:val="0"/>
      <w:autoSpaceDE w:val="0"/>
      <w:autoSpaceDN w:val="0"/>
      <w:adjustRightInd w:val="0"/>
      <w:jc w:val="center"/>
    </w:pPr>
    <w:rPr>
      <w:rFonts w:ascii="宋体" w:hAnsi="Times New Roman" w:eastAsia="宋体" w:cs="宋体"/>
      <w:color w:val="000000"/>
      <w:sz w:val="24"/>
      <w:szCs w:val="24"/>
      <w:lang w:val="en-US" w:eastAsia="zh-CN" w:bidi="ar-SA"/>
    </w:rPr>
  </w:style>
  <w:style w:type="paragraph" w:customStyle="1" w:styleId="108">
    <w:name w:val="修订11"/>
    <w:hidden/>
    <w:unhideWhenUsed/>
    <w:qFormat/>
    <w:uiPriority w:val="99"/>
    <w:rPr>
      <w:rFonts w:ascii="Times New Roman" w:hAnsi="Times New Roman" w:eastAsia="宋体" w:cs="Times New Roman"/>
      <w:kern w:val="2"/>
      <w:sz w:val="21"/>
      <w:szCs w:val="24"/>
      <w:lang w:val="en-US" w:eastAsia="zh-CN" w:bidi="ar-SA"/>
    </w:rPr>
  </w:style>
  <w:style w:type="character" w:customStyle="1" w:styleId="109">
    <w:name w:val="k54rn5"/>
    <w:basedOn w:val="34"/>
    <w:qFormat/>
    <w:uiPriority w:val="0"/>
  </w:style>
  <w:style w:type="character" w:customStyle="1" w:styleId="110">
    <w:name w:val="l919o0b35b"/>
    <w:basedOn w:val="34"/>
    <w:qFormat/>
    <w:uiPriority w:val="0"/>
  </w:style>
  <w:style w:type="character" w:customStyle="1" w:styleId="111">
    <w:name w:val="sw6z3t96o"/>
    <w:basedOn w:val="34"/>
    <w:qFormat/>
    <w:uiPriority w:val="0"/>
  </w:style>
  <w:style w:type="paragraph" w:customStyle="1" w:styleId="112">
    <w:name w:val="正文-报告表"/>
    <w:basedOn w:val="1"/>
    <w:qFormat/>
    <w:uiPriority w:val="0"/>
    <w:pPr>
      <w:adjustRightInd w:val="0"/>
      <w:snapToGrid w:val="0"/>
      <w:spacing w:line="480" w:lineRule="exact"/>
      <w:ind w:firstLine="480" w:firstLineChars="200"/>
      <w:jc w:val="left"/>
    </w:pPr>
    <w:rPr>
      <w:sz w:val="24"/>
    </w:rPr>
  </w:style>
  <w:style w:type="paragraph" w:customStyle="1" w:styleId="113">
    <w:name w:val="标题-报告表"/>
    <w:basedOn w:val="1"/>
    <w:qFormat/>
    <w:uiPriority w:val="0"/>
    <w:pPr>
      <w:spacing w:line="480" w:lineRule="exact"/>
      <w:jc w:val="center"/>
    </w:pPr>
    <w:rPr>
      <w:b/>
      <w:bCs/>
      <w:sz w:val="24"/>
    </w:rPr>
  </w:style>
  <w:style w:type="paragraph" w:customStyle="1" w:styleId="114">
    <w:name w:val="0表格格式"/>
    <w:basedOn w:val="1"/>
    <w:qFormat/>
    <w:uiPriority w:val="0"/>
    <w:pPr>
      <w:widowControl/>
      <w:jc w:val="center"/>
    </w:pPr>
    <w:rPr>
      <w:kern w:val="0"/>
      <w:szCs w:val="21"/>
    </w:rPr>
  </w:style>
  <w:style w:type="character" w:customStyle="1" w:styleId="115">
    <w:name w:val="标题 6 字符"/>
    <w:basedOn w:val="34"/>
    <w:link w:val="9"/>
    <w:semiHidden/>
    <w:qFormat/>
    <w:uiPriority w:val="0"/>
    <w:rPr>
      <w:rFonts w:asciiTheme="majorHAnsi" w:hAnsiTheme="majorHAnsi" w:eastAsiaTheme="majorEastAsia" w:cstheme="majorBidi"/>
      <w:b/>
      <w:bCs/>
      <w:kern w:val="2"/>
      <w:sz w:val="24"/>
      <w:szCs w:val="24"/>
    </w:rPr>
  </w:style>
  <w:style w:type="character" w:customStyle="1" w:styleId="116">
    <w:name w:val="fontstyle01"/>
    <w:qFormat/>
    <w:uiPriority w:val="0"/>
    <w:rPr>
      <w:rFonts w:hint="eastAsia" w:ascii="宋体" w:hAnsi="宋体" w:eastAsia="宋体"/>
      <w:color w:val="000000"/>
      <w:sz w:val="22"/>
      <w:szCs w:val="22"/>
    </w:rPr>
  </w:style>
  <w:style w:type="paragraph" w:customStyle="1" w:styleId="117">
    <w:name w:val="表内lcc"/>
    <w:basedOn w:val="1"/>
    <w:qFormat/>
    <w:uiPriority w:val="0"/>
    <w:pPr>
      <w:adjustRightInd w:val="0"/>
      <w:jc w:val="center"/>
    </w:pPr>
    <w:rPr>
      <w:iCs/>
      <w:color w:val="000000"/>
    </w:rPr>
  </w:style>
  <w:style w:type="paragraph" w:customStyle="1" w:styleId="118">
    <w:name w:val="表头lcc1"/>
    <w:basedOn w:val="1"/>
    <w:qFormat/>
    <w:uiPriority w:val="0"/>
    <w:pPr>
      <w:jc w:val="center"/>
    </w:pPr>
    <w:rPr>
      <w:b/>
      <w:kern w:val="0"/>
      <w:szCs w:val="20"/>
    </w:rPr>
  </w:style>
  <w:style w:type="paragraph" w:customStyle="1" w:styleId="119">
    <w:name w:val="表文-lcc"/>
    <w:basedOn w:val="18"/>
    <w:qFormat/>
    <w:uiPriority w:val="0"/>
    <w:pPr>
      <w:jc w:val="center"/>
    </w:pPr>
    <w:rPr>
      <w:rFonts w:ascii="宋体" w:eastAsia="宋体" w:cs="宋体"/>
    </w:rPr>
  </w:style>
  <w:style w:type="character" w:customStyle="1" w:styleId="120">
    <w:name w:val="纯文本 字符"/>
    <w:basedOn w:val="34"/>
    <w:link w:val="18"/>
    <w:semiHidden/>
    <w:qFormat/>
    <w:uiPriority w:val="0"/>
    <w:rPr>
      <w:rFonts w:hAnsi="Courier New" w:cs="Courier New" w:asciiTheme="minorEastAsia" w:eastAsiaTheme="minorEastAsia"/>
      <w:kern w:val="2"/>
      <w:sz w:val="21"/>
      <w:szCs w:val="24"/>
    </w:rPr>
  </w:style>
  <w:style w:type="character" w:customStyle="1" w:styleId="121">
    <w:name w:val="表图 Char"/>
    <w:link w:val="122"/>
    <w:qFormat/>
    <w:uiPriority w:val="0"/>
    <w:rPr>
      <w:color w:val="000000"/>
      <w:kern w:val="2"/>
      <w:sz w:val="21"/>
      <w:szCs w:val="22"/>
    </w:rPr>
  </w:style>
  <w:style w:type="paragraph" w:customStyle="1" w:styleId="122">
    <w:name w:val="表图"/>
    <w:basedOn w:val="1"/>
    <w:next w:val="1"/>
    <w:link w:val="121"/>
    <w:qFormat/>
    <w:uiPriority w:val="0"/>
    <w:pPr>
      <w:adjustRightInd w:val="0"/>
      <w:snapToGrid w:val="0"/>
      <w:spacing w:after="200"/>
      <w:jc w:val="center"/>
    </w:pPr>
    <w:rPr>
      <w:color w:val="000000"/>
      <w:szCs w:val="22"/>
    </w:rPr>
  </w:style>
  <w:style w:type="paragraph" w:customStyle="1" w:styleId="123">
    <w:name w:val="_Style 138"/>
    <w:basedOn w:val="1"/>
    <w:qFormat/>
    <w:uiPriority w:val="0"/>
    <w:rPr>
      <w:rFonts w:ascii="Calibri" w:hAnsi="Calibri"/>
      <w:szCs w:val="21"/>
    </w:rPr>
  </w:style>
  <w:style w:type="paragraph" w:customStyle="1" w:styleId="124">
    <w:name w:val="List Paragraph2"/>
    <w:basedOn w:val="1"/>
    <w:qFormat/>
    <w:uiPriority w:val="0"/>
    <w:pPr>
      <w:ind w:firstLine="420" w:firstLineChars="200"/>
    </w:pPr>
  </w:style>
  <w:style w:type="paragraph" w:customStyle="1" w:styleId="125">
    <w:name w:val="表头（仿宋 小四）"/>
    <w:basedOn w:val="1"/>
    <w:qFormat/>
    <w:uiPriority w:val="0"/>
    <w:pPr>
      <w:spacing w:line="520" w:lineRule="exact"/>
      <w:jc w:val="center"/>
    </w:pPr>
    <w:rPr>
      <w:rFonts w:ascii="仿宋_GB2312" w:hAnsi="宋体" w:cs="宋体"/>
      <w:color w:val="000000"/>
      <w:sz w:val="24"/>
    </w:rPr>
  </w:style>
  <w:style w:type="paragraph" w:customStyle="1" w:styleId="126">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27">
    <w:name w:val="XQ报告表正文"/>
    <w:basedOn w:val="1"/>
    <w:qFormat/>
    <w:uiPriority w:val="0"/>
    <w:pPr>
      <w:adjustRightInd w:val="0"/>
      <w:snapToGrid w:val="0"/>
      <w:spacing w:line="360" w:lineRule="auto"/>
      <w:ind w:firstLine="200" w:firstLineChars="200"/>
    </w:pPr>
    <w:rPr>
      <w:rFonts w:hAnsi="宋体" w:cs="宋体"/>
      <w:bCs/>
      <w:snapToGrid w:val="0"/>
      <w:kern w:val="0"/>
      <w:sz w:val="24"/>
      <w:lang w:val="zh-CN"/>
    </w:rPr>
  </w:style>
  <w:style w:type="paragraph" w:customStyle="1" w:styleId="128">
    <w:name w:val="正文(首行缩进)"/>
    <w:basedOn w:val="1"/>
    <w:qFormat/>
    <w:uiPriority w:val="0"/>
    <w:pPr>
      <w:spacing w:line="360" w:lineRule="auto"/>
      <w:ind w:firstLine="480" w:firstLineChars="200"/>
    </w:pPr>
    <w:rPr>
      <w:snapToGrid w:val="0"/>
      <w:color w:val="000000"/>
      <w:kern w:val="0"/>
      <w:sz w:val="24"/>
    </w:rPr>
  </w:style>
  <w:style w:type="paragraph" w:customStyle="1" w:styleId="129">
    <w:name w:val="环评表格"/>
    <w:basedOn w:val="130"/>
    <w:next w:val="1"/>
    <w:qFormat/>
    <w:uiPriority w:val="0"/>
    <w:pPr>
      <w:widowControl/>
    </w:pPr>
    <w:rPr>
      <w:rFonts w:ascii="等线" w:hAnsi="等线" w:eastAsia="等线" w:cs="Times New Roman"/>
      <w:kern w:val="2"/>
      <w:sz w:val="21"/>
      <w:szCs w:val="22"/>
    </w:rPr>
  </w:style>
  <w:style w:type="paragraph" w:customStyle="1" w:styleId="130">
    <w:name w:val="表格内容"/>
    <w:basedOn w:val="1"/>
    <w:qFormat/>
    <w:uiPriority w:val="0"/>
    <w:pPr>
      <w:adjustRightInd w:val="0"/>
      <w:snapToGrid w:val="0"/>
      <w:spacing w:line="240" w:lineRule="atLeast"/>
      <w:jc w:val="center"/>
    </w:pPr>
    <w:rPr>
      <w:rFonts w:ascii="宋体" w:hAnsi="宋体" w:cs="Arial Unicode MS"/>
    </w:rPr>
  </w:style>
  <w:style w:type="paragraph" w:customStyle="1" w:styleId="131">
    <w:name w:val="环评正文"/>
    <w:basedOn w:val="1"/>
    <w:qFormat/>
    <w:uiPriority w:val="0"/>
    <w:pPr>
      <w:spacing w:line="360" w:lineRule="auto"/>
      <w:ind w:firstLine="200" w:firstLineChars="200"/>
    </w:pPr>
    <w:rPr>
      <w:sz w:val="24"/>
    </w:rPr>
  </w:style>
  <w:style w:type="paragraph" w:customStyle="1" w:styleId="132">
    <w:name w:val="表头"/>
    <w:basedOn w:val="1"/>
    <w:qFormat/>
    <w:uiPriority w:val="0"/>
    <w:pPr>
      <w:widowControl/>
      <w:spacing w:before="50" w:beforeLines="50" w:line="240" w:lineRule="auto"/>
      <w:ind w:firstLine="0" w:firstLineChars="0"/>
      <w:jc w:val="center"/>
      <w:outlineLvl w:val="0"/>
    </w:pPr>
    <w:rPr>
      <w:b/>
      <w:bCs/>
      <w:snapToGrid w:val="0"/>
      <w:kern w:val="0"/>
      <w:sz w:val="21"/>
      <w:szCs w:val="21"/>
    </w:rPr>
  </w:style>
  <w:style w:type="paragraph" w:customStyle="1" w:styleId="133">
    <w:name w:val="Table Text"/>
    <w:basedOn w:val="1"/>
    <w:semiHidden/>
    <w:qFormat/>
    <w:uiPriority w:val="0"/>
    <w:rPr>
      <w:rFonts w:ascii="宋体" w:hAnsi="宋体" w:eastAsia="宋体" w:cs="宋体"/>
      <w:sz w:val="20"/>
      <w:szCs w:val="20"/>
      <w:lang w:val="en-US" w:eastAsia="en-US" w:bidi="ar-SA"/>
    </w:rPr>
  </w:style>
  <w:style w:type="table" w:customStyle="1" w:styleId="134">
    <w:name w:val="Table Normal"/>
    <w:semiHidden/>
    <w:unhideWhenUsed/>
    <w:qFormat/>
    <w:uiPriority w:val="0"/>
    <w:tblPr>
      <w:tblCellMar>
        <w:top w:w="0" w:type="dxa"/>
        <w:left w:w="0" w:type="dxa"/>
        <w:bottom w:w="0" w:type="dxa"/>
        <w:right w:w="0" w:type="dxa"/>
      </w:tblCellMar>
    </w:tblPr>
  </w:style>
  <w:style w:type="paragraph" w:customStyle="1" w:styleId="135">
    <w:name w:val="表格文字"/>
    <w:qFormat/>
    <w:uiPriority w:val="0"/>
    <w:pPr>
      <w:jc w:val="center"/>
    </w:pPr>
    <w:rPr>
      <w:rFonts w:ascii="Times New Roman" w:hAnsi="Times New Roman" w:eastAsia="仿宋" w:cs="Times New Roman"/>
      <w:sz w:val="21"/>
      <w:lang w:val="en-US" w:eastAsia="zh-CN" w:bidi="ar-SA"/>
    </w:rPr>
  </w:style>
  <w:style w:type="paragraph" w:customStyle="1" w:styleId="136">
    <w:name w:val="表标题"/>
    <w:basedOn w:val="1"/>
    <w:qFormat/>
    <w:uiPriority w:val="0"/>
    <w:pPr>
      <w:ind w:firstLine="0" w:firstLineChars="0"/>
      <w:jc w:val="center"/>
    </w:pPr>
    <w:rPr>
      <w:b/>
    </w:rPr>
  </w:style>
  <w:style w:type="paragraph" w:customStyle="1" w:styleId="137">
    <w:name w:val="表"/>
    <w:basedOn w:val="1"/>
    <w:qFormat/>
    <w:uiPriority w:val="99"/>
    <w:pPr>
      <w:topLinePunct/>
      <w:adjustRightInd w:val="0"/>
      <w:snapToGrid w:val="0"/>
      <w:spacing w:line="240" w:lineRule="auto"/>
      <w:ind w:firstLine="0" w:firstLineChars="0"/>
      <w:jc w:val="center"/>
    </w:pPr>
    <w:rPr>
      <w:rFonts w:eastAsia="Times New Roman"/>
      <w:kern w:val="0"/>
      <w:sz w:val="21"/>
      <w:szCs w:val="21"/>
    </w:rPr>
  </w:style>
  <w:style w:type="character" w:customStyle="1" w:styleId="138">
    <w:name w:val="font11"/>
    <w:basedOn w:val="34"/>
    <w:qFormat/>
    <w:uiPriority w:val="0"/>
    <w:rPr>
      <w:rFonts w:hint="default" w:ascii="Times New Roman" w:hAnsi="Times New Roman" w:cs="Times New Roman"/>
      <w:color w:val="000000"/>
      <w:sz w:val="18"/>
      <w:szCs w:val="18"/>
      <w:u w:val="none"/>
      <w:vertAlign w:val="subscript"/>
    </w:rPr>
  </w:style>
  <w:style w:type="paragraph" w:customStyle="1" w:styleId="139">
    <w:name w:val="列出段落1"/>
    <w:basedOn w:val="1"/>
    <w:qFormat/>
    <w:uiPriority w:val="0"/>
    <w:pPr>
      <w:ind w:firstLine="420" w:firstLineChars="200"/>
    </w:pPr>
    <w:rPr>
      <w:szCs w:val="21"/>
    </w:rPr>
  </w:style>
  <w:style w:type="paragraph" w:customStyle="1" w:styleId="140">
    <w:name w:val="正文lcc"/>
    <w:basedOn w:val="1"/>
    <w:qFormat/>
    <w:uiPriority w:val="0"/>
    <w:pPr>
      <w:snapToGrid w:val="0"/>
      <w:ind w:firstLine="480"/>
    </w:pPr>
    <w:rPr>
      <w:szCs w:val="20"/>
    </w:rPr>
  </w:style>
  <w:style w:type="paragraph" w:customStyle="1" w:styleId="141">
    <w:name w:val="08表格文字"/>
    <w:basedOn w:val="1"/>
    <w:qFormat/>
    <w:uiPriority w:val="0"/>
    <w:pPr>
      <w:widowControl/>
      <w:adjustRightInd w:val="0"/>
      <w:snapToGrid w:val="0"/>
      <w:jc w:val="center"/>
    </w:pPr>
    <w:rPr>
      <w:rFonts w:eastAsia="仿宋_GB2312" w:cstheme="minorBidi"/>
      <w:kern w:val="0"/>
      <w:szCs w:val="22"/>
    </w:rPr>
  </w:style>
  <w:style w:type="table" w:customStyle="1" w:styleId="142">
    <w:name w:val="NJUAE"/>
    <w:basedOn w:val="32"/>
    <w:qFormat/>
    <w:uiPriority w:val="99"/>
    <w:pPr>
      <w:adjustRightInd w:val="0"/>
      <w:snapToGrid w:val="0"/>
      <w:jc w:val="both"/>
    </w:pPr>
    <w:rPr>
      <w:rFonts w:ascii="Times New Roman" w:hAnsi="Times New Roman" w:eastAsia="仿宋_GB2312" w:cs="Times New Roman"/>
      <w:kern w:val="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143">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144">
    <w:name w:val="列出段落3"/>
    <w:basedOn w:val="1"/>
    <w:qFormat/>
    <w:uiPriority w:val="34"/>
    <w:pPr>
      <w:ind w:firstLine="420" w:firstLineChars="200"/>
    </w:pPr>
    <w:rPr>
      <w:sz w:val="24"/>
      <w:szCs w:val="20"/>
    </w:rPr>
  </w:style>
  <w:style w:type="paragraph" w:customStyle="1" w:styleId="145">
    <w:name w:val="表内表"/>
    <w:basedOn w:val="1"/>
    <w:qFormat/>
    <w:uiPriority w:val="0"/>
    <w:pPr>
      <w:adjustRightInd w:val="0"/>
      <w:snapToGrid w:val="0"/>
      <w:jc w:val="center"/>
    </w:pPr>
    <w:rPr>
      <w:szCs w:val="21"/>
    </w:rPr>
  </w:style>
  <w:style w:type="paragraph" w:customStyle="1" w:styleId="146">
    <w:name w:val="！正文"/>
    <w:basedOn w:val="1"/>
    <w:qFormat/>
    <w:uiPriority w:val="0"/>
    <w:pPr>
      <w:spacing w:line="360" w:lineRule="auto"/>
      <w:ind w:firstLine="200" w:firstLineChars="200"/>
    </w:pPr>
    <w:rPr>
      <w:rFonts w:eastAsia="仿宋_GB2312"/>
      <w:sz w:val="24"/>
      <w:szCs w:val="20"/>
    </w:rPr>
  </w:style>
  <w:style w:type="paragraph" w:customStyle="1" w:styleId="147">
    <w:name w:val="aurona"/>
    <w:basedOn w:val="1"/>
    <w:qFormat/>
    <w:uiPriority w:val="0"/>
    <w:pPr>
      <w:framePr w:hSpace="180" w:wrap="around" w:vAnchor="text" w:hAnchor="margin" w:y="64"/>
      <w:autoSpaceDE w:val="0"/>
      <w:autoSpaceDN w:val="0"/>
      <w:adjustRightInd w:val="0"/>
      <w:snapToGrid w:val="0"/>
      <w:jc w:val="center"/>
    </w:pPr>
    <w:rPr>
      <w:bCs/>
      <w:snapToGrid w:val="0"/>
      <w:color w:val="000000"/>
      <w:kern w:val="0"/>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93</Pages>
  <Words>611</Words>
  <Characters>672</Characters>
  <Lines>292</Lines>
  <Paragraphs>82</Paragraphs>
  <TotalTime>12</TotalTime>
  <ScaleCrop>false</ScaleCrop>
  <LinksUpToDate>false</LinksUpToDate>
  <CharactersWithSpaces>685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2023-02-13T08:21:00Z</dcterms:created>
  <dc:creator>lhj</dc:creator>
  <cp:lastModifiedBy>a moon</cp:lastModifiedBy>
  <cp:lastPrinted>2025-09-03T06:18:00Z</cp:lastPrinted>
  <dcterms:modified xsi:type="dcterms:W3CDTF">2025-10-22T07:40:17Z</dcterms:modified>
  <dc:title>附件2</dc:title>
  <cp:revision>3435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DC4C66C585CE42B99CC8442C8CFEC5F0_13</vt:lpwstr>
  </property>
  <property fmtid="{D5CDD505-2E9C-101B-9397-08002B2CF9AE}" pid="4" name="KSOTemplateDocerSaveRecord">
    <vt:lpwstr>eyJoZGlkIjoiNzUzZDE2YzA3NDM3Nzg1MDY1NmNiNWFjNjBmZDhiOWMiLCJ1c2VySWQiOiIyNjEyMzM3ODAifQ==</vt:lpwstr>
  </property>
</Properties>
</file>